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ind w:right="-19"/>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139" w:lineRule="exact"/>
        <w:rPr>
          <w:sz w:val="24"/>
          <w:szCs w:val="24"/>
          <w:color w:val="auto"/>
        </w:rPr>
      </w:pPr>
    </w:p>
    <w:p>
      <w:pPr>
        <w:ind w:left="16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1300" w:right="760" w:hanging="764"/>
        <w:spacing w:after="0" w:line="266" w:lineRule="auto"/>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92" w:lineRule="exact"/>
        <w:rPr>
          <w:sz w:val="24"/>
          <w:szCs w:val="24"/>
          <w:color w:val="auto"/>
        </w:rPr>
      </w:pPr>
    </w:p>
    <w:p>
      <w:pPr>
        <w:ind w:left="1300" w:hanging="76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w:t>
      </w:r>
    </w:p>
    <w:p>
      <w:pPr>
        <w:sectPr>
          <w:pgSz w:w="11900" w:h="16838" w:orient="portrait"/>
          <w:cols w:equalWidth="0" w:num="1">
            <w:col w:w="9060"/>
          </w:cols>
          <w:pgMar w:left="1420" w:top="233" w:right="1419" w:bottom="1440" w:gutter="0" w:footer="0" w:header="0"/>
        </w:sectPr>
      </w:pPr>
    </w:p>
    <w:p>
      <w:pPr>
        <w:spacing w:after="0" w:line="3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EXCHANGE ACT OF 1934</w:t>
      </w:r>
    </w:p>
    <w:p>
      <w:pPr>
        <w:ind w:left="2720"/>
        <w:spacing w:after="0"/>
        <w:tabs>
          <w:tab w:leader="none" w:pos="5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9060"/>
          </w:cols>
          <w:pgMar w:left="1420" w:top="233" w:right="1419" w:bottom="1440" w:gutter="0" w:footer="0" w:header="0"/>
          <w:type w:val="continuous"/>
        </w:sectPr>
      </w:pPr>
    </w:p>
    <w:p>
      <w:pPr>
        <w:spacing w:after="0" w:line="9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Commission file number: 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13011</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COMFORT SYSTEMS USA,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9060"/>
          </w:cols>
          <w:pgMar w:left="1420" w:top="233" w:right="1419" w:bottom="1440" w:gutter="0" w:footer="0" w:header="0"/>
          <w:type w:val="continuous"/>
        </w:sectPr>
      </w:pPr>
    </w:p>
    <w:p>
      <w:pPr>
        <w:spacing w:after="0" w:line="111"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2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2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580"/>
        <w:spacing w:after="0" w:line="207" w:lineRule="exact"/>
        <w:rPr>
          <w:sz w:val="20"/>
          <w:szCs w:val="20"/>
          <w:color w:val="auto"/>
        </w:rPr>
      </w:pPr>
      <w:r>
        <w:rPr>
          <w:rFonts w:ascii="Arial" w:cs="Arial" w:eastAsia="Arial" w:hAnsi="Arial"/>
          <w:sz w:val="18"/>
          <w:szCs w:val="18"/>
          <w:b w:val="1"/>
          <w:bCs w:val="1"/>
          <w:color w:val="auto"/>
        </w:rPr>
        <w:t>76</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0526487</w:t>
      </w:r>
    </w:p>
    <w:p>
      <w:pPr>
        <w:spacing w:after="0" w:line="27"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580"/>
        <w:spacing w:after="0"/>
        <w:rPr>
          <w:sz w:val="20"/>
          <w:szCs w:val="20"/>
          <w:color w:val="auto"/>
        </w:rPr>
      </w:pPr>
      <w:r>
        <w:rPr>
          <w:rFonts w:ascii="Arial" w:cs="Arial" w:eastAsia="Arial" w:hAnsi="Arial"/>
          <w:sz w:val="17"/>
          <w:szCs w:val="17"/>
          <w:color w:val="auto"/>
        </w:rPr>
        <w:t>Identification No.)</w:t>
      </w:r>
    </w:p>
    <w:p>
      <w:pPr>
        <w:spacing w:after="0" w:line="21" w:lineRule="exact"/>
        <w:rPr>
          <w:sz w:val="24"/>
          <w:szCs w:val="24"/>
          <w:color w:val="auto"/>
        </w:rPr>
      </w:pPr>
    </w:p>
    <w:p>
      <w:pPr>
        <w:sectPr>
          <w:pgSz w:w="11900" w:h="16838" w:orient="portrait"/>
          <w:cols w:equalWidth="0" w:num="2">
            <w:col w:w="5420" w:space="720"/>
            <w:col w:w="2920"/>
          </w:cols>
          <w:pgMar w:left="1420" w:top="233" w:right="14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675 Bering Drive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400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Houston, Texas 77057</w:t>
      </w:r>
    </w:p>
    <w:p>
      <w:pPr>
        <w:sectPr>
          <w:pgSz w:w="11900" w:h="16838" w:orient="portrait"/>
          <w:cols w:equalWidth="0" w:num="1">
            <w:col w:w="9060"/>
          </w:cols>
          <w:pgMar w:left="1420" w:top="233" w:right="1419" w:bottom="1440" w:gutter="0" w:footer="0" w:header="0"/>
          <w:type w:val="continuous"/>
        </w:sectPr>
      </w:pPr>
    </w:p>
    <w:p>
      <w:pPr>
        <w:spacing w:after="0" w:line="44" w:lineRule="exact"/>
        <w:rPr>
          <w:sz w:val="24"/>
          <w:szCs w:val="24"/>
          <w:color w:val="auto"/>
        </w:rPr>
      </w:pPr>
    </w:p>
    <w:p>
      <w:pPr>
        <w:ind w:left="2740"/>
        <w:spacing w:after="0"/>
        <w:rPr>
          <w:sz w:val="20"/>
          <w:szCs w:val="20"/>
          <w:color w:val="auto"/>
        </w:rPr>
      </w:pPr>
      <w:r>
        <w:rPr>
          <w:rFonts w:ascii="Arial" w:cs="Arial" w:eastAsia="Arial" w:hAnsi="Arial"/>
          <w:sz w:val="18"/>
          <w:szCs w:val="18"/>
          <w:color w:val="auto"/>
        </w:rPr>
        <w:t>(Address of Principal Executive Offices) (Zip Code)</w:t>
      </w:r>
    </w:p>
    <w:p>
      <w:pPr>
        <w:spacing w:after="0" w:line="139" w:lineRule="exact"/>
        <w:rPr>
          <w:sz w:val="24"/>
          <w:szCs w:val="24"/>
          <w:color w:val="auto"/>
        </w:rPr>
      </w:pPr>
    </w:p>
    <w:p>
      <w:pPr>
        <w:ind w:left="2080"/>
        <w:spacing w:after="0" w:line="207" w:lineRule="exact"/>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9600</w:t>
      </w:r>
    </w:p>
    <w:p>
      <w:pPr>
        <w:spacing w:after="0" w:line="162"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ind w:firstLine="648"/>
        <w:spacing w:after="0" w:line="225" w:lineRule="exact"/>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40" w:firstLine="648"/>
        <w:spacing w:after="0" w:line="31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20" w:type="dxa"/>
        <w:tblCellMar>
          <w:top w:w="0" w:type="dxa"/>
          <w:left w:w="0" w:type="dxa"/>
          <w:bottom w:w="0" w:type="dxa"/>
          <w:right w:w="0" w:type="dxa"/>
        </w:tblCellMar>
      </w:tblPr>
      <w:tr>
        <w:trPr>
          <w:trHeight w:val="209"/>
        </w:trPr>
        <w:tc>
          <w:tcPr>
            <w:tcW w:w="5200" w:type="dxa"/>
            <w:vAlign w:val="bottom"/>
          </w:tcPr>
          <w:p>
            <w:pPr>
              <w:spacing w:after="0" w:line="207"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6"/>
                <w:szCs w:val="16"/>
                <w:color w:val="auto"/>
              </w:rPr>
              <w:t xml:space="preserve">  Accelerated filer </w:t>
            </w:r>
            <w:r>
              <w:rPr>
                <w:rFonts w:ascii="MS PGothic" w:cs="MS PGothic" w:eastAsia="MS PGothic" w:hAnsi="MS PGothic"/>
                <w:sz w:val="18"/>
                <w:szCs w:val="18"/>
                <w:color w:val="auto"/>
              </w:rPr>
              <w:t>☐</w:t>
            </w:r>
            <w:r>
              <w:rPr>
                <w:rFonts w:ascii="Arial" w:cs="Arial" w:eastAsia="Arial" w:hAnsi="Arial"/>
                <w:sz w:val="16"/>
                <w:szCs w:val="16"/>
                <w:color w:val="auto"/>
              </w:rPr>
              <w:t xml:space="preserve">  Non</w:t>
            </w:r>
            <w:r>
              <w:rPr>
                <w:rFonts w:ascii="MS PGothic" w:cs="MS PGothic" w:eastAsia="MS PGothic" w:hAnsi="MS PGothic"/>
                <w:sz w:val="16"/>
                <w:szCs w:val="16"/>
                <w:color w:val="auto"/>
              </w:rPr>
              <w:t>‑</w:t>
            </w:r>
            <w:r>
              <w:rPr>
                <w:rFonts w:ascii="Arial" w:cs="Arial" w:eastAsia="Arial" w:hAnsi="Arial"/>
                <w:sz w:val="16"/>
                <w:szCs w:val="16"/>
                <w:color w:val="auto"/>
              </w:rPr>
              <w:t xml:space="preserve">accelerated filer </w:t>
            </w:r>
            <w:r>
              <w:rPr>
                <w:rFonts w:ascii="MS PGothic" w:cs="MS PGothic" w:eastAsia="MS PGothic" w:hAnsi="MS PGothic"/>
                <w:sz w:val="18"/>
                <w:szCs w:val="18"/>
                <w:color w:val="auto"/>
              </w:rPr>
              <w:t>☐</w:t>
            </w:r>
          </w:p>
        </w:tc>
        <w:tc>
          <w:tcPr>
            <w:tcW w:w="1800" w:type="dxa"/>
            <w:vAlign w:val="bottom"/>
          </w:tcPr>
          <w:p>
            <w:pPr>
              <w:jc w:val="center"/>
              <w:ind w:right="59"/>
              <w:spacing w:after="0"/>
              <w:rPr>
                <w:sz w:val="20"/>
                <w:szCs w:val="20"/>
                <w:color w:val="auto"/>
              </w:rPr>
            </w:pPr>
            <w:r>
              <w:rPr>
                <w:rFonts w:ascii="Arial" w:cs="Arial" w:eastAsia="Arial" w:hAnsi="Arial"/>
                <w:sz w:val="16"/>
                <w:szCs w:val="16"/>
                <w:color w:val="auto"/>
                <w:w w:val="93"/>
              </w:rPr>
              <w:t>Smaller reporting</w:t>
            </w:r>
          </w:p>
        </w:tc>
        <w:tc>
          <w:tcPr>
            <w:tcW w:w="1540" w:type="dxa"/>
            <w:vAlign w:val="bottom"/>
          </w:tcPr>
          <w:p>
            <w:pPr>
              <w:jc w:val="center"/>
              <w:ind w:left="319"/>
              <w:spacing w:after="0"/>
              <w:rPr>
                <w:sz w:val="20"/>
                <w:szCs w:val="20"/>
                <w:color w:val="auto"/>
              </w:rPr>
            </w:pPr>
            <w:r>
              <w:rPr>
                <w:rFonts w:ascii="Arial" w:cs="Arial" w:eastAsia="Arial" w:hAnsi="Arial"/>
                <w:sz w:val="16"/>
                <w:szCs w:val="16"/>
                <w:color w:val="auto"/>
                <w:w w:val="94"/>
              </w:rPr>
              <w:t>Emerging growth</w:t>
            </w:r>
          </w:p>
        </w:tc>
        <w:tc>
          <w:tcPr>
            <w:tcW w:w="0" w:type="dxa"/>
            <w:vAlign w:val="bottom"/>
          </w:tcPr>
          <w:p>
            <w:pPr>
              <w:spacing w:after="0"/>
              <w:rPr>
                <w:sz w:val="1"/>
                <w:szCs w:val="1"/>
                <w:color w:val="auto"/>
              </w:rPr>
            </w:pPr>
          </w:p>
        </w:tc>
      </w:tr>
      <w:tr>
        <w:trPr>
          <w:trHeight w:val="166"/>
        </w:trPr>
        <w:tc>
          <w:tcPr>
            <w:tcW w:w="5200" w:type="dxa"/>
            <w:vAlign w:val="bottom"/>
          </w:tcPr>
          <w:p>
            <w:pPr>
              <w:jc w:val="center"/>
              <w:ind w:left="3077"/>
              <w:spacing w:after="0"/>
              <w:rPr>
                <w:sz w:val="20"/>
                <w:szCs w:val="20"/>
                <w:color w:val="auto"/>
              </w:rPr>
            </w:pPr>
            <w:r>
              <w:rPr>
                <w:rFonts w:ascii="Arial" w:cs="Arial" w:eastAsia="Arial" w:hAnsi="Arial"/>
                <w:sz w:val="11"/>
                <w:szCs w:val="11"/>
                <w:color w:val="auto"/>
                <w:w w:val="91"/>
              </w:rPr>
              <w:t>(Do not check if a</w:t>
            </w:r>
          </w:p>
        </w:tc>
        <w:tc>
          <w:tcPr>
            <w:tcW w:w="1800" w:type="dxa"/>
            <w:vAlign w:val="bottom"/>
            <w:vMerge w:val="restart"/>
          </w:tcPr>
          <w:p>
            <w:pPr>
              <w:jc w:val="center"/>
              <w:ind w:right="79"/>
              <w:spacing w:after="0" w:line="207" w:lineRule="exact"/>
              <w:rPr>
                <w:sz w:val="20"/>
                <w:szCs w:val="20"/>
                <w:color w:val="auto"/>
              </w:rPr>
            </w:pPr>
            <w:r>
              <w:rPr>
                <w:rFonts w:ascii="Arial" w:cs="Arial" w:eastAsia="Arial" w:hAnsi="Arial"/>
                <w:sz w:val="16"/>
                <w:szCs w:val="16"/>
                <w:color w:val="auto"/>
                <w:w w:val="91"/>
              </w:rPr>
              <w:t xml:space="preserve">company </w:t>
            </w:r>
            <w:r>
              <w:rPr>
                <w:rFonts w:ascii="MS PGothic" w:cs="MS PGothic" w:eastAsia="MS PGothic" w:hAnsi="MS PGothic"/>
                <w:sz w:val="18"/>
                <w:szCs w:val="18"/>
                <w:color w:val="auto"/>
                <w:w w:val="91"/>
              </w:rPr>
              <w:t>☐</w:t>
            </w:r>
          </w:p>
        </w:tc>
        <w:tc>
          <w:tcPr>
            <w:tcW w:w="1540" w:type="dxa"/>
            <w:vAlign w:val="bottom"/>
            <w:vMerge w:val="restart"/>
          </w:tcPr>
          <w:p>
            <w:pPr>
              <w:jc w:val="center"/>
              <w:ind w:left="319"/>
              <w:spacing w:after="0" w:line="207" w:lineRule="exact"/>
              <w:rPr>
                <w:sz w:val="20"/>
                <w:szCs w:val="20"/>
                <w:color w:val="auto"/>
              </w:rPr>
            </w:pPr>
            <w:r>
              <w:rPr>
                <w:rFonts w:ascii="Arial" w:cs="Arial" w:eastAsia="Arial" w:hAnsi="Arial"/>
                <w:sz w:val="16"/>
                <w:szCs w:val="16"/>
                <w:color w:val="auto"/>
                <w:w w:val="89"/>
              </w:rPr>
              <w:t xml:space="preserve">company </w:t>
            </w:r>
            <w:r>
              <w:rPr>
                <w:rFonts w:ascii="MS PGothic" w:cs="MS PGothic" w:eastAsia="MS PGothic" w:hAnsi="MS PGothic"/>
                <w:sz w:val="18"/>
                <w:szCs w:val="18"/>
                <w:color w:val="auto"/>
                <w:w w:val="89"/>
              </w:rPr>
              <w:t>☐</w:t>
            </w:r>
          </w:p>
        </w:tc>
        <w:tc>
          <w:tcPr>
            <w:tcW w:w="0" w:type="dxa"/>
            <w:vAlign w:val="bottom"/>
          </w:tcPr>
          <w:p>
            <w:pPr>
              <w:spacing w:after="0"/>
              <w:rPr>
                <w:sz w:val="1"/>
                <w:szCs w:val="1"/>
                <w:color w:val="auto"/>
              </w:rPr>
            </w:pPr>
          </w:p>
        </w:tc>
      </w:tr>
      <w:tr>
        <w:trPr>
          <w:trHeight w:val="136"/>
        </w:trPr>
        <w:tc>
          <w:tcPr>
            <w:tcW w:w="5200" w:type="dxa"/>
            <w:vAlign w:val="bottom"/>
          </w:tcPr>
          <w:p>
            <w:pPr>
              <w:jc w:val="center"/>
              <w:ind w:left="3057"/>
              <w:spacing w:after="0"/>
              <w:rPr>
                <w:sz w:val="20"/>
                <w:szCs w:val="20"/>
                <w:color w:val="auto"/>
              </w:rPr>
            </w:pPr>
            <w:r>
              <w:rPr>
                <w:rFonts w:ascii="Arial" w:cs="Arial" w:eastAsia="Arial" w:hAnsi="Arial"/>
                <w:sz w:val="11"/>
                <w:szCs w:val="11"/>
                <w:color w:val="auto"/>
                <w:w w:val="90"/>
              </w:rPr>
              <w:t>smaller reporting company)</w:t>
            </w:r>
          </w:p>
        </w:tc>
        <w:tc>
          <w:tcPr>
            <w:tcW w:w="180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60"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4"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Exchange Act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Yes </w:t>
      </w:r>
      <w:r>
        <w:rPr>
          <w:rFonts w:ascii="MS PGothic" w:cs="MS PGothic" w:eastAsia="MS PGothic" w:hAnsi="MS PGothic"/>
          <w:sz w:val="16"/>
          <w:szCs w:val="16"/>
          <w:color w:val="auto"/>
        </w:rPr>
        <w:t>☐</w:t>
      </w:r>
    </w:p>
    <w:p>
      <w:pPr>
        <w:spacing w:after="0" w:line="74"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48"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The number of shares outstanding of the issuer’s common stock as of July 19, 2018 was 37,245,109 (excluding treasury shares of 3,878,256).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575437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640715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COMFORT SYSTEMS USA,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0" w:type="dxa"/>
            <w:vAlign w:val="bottom"/>
            <w:gridSpan w:val="17"/>
            <w:vMerge w:val="restart"/>
          </w:tcPr>
          <w:p>
            <w:pPr>
              <w:spacing w:after="0"/>
              <w:rPr>
                <w:sz w:val="20"/>
                <w:szCs w:val="20"/>
                <w:color w:val="auto"/>
              </w:rPr>
            </w:pPr>
            <w:r>
              <w:rPr>
                <w:rFonts w:ascii="Arial" w:cs="Arial" w:eastAsia="Arial" w:hAnsi="Arial"/>
                <w:sz w:val="18"/>
                <w:szCs w:val="18"/>
                <w:color w:val="auto"/>
              </w:rPr>
              <w:t>Part I—Financial Information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8600" w:type="dxa"/>
            <w:vAlign w:val="bottom"/>
            <w:gridSpan w:val="17"/>
            <w:vMerge w:val="continue"/>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8420" w:type="dxa"/>
            <w:vAlign w:val="bottom"/>
            <w:gridSpan w:val="16"/>
          </w:tcPr>
          <w:p>
            <w:pPr>
              <w:spacing w:after="0" w:line="189" w:lineRule="exact"/>
              <w:rPr>
                <w:sz w:val="20"/>
                <w:szCs w:val="20"/>
                <w:color w:val="auto"/>
              </w:rPr>
            </w:pPr>
            <w:r>
              <w:rPr>
                <w:rFonts w:ascii="Arial" w:cs="Arial" w:eastAsia="Arial" w:hAnsi="Arial"/>
                <w:sz w:val="18"/>
                <w:szCs w:val="18"/>
                <w:color w:val="auto"/>
              </w:rPr>
              <w:t>Item 1—Financial Statements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Borders>
              <w:bottom w:val="single" w:sz="8" w:color="0000EE"/>
            </w:tcBorders>
            <w:gridSpan w:val="6"/>
          </w:tcPr>
          <w:p>
            <w:pPr>
              <w:spacing w:after="0" w:line="170"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6140" w:type="dxa"/>
            <w:vAlign w:val="bottom"/>
            <w:gridSpan w:val="9"/>
          </w:tcPr>
          <w:p>
            <w:pPr>
              <w:spacing w:after="0"/>
              <w:rPr>
                <w:sz w:val="16"/>
                <w:szCs w:val="16"/>
                <w:color w:val="auto"/>
              </w:rPr>
            </w:pPr>
          </w:p>
        </w:tc>
        <w:tc>
          <w:tcPr>
            <w:tcW w:w="4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bottom w:val="single" w:sz="8" w:color="0000EE"/>
            </w:tcBorders>
            <w:gridSpan w:val="8"/>
          </w:tcPr>
          <w:p>
            <w:pPr>
              <w:spacing w:after="0" w:line="18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w:t>
              </w:r>
            </w:hyperlink>
          </w:p>
        </w:tc>
        <w:tc>
          <w:tcPr>
            <w:tcW w:w="5420" w:type="dxa"/>
            <w:vAlign w:val="bottom"/>
            <w:gridSpan w:val="7"/>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EE"/>
            </w:tcBorders>
            <w:gridSpan w:val="10"/>
          </w:tcPr>
          <w:p>
            <w:pPr>
              <w:spacing w:after="0" w:line="18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Stockholders’ Equity</w:t>
              </w:r>
            </w:hyperlink>
          </w:p>
        </w:tc>
        <w:tc>
          <w:tcPr>
            <w:tcW w:w="4680" w:type="dxa"/>
            <w:vAlign w:val="bottom"/>
            <w:gridSpan w:val="5"/>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8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w:t>
              </w:r>
            </w:hyperlink>
          </w:p>
        </w:tc>
        <w:tc>
          <w:tcPr>
            <w:tcW w:w="5360" w:type="dxa"/>
            <w:vAlign w:val="bottom"/>
            <w:gridSpan w:val="6"/>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8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Notes to Consolidated Financial Statements</w:t>
              </w:r>
            </w:hyperlink>
          </w:p>
        </w:tc>
        <w:tc>
          <w:tcPr>
            <w:tcW w:w="4240" w:type="dxa"/>
            <w:vAlign w:val="bottom"/>
            <w:gridSpan w:val="4"/>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420" w:type="dxa"/>
            <w:vAlign w:val="bottom"/>
            <w:gridSpan w:val="16"/>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Item 2—Management’s Discussion and Analysis of Financial Condition and Results of Operations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3—Quantitative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20" w:type="dxa"/>
            <w:vAlign w:val="bottom"/>
            <w:tcBorders>
              <w:bottom w:val="single" w:sz="8" w:color="0000EE"/>
            </w:tcBorders>
            <w:gridSpan w:val="8"/>
          </w:tcPr>
          <w:p>
            <w:pPr>
              <w:spacing w:after="0" w:line="18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4—Controls and Procedures</w:t>
              </w:r>
            </w:hyperlink>
          </w:p>
        </w:tc>
        <w:tc>
          <w:tcPr>
            <w:tcW w:w="6000" w:type="dxa"/>
            <w:vAlign w:val="bottom"/>
            <w:gridSpan w:val="8"/>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960" w:type="dxa"/>
            <w:vAlign w:val="bottom"/>
            <w:tcBorders>
              <w:bottom w:val="single" w:sz="8" w:color="0000EE"/>
            </w:tcBorders>
            <w:gridSpan w:val="6"/>
          </w:tcPr>
          <w:p>
            <w:pPr>
              <w:spacing w:after="0" w:line="182"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Part II—Other Information</w:t>
              </w:r>
            </w:hyperlink>
          </w:p>
        </w:tc>
        <w:tc>
          <w:tcPr>
            <w:tcW w:w="6640" w:type="dxa"/>
            <w:vAlign w:val="bottom"/>
            <w:gridSpan w:val="11"/>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420" w:type="dxa"/>
            <w:vAlign w:val="bottom"/>
            <w:gridSpan w:val="16"/>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Item 1—Legal Proceedings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Item 1A—Risk Factors</w:t>
              </w:r>
            </w:hyperlink>
          </w:p>
        </w:tc>
        <w:tc>
          <w:tcPr>
            <w:tcW w:w="6440" w:type="dxa"/>
            <w:vAlign w:val="bottom"/>
            <w:gridSpan w:val="10"/>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000" w:type="dxa"/>
            <w:vAlign w:val="bottom"/>
            <w:tcBorders>
              <w:bottom w:val="single" w:sz="8" w:color="0000EE"/>
            </w:tcBorders>
            <w:gridSpan w:val="14"/>
          </w:tcPr>
          <w:p>
            <w:pPr>
              <w:spacing w:after="0" w:line="18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2—Unregistered Sales of Equity Securities and Use of Proceeds</w:t>
              </w:r>
            </w:hyperlink>
          </w:p>
        </w:tc>
        <w:tc>
          <w:tcPr>
            <w:tcW w:w="3420" w:type="dxa"/>
            <w:vAlign w:val="bottom"/>
            <w:gridSpan w:val="2"/>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420" w:type="dxa"/>
            <w:vAlign w:val="bottom"/>
            <w:gridSpan w:val="16"/>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Item 6—Exhibits</w:t>
              </w:r>
            </w:hyperlink>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4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7180" w:type="dxa"/>
            <w:vAlign w:val="bottom"/>
            <w:gridSpan w:val="13"/>
          </w:tcPr>
          <w:p>
            <w:pPr>
              <w:spacing w:after="0"/>
              <w:rPr>
                <w:sz w:val="17"/>
                <w:szCs w:val="17"/>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500"/>
        </w:trPr>
        <w:tc>
          <w:tcPr>
            <w:tcW w:w="180" w:type="dxa"/>
            <w:vAlign w:val="bottom"/>
            <w:tcBorders>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COMFORT SYSTEMS USA, INC.</w:t>
      </w:r>
    </w:p>
    <w:p>
      <w:pPr>
        <w:spacing w:after="0" w:line="158"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BALANCE SHEETS</w:t>
      </w:r>
    </w:p>
    <w:p>
      <w:pPr>
        <w:spacing w:after="0" w:line="14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 Thousands, Except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40" w:type="dxa"/>
            <w:vAlign w:val="bottom"/>
            <w:shd w:val="clear" w:color="auto" w:fill="CCEEFF"/>
          </w:tcPr>
          <w:p>
            <w:pPr>
              <w:spacing w:after="0"/>
              <w:rPr>
                <w:sz w:val="18"/>
                <w:szCs w:val="18"/>
                <w:color w:val="auto"/>
              </w:rPr>
            </w:pPr>
          </w:p>
        </w:tc>
      </w:tr>
      <w:tr>
        <w:trPr>
          <w:trHeight w:val="202"/>
        </w:trPr>
        <w:tc>
          <w:tcPr>
            <w:tcW w:w="6980" w:type="dxa"/>
            <w:vAlign w:val="bottom"/>
          </w:tcPr>
          <w:p>
            <w:pPr>
              <w:ind w:left="220"/>
              <w:spacing w:after="0" w:line="201" w:lineRule="exact"/>
              <w:rPr>
                <w:sz w:val="20"/>
                <w:szCs w:val="20"/>
                <w:color w:val="auto"/>
              </w:rPr>
            </w:pPr>
            <w:r>
              <w:rPr>
                <w:rFonts w:ascii="Arial" w:cs="Arial" w:eastAsia="Arial" w:hAnsi="Arial"/>
                <w:sz w:val="18"/>
                <w:szCs w:val="18"/>
                <w:color w:val="auto"/>
                <w:w w:val="98"/>
              </w:rPr>
              <w:t>Billed accounts receivable, less allowance for doubtful accounts of $4,202 and $3,400,</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455,596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382,867</w:t>
            </w:r>
          </w:p>
        </w:tc>
        <w:tc>
          <w:tcPr>
            <w:tcW w:w="40" w:type="dxa"/>
            <w:vAlign w:val="bottom"/>
          </w:tcPr>
          <w:p>
            <w:pPr>
              <w:spacing w:after="0"/>
              <w:rPr>
                <w:sz w:val="20"/>
                <w:szCs w:val="20"/>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accounts receivable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21,235</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8,294</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30,116</w:t>
            </w:r>
          </w:p>
        </w:tc>
        <w:tc>
          <w:tcPr>
            <w:tcW w:w="40" w:type="dxa"/>
            <w:vAlign w:val="bottom"/>
            <w:shd w:val="clear" w:color="auto" w:fill="CCEEFF"/>
          </w:tcPr>
          <w:p>
            <w:pPr>
              <w:spacing w:after="0"/>
              <w:rPr>
                <w:sz w:val="18"/>
                <w:szCs w:val="18"/>
                <w:color w:val="auto"/>
              </w:rPr>
            </w:pPr>
          </w:p>
        </w:tc>
      </w:tr>
      <w:tr>
        <w:trPr>
          <w:trHeight w:val="210"/>
        </w:trPr>
        <w:tc>
          <w:tcPr>
            <w:tcW w:w="69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561,823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489,357</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91,898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87,591</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205,162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200,584</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76,044</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22,966</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40" w:type="dxa"/>
            <w:vAlign w:val="bottom"/>
            <w:shd w:val="clear" w:color="auto" w:fill="CCEEFF"/>
          </w:tcPr>
          <w:p>
            <w:pPr>
              <w:spacing w:after="0"/>
              <w:rPr>
                <w:sz w:val="18"/>
                <w:szCs w:val="18"/>
                <w:color w:val="auto"/>
              </w:rPr>
            </w:pPr>
          </w:p>
        </w:tc>
      </w:tr>
      <w:tr>
        <w:trPr>
          <w:trHeight w:val="217"/>
        </w:trPr>
        <w:tc>
          <w:tcPr>
            <w:tcW w:w="6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959,166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881,120</w:t>
            </w:r>
          </w:p>
        </w:tc>
        <w:tc>
          <w:tcPr>
            <w:tcW w:w="40" w:type="dxa"/>
            <w:vAlign w:val="bottom"/>
            <w:tcBorders>
              <w:bottom w:val="single" w:sz="8" w:color="CCEEFF"/>
            </w:tcBorders>
          </w:tcPr>
          <w:p>
            <w:pPr>
              <w:spacing w:after="0"/>
              <w:rPr>
                <w:sz w:val="18"/>
                <w:szCs w:val="18"/>
                <w:color w:val="auto"/>
              </w:rPr>
            </w:pPr>
          </w:p>
        </w:tc>
      </w:tr>
      <w:tr>
        <w:trPr>
          <w:trHeight w:val="216"/>
        </w:trPr>
        <w:tc>
          <w:tcPr>
            <w:tcW w:w="6980" w:type="dxa"/>
            <w:vAlign w:val="bottom"/>
            <w:shd w:val="clear" w:color="auto" w:fill="CCEEFF"/>
          </w:tcPr>
          <w:p>
            <w:pPr>
              <w:ind w:left="14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132,011</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69,217</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106,005</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self-insurance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32,228</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33,654</w:t>
            </w:r>
          </w:p>
        </w:tc>
        <w:tc>
          <w:tcPr>
            <w:tcW w:w="4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373,728</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59,926</w:t>
            </w: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27,258</w:t>
            </w:r>
          </w:p>
        </w:tc>
        <w:tc>
          <w:tcPr>
            <w:tcW w:w="4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463,175</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w w:val="99"/>
              </w:rPr>
              <w:t>Preferred stock, $.01 par, 5,000,000 shares authorized, none issued and outstanding</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Common stock, $.01 par, 102,969,912 shares authorized, 41,123,365 and 41,123,365 shares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respectively</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20"/>
                <w:szCs w:val="20"/>
                <w:color w:val="auto"/>
              </w:rPr>
            </w:pPr>
          </w:p>
        </w:tc>
      </w:tr>
      <w:tr>
        <w:trPr>
          <w:trHeight w:val="216"/>
        </w:trPr>
        <w:tc>
          <w:tcPr>
            <w:tcW w:w="6980" w:type="dxa"/>
            <w:vAlign w:val="bottom"/>
          </w:tcPr>
          <w:p>
            <w:pPr>
              <w:ind w:left="220"/>
              <w:spacing w:after="0"/>
              <w:rPr>
                <w:sz w:val="20"/>
                <w:szCs w:val="20"/>
                <w:color w:val="auto"/>
              </w:rPr>
            </w:pPr>
            <w:r>
              <w:rPr>
                <w:rFonts w:ascii="Arial" w:cs="Arial" w:eastAsia="Arial" w:hAnsi="Arial"/>
                <w:sz w:val="18"/>
                <w:szCs w:val="18"/>
                <w:color w:val="auto"/>
              </w:rPr>
              <w:t>Treasury stock, at cost, 3,877,756 and 3,936,291 shares, respectively</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(67,386)</w:t>
            </w:r>
          </w:p>
        </w:tc>
        <w:tc>
          <w:tcPr>
            <w:tcW w:w="1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(63,519)</w:t>
            </w:r>
          </w:p>
        </w:tc>
      </w:tr>
      <w:tr>
        <w:trPr>
          <w:trHeight w:val="216"/>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312,784</w:t>
            </w:r>
          </w:p>
        </w:tc>
        <w:tc>
          <w:tcPr>
            <w:tcW w:w="4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168,269</w:t>
            </w:r>
          </w:p>
        </w:tc>
        <w:tc>
          <w:tcPr>
            <w:tcW w:w="4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460,975</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417,945</w:t>
            </w:r>
          </w:p>
        </w:tc>
        <w:tc>
          <w:tcPr>
            <w:tcW w:w="40" w:type="dxa"/>
            <w:vAlign w:val="bottom"/>
            <w:shd w:val="clear" w:color="auto" w:fill="CCEEFF"/>
          </w:tcPr>
          <w:p>
            <w:pPr>
              <w:spacing w:after="0"/>
              <w:rPr>
                <w:sz w:val="18"/>
                <w:szCs w:val="18"/>
                <w:color w:val="auto"/>
              </w:rPr>
            </w:pPr>
          </w:p>
        </w:tc>
      </w:tr>
      <w:tr>
        <w:trPr>
          <w:trHeight w:val="217"/>
        </w:trPr>
        <w:tc>
          <w:tcPr>
            <w:tcW w:w="698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959,166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881,120</w:t>
            </w:r>
          </w:p>
        </w:tc>
        <w:tc>
          <w:tcPr>
            <w:tcW w:w="40" w:type="dxa"/>
            <w:vAlign w:val="bottom"/>
          </w:tcPr>
          <w:p>
            <w:pPr>
              <w:spacing w:after="0"/>
              <w:rPr>
                <w:sz w:val="18"/>
                <w:szCs w:val="18"/>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r>
        <w:rPr>
          <w:rFonts w:ascii="Arial" w:cs="Arial" w:eastAsia="Arial" w:hAnsi="Arial"/>
          <w:sz w:val="21"/>
          <w:szCs w:val="2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COMFORT SYSTEMS USA,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50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535,043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465,411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999,984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845,999</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423,860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369,673</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799,748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674,307</w:t>
            </w:r>
          </w:p>
        </w:tc>
        <w:tc>
          <w:tcPr>
            <w:tcW w:w="4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111,183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200,236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171,692</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141,231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129,846</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0"/>
        </w:trPr>
        <w:tc>
          <w:tcPr>
            <w:tcW w:w="50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(1,431)</w:t>
            </w: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the fair value of contingent earn-out obligations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r>
      <w:tr>
        <w:trPr>
          <w:trHeight w:val="216"/>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40" w:type="dxa"/>
            <w:vAlign w:val="bottom"/>
            <w:shd w:val="clear" w:color="auto" w:fill="CCEEFF"/>
          </w:tcPr>
          <w:p>
            <w:pPr>
              <w:spacing w:after="0"/>
              <w:rPr>
                <w:sz w:val="18"/>
                <w:szCs w:val="18"/>
                <w:color w:val="auto"/>
              </w:rPr>
            </w:pP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39,052</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40" w:type="dxa"/>
            <w:vAlign w:val="bottom"/>
            <w:shd w:val="clear" w:color="auto" w:fill="CCEEFF"/>
          </w:tcPr>
          <w:p>
            <w:pPr>
              <w:spacing w:after="0"/>
              <w:rPr>
                <w:sz w:val="18"/>
                <w:szCs w:val="18"/>
                <w:color w:val="auto"/>
              </w:rPr>
            </w:pPr>
          </w:p>
        </w:tc>
      </w:tr>
      <w:tr>
        <w:trPr>
          <w:trHeight w:val="217"/>
        </w:trPr>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25,449</w:t>
            </w:r>
          </w:p>
        </w:tc>
        <w:tc>
          <w:tcPr>
            <w:tcW w:w="40" w:type="dxa"/>
            <w:vAlign w:val="bottom"/>
            <w:tcBorders>
              <w:bottom w:val="single" w:sz="8" w:color="CCEEFF"/>
            </w:tcBorders>
          </w:tcPr>
          <w:p>
            <w:pPr>
              <w:spacing w:after="0"/>
              <w:rPr>
                <w:sz w:val="18"/>
                <w:szCs w:val="18"/>
                <w:color w:val="auto"/>
              </w:rPr>
            </w:pPr>
          </w:p>
        </w:tc>
      </w:tr>
      <w:tr>
        <w:trPr>
          <w:trHeight w:val="216"/>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INCOME PER SHARE: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40" w:type="dxa"/>
            <w:vAlign w:val="bottom"/>
            <w:shd w:val="clear" w:color="auto" w:fill="CCEEFF"/>
          </w:tcPr>
          <w:p>
            <w:pPr>
              <w:spacing w:after="0"/>
              <w:rPr>
                <w:sz w:val="20"/>
                <w:szCs w:val="20"/>
                <w:color w:val="auto"/>
              </w:rPr>
            </w:pPr>
          </w:p>
        </w:tc>
      </w:tr>
      <w:tr>
        <w:trPr>
          <w:trHeight w:val="210"/>
        </w:trPr>
        <w:tc>
          <w:tcPr>
            <w:tcW w:w="5020" w:type="dxa"/>
            <w:vAlign w:val="bottom"/>
            <w:tcBorders>
              <w:top w:val="single" w:sz="8" w:color="CCEEFF"/>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0.87</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0.48</w:t>
            </w:r>
          </w:p>
        </w:tc>
        <w:tc>
          <w:tcPr>
            <w:tcW w:w="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w:t>
            </w:r>
          </w:p>
        </w:tc>
        <w:tc>
          <w:tcPr>
            <w:tcW w:w="1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0.67</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SHARES USED IN COMPUTING INCOME PER SHARE: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37,220</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37,272</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10"/>
        </w:trPr>
        <w:tc>
          <w:tcPr>
            <w:tcW w:w="5020" w:type="dxa"/>
            <w:vAlign w:val="bottom"/>
            <w:tcBorders>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37,705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37,714</w:t>
            </w:r>
          </w:p>
        </w:tc>
        <w:tc>
          <w:tcPr>
            <w:tcW w:w="40" w:type="dxa"/>
            <w:vAlign w:val="bottom"/>
            <w:tcBorders>
              <w:bottom w:val="single" w:sz="8" w:color="CCEEFF"/>
            </w:tcBorders>
          </w:tcPr>
          <w:p>
            <w:pPr>
              <w:spacing w:after="0"/>
              <w:rPr>
                <w:sz w:val="18"/>
                <w:szCs w:val="18"/>
                <w:color w:val="auto"/>
              </w:rPr>
            </w:pPr>
          </w:p>
        </w:tc>
      </w:tr>
      <w:tr>
        <w:trPr>
          <w:trHeight w:val="223"/>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COMFORT SYSTEMS USA, INC.</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Total</w:t>
            </w:r>
          </w:p>
        </w:tc>
      </w:tr>
      <w:tr>
        <w:trPr>
          <w:trHeight w:val="153"/>
        </w:trPr>
        <w:tc>
          <w:tcPr>
            <w:tcW w:w="4020" w:type="dxa"/>
            <w:vAlign w:val="bottom"/>
          </w:tcPr>
          <w:p>
            <w:pPr>
              <w:spacing w:after="0"/>
              <w:rPr>
                <w:sz w:val="13"/>
                <w:szCs w:val="13"/>
                <w:color w:val="auto"/>
              </w:rPr>
            </w:pPr>
          </w:p>
        </w:tc>
        <w:tc>
          <w:tcPr>
            <w:tcW w:w="1380" w:type="dxa"/>
            <w:vAlign w:val="bottom"/>
            <w:gridSpan w:val="5"/>
          </w:tcPr>
          <w:p>
            <w:pPr>
              <w:ind w:left="200"/>
              <w:spacing w:after="0"/>
              <w:rPr>
                <w:sz w:val="20"/>
                <w:szCs w:val="20"/>
                <w:color w:val="auto"/>
              </w:rPr>
            </w:pPr>
            <w:r>
              <w:rPr>
                <w:rFonts w:ascii="Arial" w:cs="Arial" w:eastAsia="Arial" w:hAnsi="Arial"/>
                <w:sz w:val="13"/>
                <w:szCs w:val="13"/>
                <w:b w:val="1"/>
                <w:bCs w:val="1"/>
                <w:color w:val="auto"/>
              </w:rPr>
              <w:t>Common Stock</w:t>
            </w:r>
          </w:p>
        </w:tc>
        <w:tc>
          <w:tcPr>
            <w:tcW w:w="136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2"/>
              </w:rPr>
              <w:t>Paid-In</w:t>
            </w:r>
          </w:p>
        </w:tc>
        <w:tc>
          <w:tcPr>
            <w:tcW w:w="6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Retained</w:t>
            </w:r>
          </w:p>
        </w:tc>
        <w:tc>
          <w:tcPr>
            <w:tcW w:w="14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w w:val="90"/>
              </w:rPr>
              <w:t>Stockholders’</w:t>
            </w:r>
          </w:p>
        </w:tc>
      </w:tr>
      <w:tr>
        <w:trPr>
          <w:trHeight w:val="129"/>
        </w:trPr>
        <w:tc>
          <w:tcPr>
            <w:tcW w:w="4020" w:type="dxa"/>
            <w:vAlign w:val="bottom"/>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29" w:lineRule="exact"/>
              <w:rPr>
                <w:sz w:val="20"/>
                <w:szCs w:val="20"/>
                <w:color w:val="auto"/>
              </w:rPr>
            </w:pPr>
            <w:r>
              <w:rPr>
                <w:rFonts w:ascii="Arial" w:cs="Arial" w:eastAsia="Arial" w:hAnsi="Arial"/>
                <w:sz w:val="13"/>
                <w:szCs w:val="13"/>
                <w:b w:val="1"/>
                <w:bCs w:val="1"/>
                <w:color w:val="auto"/>
                <w:w w:val="90"/>
              </w:rPr>
              <w:t>Equity</w:t>
            </w:r>
          </w:p>
        </w:tc>
      </w:tr>
      <w:tr>
        <w:trPr>
          <w:trHeight w:val="129"/>
        </w:trPr>
        <w:tc>
          <w:tcPr>
            <w:tcW w:w="40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2016</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41,123,365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(3,914,251)</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(57,387)</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309,625</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123,984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376,633</w:t>
            </w:r>
          </w:p>
        </w:tc>
        <w:tc>
          <w:tcPr>
            <w:tcW w:w="40" w:type="dxa"/>
            <w:vAlign w:val="bottom"/>
            <w:tcBorders>
              <w:top w:val="single" w:sz="8" w:color="CCEEFF"/>
            </w:tcBorders>
            <w:shd w:val="clear" w:color="auto" w:fill="CCEEFF"/>
          </w:tcPr>
          <w:p>
            <w:pPr>
              <w:spacing w:after="0"/>
              <w:rPr>
                <w:sz w:val="11"/>
                <w:szCs w:val="11"/>
                <w:color w:val="auto"/>
              </w:rPr>
            </w:pPr>
          </w:p>
        </w:tc>
      </w:tr>
      <w:tr>
        <w:trPr>
          <w:trHeight w:val="135"/>
        </w:trPr>
        <w:tc>
          <w:tcPr>
            <w:tcW w:w="4020" w:type="dxa"/>
            <w:vAlign w:val="bottom"/>
          </w:tcPr>
          <w:p>
            <w:pPr>
              <w:ind w:left="220"/>
              <w:spacing w:after="0" w:line="135" w:lineRule="exact"/>
              <w:rPr>
                <w:sz w:val="20"/>
                <w:szCs w:val="20"/>
                <w:color w:val="auto"/>
              </w:rPr>
            </w:pPr>
            <w:r>
              <w:rPr>
                <w:rFonts w:ascii="Arial" w:cs="Arial" w:eastAsia="Arial" w:hAnsi="Arial"/>
                <w:sz w:val="13"/>
                <w:szCs w:val="13"/>
                <w:color w:val="auto"/>
              </w:rPr>
              <w:t>Net income</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55,272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55,272</w:t>
            </w:r>
          </w:p>
        </w:tc>
        <w:tc>
          <w:tcPr>
            <w:tcW w:w="40" w:type="dxa"/>
            <w:vAlign w:val="bottom"/>
          </w:tcPr>
          <w:p>
            <w:pPr>
              <w:spacing w:after="0"/>
              <w:rPr>
                <w:sz w:val="11"/>
                <w:szCs w:val="11"/>
                <w:color w:val="auto"/>
              </w:rPr>
            </w:pPr>
          </w:p>
        </w:tc>
      </w:tr>
      <w:tr>
        <w:trPr>
          <w:trHeight w:val="135"/>
        </w:trPr>
        <w:tc>
          <w:tcPr>
            <w:tcW w:w="40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4020" w:type="dxa"/>
            <w:vAlign w:val="bottom"/>
          </w:tcPr>
          <w:p>
            <w:pPr>
              <w:ind w:left="320"/>
              <w:spacing w:after="0" w:line="135" w:lineRule="exact"/>
              <w:rPr>
                <w:sz w:val="20"/>
                <w:szCs w:val="20"/>
                <w:color w:val="auto"/>
              </w:rPr>
            </w:pPr>
            <w:r>
              <w:rPr>
                <w:rFonts w:ascii="Arial" w:cs="Arial" w:eastAsia="Arial" w:hAnsi="Arial"/>
                <w:sz w:val="13"/>
                <w:szCs w:val="13"/>
                <w:color w:val="auto"/>
              </w:rPr>
              <w:t>Issuance of shares for options exercised</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145,746</w:t>
            </w:r>
          </w:p>
        </w:tc>
        <w:tc>
          <w:tcPr>
            <w:tcW w:w="8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2,257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2,052</w:t>
            </w:r>
          </w:p>
        </w:tc>
        <w:tc>
          <w:tcPr>
            <w:tcW w:w="40" w:type="dxa"/>
            <w:vAlign w:val="bottom"/>
          </w:tcPr>
          <w:p>
            <w:pPr>
              <w:spacing w:after="0"/>
              <w:rPr>
                <w:sz w:val="11"/>
                <w:szCs w:val="11"/>
                <w:color w:val="auto"/>
              </w:rPr>
            </w:pPr>
          </w:p>
        </w:tc>
      </w:tr>
      <w:tr>
        <w:trPr>
          <w:trHeight w:val="135"/>
        </w:trPr>
        <w:tc>
          <w:tcPr>
            <w:tcW w:w="4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Issuance of restricted stock &amp; performance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134,646</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2,037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1,616</w:t>
            </w:r>
          </w:p>
        </w:tc>
        <w:tc>
          <w:tcPr>
            <w:tcW w:w="40" w:type="dxa"/>
            <w:vAlign w:val="bottom"/>
            <w:shd w:val="clear" w:color="auto" w:fill="CCEEFF"/>
          </w:tcPr>
          <w:p>
            <w:pPr>
              <w:spacing w:after="0"/>
              <w:rPr>
                <w:sz w:val="11"/>
                <w:szCs w:val="11"/>
                <w:color w:val="auto"/>
              </w:rPr>
            </w:pPr>
          </w:p>
        </w:tc>
      </w:tr>
      <w:tr>
        <w:trPr>
          <w:trHeight w:val="121"/>
        </w:trPr>
        <w:tc>
          <w:tcPr>
            <w:tcW w:w="4020" w:type="dxa"/>
            <w:vAlign w:val="bottom"/>
          </w:tcPr>
          <w:p>
            <w:pPr>
              <w:ind w:left="220"/>
              <w:spacing w:after="0" w:line="121" w:lineRule="exact"/>
              <w:rPr>
                <w:sz w:val="20"/>
                <w:szCs w:val="20"/>
                <w:color w:val="auto"/>
              </w:rPr>
            </w:pPr>
            <w:r>
              <w:rPr>
                <w:rFonts w:ascii="Arial" w:cs="Arial" w:eastAsia="Arial" w:hAnsi="Arial"/>
                <w:sz w:val="13"/>
                <w:szCs w:val="13"/>
                <w:color w:val="auto"/>
                <w:w w:val="93"/>
              </w:rPr>
              <w:t>Shares received in lieu of tax withholding payment on vested restricted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4020" w:type="dxa"/>
            <w:vAlign w:val="bottom"/>
          </w:tcPr>
          <w:p>
            <w:pPr>
              <w:ind w:left="220"/>
              <w:spacing w:after="0"/>
              <w:rPr>
                <w:sz w:val="20"/>
                <w:szCs w:val="20"/>
                <w:color w:val="auto"/>
              </w:rPr>
            </w:pPr>
            <w:r>
              <w:rPr>
                <w:rFonts w:ascii="Arial" w:cs="Arial" w:eastAsia="Arial" w:hAnsi="Arial"/>
                <w:sz w:val="13"/>
                <w:szCs w:val="13"/>
                <w:color w:val="auto"/>
              </w:rPr>
              <w:t>stock</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(39,335)</w:t>
            </w:r>
          </w:p>
        </w:tc>
        <w:tc>
          <w:tcPr>
            <w:tcW w:w="8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(1,419)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(1,419)</w:t>
            </w:r>
          </w:p>
        </w:tc>
      </w:tr>
      <w:tr>
        <w:trPr>
          <w:trHeight w:val="135"/>
        </w:trPr>
        <w:tc>
          <w:tcPr>
            <w:tcW w:w="40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Stock-based compensation</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3,785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3,785</w:t>
            </w:r>
          </w:p>
        </w:tc>
        <w:tc>
          <w:tcPr>
            <w:tcW w:w="40" w:type="dxa"/>
            <w:vAlign w:val="bottom"/>
            <w:shd w:val="clear" w:color="auto" w:fill="CCEEFF"/>
          </w:tcPr>
          <w:p>
            <w:pPr>
              <w:spacing w:after="0"/>
              <w:rPr>
                <w:sz w:val="11"/>
                <w:szCs w:val="11"/>
                <w:color w:val="auto"/>
              </w:rPr>
            </w:pPr>
          </w:p>
        </w:tc>
      </w:tr>
      <w:tr>
        <w:trPr>
          <w:trHeight w:val="135"/>
        </w:trPr>
        <w:tc>
          <w:tcPr>
            <w:tcW w:w="4020" w:type="dxa"/>
            <w:vAlign w:val="bottom"/>
          </w:tcPr>
          <w:p>
            <w:pPr>
              <w:ind w:left="220"/>
              <w:spacing w:after="0" w:line="135" w:lineRule="exact"/>
              <w:rPr>
                <w:sz w:val="20"/>
                <w:szCs w:val="20"/>
                <w:color w:val="auto"/>
              </w:rPr>
            </w:pPr>
            <w:r>
              <w:rPr>
                <w:rFonts w:ascii="Arial" w:cs="Arial" w:eastAsia="Arial" w:hAnsi="Arial"/>
                <w:sz w:val="13"/>
                <w:szCs w:val="13"/>
                <w:color w:val="auto"/>
              </w:rPr>
              <w:t>Dividends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w w:val="99"/>
              </w:rPr>
              <w:t>(10,987)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(10,987)</w:t>
            </w:r>
          </w:p>
        </w:tc>
        <w:tc>
          <w:tcPr>
            <w:tcW w:w="40" w:type="dxa"/>
            <w:vAlign w:val="bottom"/>
          </w:tcPr>
          <w:p>
            <w:pPr>
              <w:spacing w:after="0"/>
              <w:rPr>
                <w:sz w:val="11"/>
                <w:szCs w:val="11"/>
                <w:color w:val="auto"/>
              </w:rPr>
            </w:pPr>
          </w:p>
        </w:tc>
      </w:tr>
      <w:tr>
        <w:trPr>
          <w:trHeight w:val="135"/>
        </w:trPr>
        <w:tc>
          <w:tcPr>
            <w:tcW w:w="40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Share repurchase</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(263,097)</w:t>
            </w:r>
          </w:p>
        </w:tc>
        <w:tc>
          <w:tcPr>
            <w:tcW w:w="66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(9,007)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(9,007)</w:t>
            </w:r>
          </w:p>
        </w:tc>
      </w:tr>
      <w:tr>
        <w:trPr>
          <w:trHeight w:val="129"/>
        </w:trPr>
        <w:tc>
          <w:tcPr>
            <w:tcW w:w="4020" w:type="dxa"/>
            <w:vAlign w:val="bottom"/>
          </w:tcPr>
          <w:p>
            <w:pPr>
              <w:spacing w:after="0" w:line="129" w:lineRule="exact"/>
              <w:rPr>
                <w:sz w:val="20"/>
                <w:szCs w:val="20"/>
                <w:color w:val="auto"/>
              </w:rPr>
            </w:pPr>
            <w:r>
              <w:rPr>
                <w:rFonts w:ascii="Arial" w:cs="Arial" w:eastAsia="Arial" w:hAnsi="Arial"/>
                <w:sz w:val="13"/>
                <w:szCs w:val="13"/>
                <w:color w:val="auto"/>
              </w:rPr>
              <w:t>BALANCE AT DECEMBER 31, 2017</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41,123,365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(3,936,291)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(63,519)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7"/>
              </w:rPr>
              <w:t>312,784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168,269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417,945</w:t>
            </w:r>
          </w:p>
        </w:tc>
        <w:tc>
          <w:tcPr>
            <w:tcW w:w="40" w:type="dxa"/>
            <w:vAlign w:val="bottom"/>
          </w:tcPr>
          <w:p>
            <w:pPr>
              <w:spacing w:after="0"/>
              <w:rPr>
                <w:sz w:val="11"/>
                <w:szCs w:val="11"/>
                <w:color w:val="auto"/>
              </w:rPr>
            </w:pPr>
          </w:p>
        </w:tc>
      </w:tr>
      <w:tr>
        <w:trPr>
          <w:trHeight w:val="135"/>
        </w:trPr>
        <w:tc>
          <w:tcPr>
            <w:tcW w:w="40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Net income (unaudited)</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49,206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49,206</w:t>
            </w:r>
          </w:p>
        </w:tc>
        <w:tc>
          <w:tcPr>
            <w:tcW w:w="40" w:type="dxa"/>
            <w:vAlign w:val="bottom"/>
            <w:shd w:val="clear" w:color="auto" w:fill="CCEEFF"/>
          </w:tcPr>
          <w:p>
            <w:pPr>
              <w:spacing w:after="0"/>
              <w:rPr>
                <w:sz w:val="11"/>
                <w:szCs w:val="11"/>
                <w:color w:val="auto"/>
              </w:rPr>
            </w:pPr>
          </w:p>
        </w:tc>
      </w:tr>
      <w:tr>
        <w:trPr>
          <w:trHeight w:val="135"/>
        </w:trPr>
        <w:tc>
          <w:tcPr>
            <w:tcW w:w="4020" w:type="dxa"/>
            <w:vAlign w:val="bottom"/>
          </w:tcPr>
          <w:p>
            <w:pPr>
              <w:ind w:left="220"/>
              <w:spacing w:after="0" w:line="135" w:lineRule="exact"/>
              <w:rPr>
                <w:sz w:val="20"/>
                <w:szCs w:val="20"/>
                <w:color w:val="auto"/>
              </w:rPr>
            </w:pPr>
            <w:r>
              <w:rPr>
                <w:rFonts w:ascii="Arial" w:cs="Arial" w:eastAsia="Arial" w:hAnsi="Arial"/>
                <w:sz w:val="13"/>
                <w:szCs w:val="13"/>
                <w:color w:val="auto"/>
              </w:rPr>
              <w:t>Issuance of Stock:</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020" w:type="dxa"/>
            <w:vAlign w:val="bottom"/>
            <w:shd w:val="clear" w:color="auto" w:fill="CCEEFF"/>
          </w:tcPr>
          <w:p>
            <w:pPr>
              <w:ind w:left="320"/>
              <w:spacing w:after="0" w:line="135" w:lineRule="exact"/>
              <w:rPr>
                <w:sz w:val="20"/>
                <w:szCs w:val="20"/>
                <w:color w:val="auto"/>
              </w:rPr>
            </w:pPr>
            <w:r>
              <w:rPr>
                <w:rFonts w:ascii="Arial" w:cs="Arial" w:eastAsia="Arial" w:hAnsi="Arial"/>
                <w:sz w:val="13"/>
                <w:szCs w:val="13"/>
                <w:color w:val="auto"/>
              </w:rPr>
              <w:t>Issuance of shares for options exercised (unaudited)</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131,740</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2,276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2,159</w:t>
            </w:r>
          </w:p>
        </w:tc>
        <w:tc>
          <w:tcPr>
            <w:tcW w:w="40" w:type="dxa"/>
            <w:vAlign w:val="bottom"/>
            <w:shd w:val="clear" w:color="auto" w:fill="CCEEFF"/>
          </w:tcPr>
          <w:p>
            <w:pPr>
              <w:spacing w:after="0"/>
              <w:rPr>
                <w:sz w:val="11"/>
                <w:szCs w:val="11"/>
                <w:color w:val="auto"/>
              </w:rPr>
            </w:pPr>
          </w:p>
        </w:tc>
      </w:tr>
      <w:tr>
        <w:trPr>
          <w:trHeight w:val="135"/>
        </w:trPr>
        <w:tc>
          <w:tcPr>
            <w:tcW w:w="4020" w:type="dxa"/>
            <w:vAlign w:val="bottom"/>
          </w:tcPr>
          <w:p>
            <w:pPr>
              <w:ind w:left="320"/>
              <w:spacing w:after="0" w:line="135" w:lineRule="exact"/>
              <w:rPr>
                <w:sz w:val="20"/>
                <w:szCs w:val="20"/>
                <w:color w:val="auto"/>
              </w:rPr>
            </w:pPr>
            <w:r>
              <w:rPr>
                <w:rFonts w:ascii="Arial" w:cs="Arial" w:eastAsia="Arial" w:hAnsi="Arial"/>
                <w:sz w:val="13"/>
                <w:szCs w:val="13"/>
                <w:color w:val="auto"/>
              </w:rPr>
              <w:t>Issuance of restricted stock &amp; performance stock (unaudited)</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129,569</w:t>
            </w:r>
          </w:p>
        </w:tc>
        <w:tc>
          <w:tcPr>
            <w:tcW w:w="8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2,223</w:t>
            </w:r>
          </w:p>
        </w:tc>
        <w:tc>
          <w:tcPr>
            <w:tcW w:w="40" w:type="dxa"/>
            <w:vAlign w:val="bottom"/>
          </w:tcPr>
          <w:p>
            <w:pPr>
              <w:spacing w:after="0"/>
              <w:rPr>
                <w:sz w:val="11"/>
                <w:szCs w:val="11"/>
                <w:color w:val="auto"/>
              </w:rPr>
            </w:pPr>
          </w:p>
        </w:tc>
      </w:tr>
      <w:tr>
        <w:trPr>
          <w:trHeight w:val="121"/>
        </w:trPr>
        <w:tc>
          <w:tcPr>
            <w:tcW w:w="402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w w:val="93"/>
              </w:rPr>
              <w:t>Shares received in lieu of tax withholding payment on vested restricted</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40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 (unaudited)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(36,967)</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(1,540)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(1,540)</w:t>
            </w:r>
          </w:p>
        </w:tc>
      </w:tr>
      <w:tr>
        <w:trPr>
          <w:trHeight w:val="135"/>
        </w:trPr>
        <w:tc>
          <w:tcPr>
            <w:tcW w:w="4020" w:type="dxa"/>
            <w:vAlign w:val="bottom"/>
          </w:tcPr>
          <w:p>
            <w:pPr>
              <w:ind w:left="220"/>
              <w:spacing w:after="0" w:line="135" w:lineRule="exact"/>
              <w:rPr>
                <w:sz w:val="20"/>
                <w:szCs w:val="20"/>
                <w:color w:val="auto"/>
              </w:rPr>
            </w:pPr>
            <w:r>
              <w:rPr>
                <w:rFonts w:ascii="Arial" w:cs="Arial" w:eastAsia="Arial" w:hAnsi="Arial"/>
                <w:sz w:val="13"/>
                <w:szCs w:val="13"/>
                <w:color w:val="auto"/>
              </w:rPr>
              <w:t>Stock-based compensation (unaudited)</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3,572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3,572</w:t>
            </w:r>
          </w:p>
        </w:tc>
        <w:tc>
          <w:tcPr>
            <w:tcW w:w="40" w:type="dxa"/>
            <w:vAlign w:val="bottom"/>
          </w:tcPr>
          <w:p>
            <w:pPr>
              <w:spacing w:after="0"/>
              <w:rPr>
                <w:sz w:val="11"/>
                <w:szCs w:val="11"/>
                <w:color w:val="auto"/>
              </w:rPr>
            </w:pPr>
          </w:p>
        </w:tc>
      </w:tr>
      <w:tr>
        <w:trPr>
          <w:trHeight w:val="135"/>
        </w:trPr>
        <w:tc>
          <w:tcPr>
            <w:tcW w:w="402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Dividends (unaudited)</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(5,760)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(5,760)</w:t>
            </w:r>
          </w:p>
        </w:tc>
      </w:tr>
      <w:tr>
        <w:trPr>
          <w:trHeight w:val="135"/>
        </w:trPr>
        <w:tc>
          <w:tcPr>
            <w:tcW w:w="4020" w:type="dxa"/>
            <w:vAlign w:val="bottom"/>
          </w:tcPr>
          <w:p>
            <w:pPr>
              <w:ind w:left="220"/>
              <w:spacing w:after="0" w:line="135" w:lineRule="exact"/>
              <w:rPr>
                <w:sz w:val="20"/>
                <w:szCs w:val="20"/>
                <w:color w:val="auto"/>
              </w:rPr>
            </w:pPr>
            <w:r>
              <w:rPr>
                <w:rFonts w:ascii="Arial" w:cs="Arial" w:eastAsia="Arial" w:hAnsi="Arial"/>
                <w:sz w:val="13"/>
                <w:szCs w:val="13"/>
                <w:color w:val="auto"/>
              </w:rPr>
              <w:t>Share repurchase (unaudited)</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(165,807)</w:t>
            </w:r>
          </w:p>
        </w:tc>
        <w:tc>
          <w:tcPr>
            <w:tcW w:w="6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(6,830)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(6,830)</w:t>
            </w:r>
          </w:p>
        </w:tc>
      </w:tr>
      <w:tr>
        <w:trPr>
          <w:trHeight w:val="136"/>
        </w:trPr>
        <w:tc>
          <w:tcPr>
            <w:tcW w:w="402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JUNE 30, 2018 (unaudited)</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41,123,365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(3,877,756)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(67,386)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316,235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211,715</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460,975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COMFORT SYSTEMS USA,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Six Months Ended</w:t>
      </w:r>
    </w:p>
    <w:p>
      <w:pPr>
        <w:jc w:val="center"/>
        <w:ind w:left="70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5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49,206</w:t>
            </w:r>
          </w:p>
        </w:tc>
        <w:tc>
          <w:tcPr>
            <w:tcW w:w="100" w:type="dxa"/>
            <w:vAlign w:val="bottom"/>
          </w:tcPr>
          <w:p>
            <w:pPr>
              <w:spacing w:after="0"/>
              <w:rPr>
                <w:sz w:val="18"/>
                <w:szCs w:val="18"/>
                <w:color w:val="auto"/>
              </w:rPr>
            </w:pPr>
          </w:p>
        </w:tc>
        <w:tc>
          <w:tcPr>
            <w:tcW w:w="3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25,449</w:t>
            </w:r>
          </w:p>
        </w:tc>
        <w:tc>
          <w:tcPr>
            <w:tcW w:w="40" w:type="dxa"/>
            <w:vAlign w:val="bottom"/>
          </w:tcPr>
          <w:p>
            <w:pPr>
              <w:spacing w:after="0"/>
              <w:rPr>
                <w:sz w:val="18"/>
                <w:szCs w:val="18"/>
                <w:color w:val="auto"/>
              </w:rPr>
            </w:pP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6"/>
                <w:szCs w:val="16"/>
                <w:color w:val="auto"/>
              </w:rPr>
              <w:t>Amortization of identifiable intangible assets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7,302</w:t>
            </w:r>
          </w:p>
        </w:tc>
        <w:tc>
          <w:tcPr>
            <w:tcW w:w="40" w:type="dxa"/>
            <w:vAlign w:val="bottom"/>
          </w:tcPr>
          <w:p>
            <w:pPr>
              <w:spacing w:after="0"/>
              <w:rPr>
                <w:sz w:val="17"/>
                <w:szCs w:val="17"/>
                <w:color w:val="auto"/>
              </w:rPr>
            </w:pPr>
          </w:p>
        </w:tc>
      </w:tr>
      <w:tr>
        <w:trPr>
          <w:trHeight w:val="203"/>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expense</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9,597</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6"/>
                <w:szCs w:val="16"/>
                <w:color w:val="auto"/>
              </w:rPr>
              <w:t>Goodwill impairment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1,105</w:t>
            </w:r>
          </w:p>
        </w:tc>
        <w:tc>
          <w:tcPr>
            <w:tcW w:w="40" w:type="dxa"/>
            <w:vAlign w:val="bottom"/>
          </w:tcPr>
          <w:p>
            <w:pPr>
              <w:spacing w:after="0"/>
              <w:rPr>
                <w:sz w:val="17"/>
                <w:szCs w:val="17"/>
                <w:color w:val="auto"/>
              </w:rPr>
            </w:pPr>
          </w:p>
        </w:tc>
      </w:tr>
      <w:tr>
        <w:trPr>
          <w:trHeight w:val="203"/>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Bad debt expense (benefit)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w:t>
            </w:r>
          </w:p>
        </w:tc>
      </w:tr>
      <w:tr>
        <w:trPr>
          <w:trHeight w:val="203"/>
        </w:trPr>
        <w:tc>
          <w:tcPr>
            <w:tcW w:w="6560" w:type="dxa"/>
            <w:vAlign w:val="bottom"/>
          </w:tcPr>
          <w:p>
            <w:pPr>
              <w:ind w:left="220"/>
              <w:spacing w:after="0"/>
              <w:rPr>
                <w:sz w:val="20"/>
                <w:szCs w:val="20"/>
                <w:color w:val="auto"/>
              </w:rPr>
            </w:pPr>
            <w:r>
              <w:rPr>
                <w:rFonts w:ascii="Arial" w:cs="Arial" w:eastAsia="Arial" w:hAnsi="Arial"/>
                <w:sz w:val="16"/>
                <w:szCs w:val="16"/>
                <w:color w:val="auto"/>
              </w:rPr>
              <w:t>Deferred tax provision (benefit)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(2,547)</w:t>
            </w:r>
          </w:p>
        </w:tc>
      </w:tr>
      <w:tr>
        <w:trPr>
          <w:trHeight w:val="203"/>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financing costs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6"/>
                <w:szCs w:val="16"/>
                <w:color w:val="auto"/>
              </w:rPr>
              <w:t>Gain on sale of assets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(280)</w:t>
            </w:r>
          </w:p>
        </w:tc>
      </w:tr>
      <w:tr>
        <w:trPr>
          <w:trHeight w:val="203"/>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the fair value of contingent earn-out obligations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3,447</w:t>
            </w:r>
          </w:p>
        </w:tc>
        <w:tc>
          <w:tcPr>
            <w:tcW w:w="40" w:type="dxa"/>
            <w:vAlign w:val="bottom"/>
          </w:tcPr>
          <w:p>
            <w:pPr>
              <w:spacing w:after="0"/>
              <w:rPr>
                <w:sz w:val="17"/>
                <w:szCs w:val="17"/>
                <w:color w:val="auto"/>
              </w:rPr>
            </w:pPr>
          </w:p>
        </w:tc>
      </w:tr>
      <w:tr>
        <w:trPr>
          <w:trHeight w:val="203"/>
        </w:trPr>
        <w:tc>
          <w:tcPr>
            <w:tcW w:w="65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Changes in operating assets and liabilities, net of effects of acquisitions and divestitures—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(Increase) decrease 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Receivables, net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(55,675)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(38,886)</w:t>
            </w:r>
          </w:p>
        </w:tc>
      </w:tr>
      <w:tr>
        <w:trPr>
          <w:trHeight w:val="203"/>
        </w:trPr>
        <w:tc>
          <w:tcPr>
            <w:tcW w:w="656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(924)</w:t>
            </w: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4,043</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6"/>
                <w:szCs w:val="16"/>
                <w:color w:val="auto"/>
              </w:rPr>
              <w:t>Costs and estimated earnings in excess of billings and unbilled accounts receivable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(18,711)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(8,781)</w:t>
            </w: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noncurrent assets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Increase (decrease) 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13,422</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440"/>
              <w:spacing w:after="0"/>
              <w:rPr>
                <w:sz w:val="20"/>
                <w:szCs w:val="20"/>
                <w:color w:val="auto"/>
              </w:rPr>
            </w:pPr>
            <w:r>
              <w:rPr>
                <w:rFonts w:ascii="Arial" w:cs="Arial" w:eastAsia="Arial" w:hAnsi="Arial"/>
                <w:sz w:val="16"/>
                <w:szCs w:val="16"/>
                <w:color w:val="auto"/>
              </w:rPr>
              <w:t>Billings in excess of costs and estimated earnings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24,831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6,835</w:t>
            </w:r>
          </w:p>
        </w:tc>
        <w:tc>
          <w:tcPr>
            <w:tcW w:w="40" w:type="dxa"/>
            <w:vAlign w:val="bottom"/>
          </w:tcPr>
          <w:p>
            <w:pPr>
              <w:spacing w:after="0"/>
              <w:rPr>
                <w:sz w:val="17"/>
                <w:szCs w:val="17"/>
                <w:color w:val="auto"/>
              </w:rPr>
            </w:pPr>
          </w:p>
        </w:tc>
      </w:tr>
      <w:tr>
        <w:trPr>
          <w:trHeight w:val="203"/>
        </w:trPr>
        <w:tc>
          <w:tcPr>
            <w:tcW w:w="65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long-term liabilities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40" w:type="dxa"/>
            <w:vAlign w:val="bottom"/>
            <w:shd w:val="clear" w:color="auto" w:fill="CCEEFF"/>
          </w:tcPr>
          <w:p>
            <w:pPr>
              <w:spacing w:after="0"/>
              <w:rPr>
                <w:sz w:val="17"/>
                <w:szCs w:val="17"/>
                <w:color w:val="auto"/>
              </w:rPr>
            </w:pPr>
          </w:p>
        </w:tc>
      </w:tr>
      <w:tr>
        <w:trPr>
          <w:trHeight w:val="196"/>
        </w:trPr>
        <w:tc>
          <w:tcPr>
            <w:tcW w:w="6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4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21,180</w:t>
            </w:r>
          </w:p>
        </w:tc>
        <w:tc>
          <w:tcPr>
            <w:tcW w:w="40" w:type="dxa"/>
            <w:vAlign w:val="bottom"/>
            <w:tcBorders>
              <w:bottom w:val="single" w:sz="8" w:color="CCEEFF"/>
            </w:tcBorders>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(14,123)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(11,646)</w:t>
            </w:r>
          </w:p>
        </w:tc>
        <w:tc>
          <w:tcPr>
            <w:tcW w:w="40" w:type="dxa"/>
            <w:vAlign w:val="bottom"/>
          </w:tcPr>
          <w:p>
            <w:pPr>
              <w:spacing w:after="0"/>
              <w:rPr>
                <w:sz w:val="17"/>
                <w:szCs w:val="17"/>
                <w:color w:val="auto"/>
              </w:rPr>
            </w:pPr>
          </w:p>
        </w:tc>
      </w:tr>
      <w:tr>
        <w:trPr>
          <w:trHeight w:val="203"/>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of property and equipment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Cash paid for acquisitions, net of cash acquired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(13,668)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(83,710)</w:t>
            </w:r>
          </w:p>
        </w:tc>
      </w:tr>
      <w:tr>
        <w:trPr>
          <w:trHeight w:val="196"/>
        </w:trPr>
        <w:tc>
          <w:tcPr>
            <w:tcW w:w="65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(94,751)</w:t>
            </w:r>
          </w:p>
        </w:tc>
        <w:tc>
          <w:tcPr>
            <w:tcW w:w="40" w:type="dxa"/>
            <w:vAlign w:val="bottom"/>
            <w:tcBorders>
              <w:top w:val="single" w:sz="8" w:color="CCEEFF"/>
            </w:tcBorders>
            <w:shd w:val="clear" w:color="auto" w:fill="CCEEFF"/>
          </w:tcPr>
          <w:p>
            <w:pPr>
              <w:spacing w:after="0"/>
              <w:rPr>
                <w:sz w:val="17"/>
                <w:szCs w:val="17"/>
                <w:color w:val="auto"/>
              </w:rPr>
            </w:pPr>
          </w:p>
        </w:tc>
      </w:tr>
      <w:tr>
        <w:trPr>
          <w:trHeight w:val="193"/>
        </w:trPr>
        <w:tc>
          <w:tcPr>
            <w:tcW w:w="65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revolving line of credit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110,000</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Payments on revolving line of credit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(37,000)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(21,500)</w:t>
            </w:r>
          </w:p>
        </w:tc>
      </w:tr>
      <w:tr>
        <w:trPr>
          <w:trHeight w:val="203"/>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other debt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(287)</w:t>
            </w: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Payments on capital lease obligations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r>
      <w:tr>
        <w:trPr>
          <w:trHeight w:val="203"/>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Debt financing costs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Payments of dividends to stockholders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(5,760)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(5,405)</w:t>
            </w:r>
          </w:p>
        </w:tc>
      </w:tr>
      <w:tr>
        <w:trPr>
          <w:trHeight w:val="203"/>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 repurchase</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(6,830)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(3,816)</w:t>
            </w: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Shares received in lieu of tax withholding</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(1,419)</w:t>
            </w:r>
          </w:p>
        </w:tc>
      </w:tr>
      <w:tr>
        <w:trPr>
          <w:trHeight w:val="203"/>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exercise of options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40" w:type="dxa"/>
            <w:vAlign w:val="bottom"/>
            <w:shd w:val="clear" w:color="auto" w:fill="CCEEFF"/>
          </w:tcPr>
          <w:p>
            <w:pPr>
              <w:spacing w:after="0"/>
              <w:rPr>
                <w:sz w:val="17"/>
                <w:szCs w:val="17"/>
                <w:color w:val="auto"/>
              </w:rPr>
            </w:pPr>
          </w:p>
        </w:tc>
      </w:tr>
      <w:tr>
        <w:trPr>
          <w:trHeight w:val="203"/>
        </w:trPr>
        <w:tc>
          <w:tcPr>
            <w:tcW w:w="6560" w:type="dxa"/>
            <w:vAlign w:val="bottom"/>
          </w:tcPr>
          <w:p>
            <w:pPr>
              <w:ind w:left="320"/>
              <w:spacing w:after="0"/>
              <w:rPr>
                <w:sz w:val="20"/>
                <w:szCs w:val="20"/>
                <w:color w:val="auto"/>
              </w:rPr>
            </w:pPr>
            <w:r>
              <w:rPr>
                <w:rFonts w:ascii="Arial" w:cs="Arial" w:eastAsia="Arial" w:hAnsi="Arial"/>
                <w:sz w:val="16"/>
                <w:szCs w:val="16"/>
                <w:color w:val="auto"/>
              </w:rPr>
              <w:t>Deferred acquisition payments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(2,802)</w:t>
            </w:r>
          </w:p>
        </w:tc>
      </w:tr>
      <w:tr>
        <w:trPr>
          <w:trHeight w:val="203"/>
        </w:trPr>
        <w:tc>
          <w:tcPr>
            <w:tcW w:w="6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for contingent consideration arrangements</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96"/>
        </w:trPr>
        <w:tc>
          <w:tcPr>
            <w:tcW w:w="65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4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(18,929)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75,962</w:t>
            </w:r>
          </w:p>
        </w:tc>
        <w:tc>
          <w:tcPr>
            <w:tcW w:w="40" w:type="dxa"/>
            <w:vAlign w:val="bottom"/>
            <w:tcBorders>
              <w:bottom w:val="single" w:sz="8" w:color="CCEEFF"/>
            </w:tcBorders>
          </w:tcPr>
          <w:p>
            <w:pPr>
              <w:spacing w:after="0"/>
              <w:rPr>
                <w:sz w:val="17"/>
                <w:szCs w:val="17"/>
                <w:color w:val="auto"/>
              </w:rPr>
            </w:pPr>
          </w:p>
        </w:tc>
      </w:tr>
      <w:tr>
        <w:trPr>
          <w:trHeight w:val="196"/>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4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40" w:type="dxa"/>
            <w:vAlign w:val="bottom"/>
            <w:shd w:val="clear" w:color="auto" w:fill="CCEEFF"/>
          </w:tcPr>
          <w:p>
            <w:pPr>
              <w:spacing w:after="0"/>
              <w:rPr>
                <w:sz w:val="17"/>
                <w:szCs w:val="17"/>
                <w:color w:val="auto"/>
              </w:rPr>
            </w:pPr>
          </w:p>
        </w:tc>
      </w:tr>
      <w:tr>
        <w:trPr>
          <w:trHeight w:val="196"/>
        </w:trPr>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4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32,074</w:t>
            </w:r>
          </w:p>
        </w:tc>
        <w:tc>
          <w:tcPr>
            <w:tcW w:w="40" w:type="dxa"/>
            <w:vAlign w:val="bottom"/>
            <w:tcBorders>
              <w:bottom w:val="single" w:sz="8" w:color="CCEEFF"/>
            </w:tcBorders>
          </w:tcPr>
          <w:p>
            <w:pPr>
              <w:spacing w:after="0"/>
              <w:rPr>
                <w:sz w:val="17"/>
                <w:szCs w:val="17"/>
                <w:color w:val="auto"/>
              </w:rPr>
            </w:pPr>
          </w:p>
        </w:tc>
      </w:tr>
      <w:tr>
        <w:trPr>
          <w:trHeight w:val="203"/>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4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28,001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34,465</w:t>
            </w:r>
          </w:p>
        </w:tc>
        <w:tc>
          <w:tcPr>
            <w:tcW w:w="40" w:type="dxa"/>
            <w:vAlign w:val="bottom"/>
            <w:tcBorders>
              <w:bottom w:val="single" w:sz="8" w:color="CCEEFF"/>
            </w:tcBorders>
            <w:shd w:val="clear" w:color="auto" w:fill="CCEEFF"/>
          </w:tcPr>
          <w:p>
            <w:pPr>
              <w:spacing w:after="0"/>
              <w:rPr>
                <w:sz w:val="17"/>
                <w:szCs w:val="17"/>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COMFORT SYSTEMS USA,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Organization</w:t>
      </w:r>
    </w:p>
    <w:p>
      <w:pPr>
        <w:spacing w:after="0" w:line="211" w:lineRule="exact"/>
        <w:rPr>
          <w:sz w:val="20"/>
          <w:szCs w:val="20"/>
          <w:color w:val="auto"/>
        </w:rPr>
      </w:pPr>
    </w:p>
    <w:p>
      <w:pPr>
        <w:ind w:right="19" w:firstLine="648"/>
        <w:spacing w:after="0" w:line="272" w:lineRule="auto"/>
        <w:rPr>
          <w:sz w:val="20"/>
          <w:szCs w:val="20"/>
          <w:color w:val="auto"/>
        </w:rPr>
      </w:pPr>
      <w:r>
        <w:rPr>
          <w:rFonts w:ascii="Arial" w:cs="Arial" w:eastAsia="Arial" w:hAnsi="Arial"/>
          <w:sz w:val="17"/>
          <w:szCs w:val="17"/>
          <w:color w:val="auto"/>
        </w:rPr>
        <w:t>Comfort Systems USA, Inc., a Delaware corporation, provides comprehensive mechanical contracting services, which principally includes heating, ventilation and air conditioning (“HVAC”), plumbing, piping and controls, as well as off-site construction, electrical, monitoring and fire protection. We install, maintain, repair and replace products and systems throughout the United States. Approximately 37% of our consolidated 2018 revenue is attributable to installation of systems in newly constructed facilities, with the remaining 63% attributable to maintenance, repair and replacement services. The terms “Comfort Systems,” “we,” “us,” or “the Company,” refer to Comfort Systems USA, Inc. or Comfort Systems USA, Inc. and its consolidated subsidiaries, as appropriate in the context.</w:t>
      </w:r>
    </w:p>
    <w:p>
      <w:pPr>
        <w:spacing w:after="0" w:line="201" w:lineRule="exact"/>
        <w:rPr>
          <w:sz w:val="20"/>
          <w:szCs w:val="20"/>
          <w:color w:val="auto"/>
        </w:rPr>
      </w:pPr>
    </w:p>
    <w:p>
      <w:pPr>
        <w:ind w:left="660" w:right="5479" w:hanging="657"/>
        <w:spacing w:after="0" w:line="503"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19" w:firstLine="648"/>
        <w:spacing w:after="0" w:line="264" w:lineRule="auto"/>
        <w:rPr>
          <w:sz w:val="20"/>
          <w:szCs w:val="20"/>
          <w:color w:val="auto"/>
        </w:rPr>
      </w:pPr>
      <w:r>
        <w:rPr>
          <w:rFonts w:ascii="Arial" w:cs="Arial" w:eastAsia="Arial" w:hAnsi="Arial"/>
          <w:sz w:val="18"/>
          <w:szCs w:val="18"/>
          <w:color w:val="auto"/>
        </w:rPr>
        <w:t>These interim statements should be read in conjunction with the historical Consolidated Financial Statements and related notes of Comfort Systems included in the Annual Report on Form 10-K as filed with the Securities and Exchange Commission (“SEC”) for the year ended December 31, 2017 (the “Form 10-K”).</w:t>
      </w:r>
    </w:p>
    <w:p>
      <w:pPr>
        <w:spacing w:after="0" w:line="181" w:lineRule="exact"/>
        <w:rPr>
          <w:sz w:val="20"/>
          <w:szCs w:val="20"/>
          <w:color w:val="auto"/>
        </w:rPr>
      </w:pPr>
    </w:p>
    <w:p>
      <w:pPr>
        <w:ind w:right="99" w:firstLine="648"/>
        <w:spacing w:after="0" w:line="255" w:lineRule="auto"/>
        <w:rPr>
          <w:sz w:val="20"/>
          <w:szCs w:val="20"/>
          <w:color w:val="auto"/>
        </w:rPr>
      </w:pPr>
      <w:r>
        <w:rPr>
          <w:rFonts w:ascii="Arial" w:cs="Arial" w:eastAsia="Arial" w:hAnsi="Arial"/>
          <w:sz w:val="18"/>
          <w:szCs w:val="18"/>
          <w:color w:val="auto"/>
        </w:rPr>
        <w:t>The accompanying unaudited consolidated financial statements were prepared using generally accepted accounting principles for interim financial information and the instructions to Form 10-Q and applicable rules of Regulation S-X of the SEC. Accordingly, these financial statements do not include all the footnotes required by generally accepted accounting principles for complete financial statements and should be read in conjunction with the Form 10-K. We believe all adjustments necessary for a fair presentation of these interim statements have been included and are of a normal and recurring nature. The results of operations for interim periods are not necessarily indicative of the results for the full fiscal year.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9" w:firstLine="648"/>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the use of estimates and assumptions by management in determining the reported amounts of assets and liabilities, revenue and expenses and disclosures regarding contingent assets and liabilities. Actual results could differ from those estimates. The most significant estimates used in our financial statements affect revenue and cost recognition for construction contracts, the allowance for doubtful accounts, self-insurance accruals, deferred tax assets, warranty accruals, fair value accounting for acquisitions and the quantification of fair value for reporting units in connection with our goodwill impairment testing.</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59" w:firstLine="648"/>
        <w:spacing w:after="0" w:line="276"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(Topic 606).” Topic 606 supersedes the revenue recognition requirements in “Revenue Recognition (Topic 605)” and requires entities to recognize revenue when control of the promised goods or services is transferred to customers at an amount that reflects the consideration to which the entity expects to be entitled in exchange for those goods or services. We adopted Topic 606 as of January 1, 2018.</w:t>
      </w:r>
    </w:p>
    <w:p>
      <w:pPr>
        <w:spacing w:after="0" w:line="173" w:lineRule="exact"/>
        <w:rPr>
          <w:sz w:val="20"/>
          <w:szCs w:val="20"/>
          <w:color w:val="auto"/>
        </w:rPr>
      </w:pPr>
    </w:p>
    <w:p>
      <w:pPr>
        <w:ind w:right="79" w:firstLine="648"/>
        <w:spacing w:after="0" w:line="312" w:lineRule="auto"/>
        <w:rPr>
          <w:sz w:val="20"/>
          <w:szCs w:val="20"/>
          <w:color w:val="auto"/>
        </w:rPr>
      </w:pPr>
      <w:r>
        <w:rPr>
          <w:rFonts w:ascii="Arial" w:cs="Arial" w:eastAsia="Arial" w:hAnsi="Arial"/>
          <w:sz w:val="16"/>
          <w:szCs w:val="16"/>
          <w:color w:val="auto"/>
        </w:rPr>
        <w:t>In accordance with Topic 606, we applied the modified retrospective method to those contracts which were not completed as of January 1, 2018. Under the modified retrospective method, the cumulative effect of applying the standard is recognized at the date of initial application. Results for reporting periods beginning after January 1, 2018 are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presented under Topic 606, while prior period amounts are not adjusted and continue to be reported in accordance with our historic accounting under Topic 605.</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implementing Topic 606, we were required to recalculate the revenue earned on any work in process at the implementation date and to restate the revenue and cost of services as if Topic 606 had been followed from the inception of the contract. In recalculating costs and revenue under Topic 606 guidelines, we identified no material difference in the account balances. Since a material difference was not found, no retrospective analysis of account balance changes was required.</w:t>
      </w:r>
    </w:p>
    <w:p>
      <w:pPr>
        <w:spacing w:after="0" w:line="18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In February 2016, the FASB issued ASU No. 2016-02, “Leases (Topic 842)”. The standard requires lessees to recognize assets and liabilities for most leases. ASU 2016-02 is effective for fiscal years, and interim periods within those years, beginning after December 15, 2018. Early adoption is permitted. ASU 2016-02’s transition provisions are applied using a modified retrospective approach at the beginning of the earliest comparative period presented in the financial statements. Full retrospective application is prohibited. We are currently evaluating the potential impact of this authoritative guidance on our consolidated financial statements.</w:t>
      </w:r>
    </w:p>
    <w:p>
      <w:pPr>
        <w:spacing w:after="0" w:line="19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August 2016, the FASB issued ASU No. 2016-15, “Statement of Cash Flows (Topic 230): Classification of Certain Cash Receipts and Cash Payments”. This standard provides guidance on how certain cash receipts and cash payments are presented and classified in the statement of cash flows and is intended to reduce diversity in practice with respect to these items. The standard is applied using a retrospective transition method and is effective for fiscal years beginning after December 15, 2017, including interim periods within those fiscal years. Early adoption is permitted. We adopted this standard on January 1, 2018 and the adoption did not have any impact on our consolidated financial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Revenue is recognized when control of the promised goods or services is transferred to our customers, in an amount that reflects the consideration to which we expect to be entitled in exchange for those goods or services. Sales-based taxes are excluded from revenue.</w:t>
      </w:r>
    </w:p>
    <w:p>
      <w:pPr>
        <w:spacing w:after="0" w:line="181" w:lineRule="exact"/>
        <w:rPr>
          <w:sz w:val="20"/>
          <w:szCs w:val="20"/>
          <w:color w:val="auto"/>
        </w:rPr>
      </w:pPr>
    </w:p>
    <w:p>
      <w:pPr>
        <w:ind w:right="80" w:firstLine="648"/>
        <w:spacing w:after="0" w:line="219" w:lineRule="exact"/>
        <w:rPr>
          <w:sz w:val="20"/>
          <w:szCs w:val="20"/>
          <w:color w:val="auto"/>
        </w:rPr>
      </w:pPr>
      <w:r>
        <w:rPr>
          <w:rFonts w:ascii="Arial" w:cs="Arial" w:eastAsia="Arial" w:hAnsi="Arial"/>
          <w:sz w:val="18"/>
          <w:szCs w:val="18"/>
          <w:color w:val="auto"/>
        </w:rPr>
        <w:t>We provide comprehensive mechanical contracting services, which principally includes HVAC, plumbing, piping and controls, as well as off</w:t>
      </w:r>
      <w:r>
        <w:rPr>
          <w:rFonts w:ascii="MS PGothic" w:cs="MS PGothic" w:eastAsia="MS PGothic" w:hAnsi="MS PGothic"/>
          <w:sz w:val="18"/>
          <w:szCs w:val="18"/>
          <w:color w:val="auto"/>
        </w:rPr>
        <w:t>‑</w:t>
      </w:r>
      <w:r>
        <w:rPr>
          <w:rFonts w:ascii="Arial" w:cs="Arial" w:eastAsia="Arial" w:hAnsi="Arial"/>
          <w:sz w:val="18"/>
          <w:szCs w:val="18"/>
          <w:color w:val="auto"/>
        </w:rPr>
        <w:t>site construction, electrical, monitoring and fire protection. We install, maintain, repair and replace products and systems throughout the United States. All of our revenue is recognized over time as we deliver goods and services to our customers. Revenue can be earned based on an agreed upon fixed price or based on actual costs incurred marked up at an agreed upon percentage.</w:t>
      </w:r>
    </w:p>
    <w:p>
      <w:pPr>
        <w:spacing w:after="0" w:line="206"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For fixed price agreements, we use the percentage of completion method of accounting under which contract revenue recognizable at any time during the life of a contract is determined by multiplying expected total contract revenue by the percentage of contract costs incurred at any time to total estimated contract costs. More specifically, as part of the negotiation and bidding process to obtain installation contracts, we estimate our contract costs, which include all direct materials, labor and subcontract costs and indirect costs related to contract performance, such as indirect labor, supplies, tools, repairs and depreciation costs. These contract costs are included in our results of operations under the caption “Cost of Services.” Then, as we perform under those contracts, we measure costs incurred, compare them to total estimated costs to complete the contract and recognize a corresponding proportion of contract revenue. Labor costs are considered to be incurred as the work is performed. Subcontractor labor is recognized as the work is performed. Non</w:t>
      </w:r>
      <w:r>
        <w:rPr>
          <w:rFonts w:ascii="MS PGothic" w:cs="MS PGothic" w:eastAsia="MS PGothic" w:hAnsi="MS PGothic"/>
          <w:sz w:val="17"/>
          <w:szCs w:val="17"/>
          <w:color w:val="auto"/>
        </w:rPr>
        <w:t>‑</w:t>
      </w:r>
      <w:r>
        <w:rPr>
          <w:rFonts w:ascii="Arial" w:cs="Arial" w:eastAsia="Arial" w:hAnsi="Arial"/>
          <w:sz w:val="17"/>
          <w:szCs w:val="17"/>
          <w:color w:val="auto"/>
        </w:rPr>
        <w:t>labor project costs consist of purchased equipment, prefabricated materials and other materials. Purchased equipment on our projects is substantially produced to job specifications and is a value-added element to our work. The costs are considered to be incurred when title is transferred to us, which typically is upon delivery to the work site. Prefabricated materials, such as ductwork and piping, are generally performed at our shops and recognized as contract costs when fabricated for the unique specifications of the job. Other materials costs are generally recorded when delivered to the work site. This measurement and comparison process requires updates to the estimate of total costs to complete the contract, and these updates may include subjective assessments and judgments.</w:t>
      </w:r>
    </w:p>
    <w:p>
      <w:pPr>
        <w:spacing w:after="0" w:line="20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We account for a contract when: (i) it has approval and commitment from both parties, (ii) the rights of the parties are identified, (iii) payment terms are identified, (iv) the contract has commercial substance, and (v) collectability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consideration is probable. We consider the start of a project to be when the above criteria have been met and we either have written authorization from the customer to proceed or an executed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Selling, marketing and estimation costs incurred in relation to selling contracts are expensed as incurred. On rare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occasions, we may incur significant expense related to selling a contract that we only incurred because we sold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contract. If this occurs, we capitalize that cost and amortize it on a straight-line basis over the expected life of the job. We do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currently have any capitalized selling, marketing, or estimation costs on our Balance Sheet and did not incur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 in the current year.</w:t>
      </w:r>
    </w:p>
    <w:p>
      <w:pPr>
        <w:spacing w:after="0" w:line="211" w:lineRule="exact"/>
        <w:rPr>
          <w:sz w:val="20"/>
          <w:szCs w:val="20"/>
          <w:color w:val="auto"/>
        </w:rPr>
      </w:pPr>
    </w:p>
    <w:p>
      <w:pPr>
        <w:ind w:right="60" w:firstLine="648"/>
        <w:spacing w:after="0" w:line="220" w:lineRule="exact"/>
        <w:rPr>
          <w:sz w:val="20"/>
          <w:szCs w:val="20"/>
          <w:color w:val="auto"/>
        </w:rPr>
      </w:pPr>
      <w:r>
        <w:rPr>
          <w:rFonts w:ascii="Arial" w:cs="Arial" w:eastAsia="Arial" w:hAnsi="Arial"/>
          <w:sz w:val="16"/>
          <w:szCs w:val="16"/>
          <w:color w:val="auto"/>
        </w:rPr>
        <w:t>We generally do not incur significant incremental costs related to obtaining or fulfilling a contract prior to the start of a project. On rare occasions, when significant pre</w:t>
      </w:r>
      <w:r>
        <w:rPr>
          <w:rFonts w:ascii="MS PGothic" w:cs="MS PGothic" w:eastAsia="MS PGothic" w:hAnsi="MS PGothic"/>
          <w:sz w:val="16"/>
          <w:szCs w:val="16"/>
          <w:color w:val="auto"/>
        </w:rPr>
        <w:t>‑</w:t>
      </w:r>
      <w:r>
        <w:rPr>
          <w:rFonts w:ascii="Arial" w:cs="Arial" w:eastAsia="Arial" w:hAnsi="Arial"/>
          <w:sz w:val="16"/>
          <w:szCs w:val="16"/>
          <w:color w:val="auto"/>
        </w:rPr>
        <w:t>contract costs are incurred, they are capitalized and amortized on a percentage of completion basis over the life of the contract. We do not currently have any capitalized obtaining or fulfillment costs on our Balance Sheet and did not incur any impairment loss on such costs in the current year.</w:t>
      </w:r>
    </w:p>
    <w:p>
      <w:pPr>
        <w:spacing w:after="0" w:line="20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Project contracts typically provide for a schedule of billings or invoices to the customer based on our job to date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or invoiced to the customer at any point during the contract. Amounts by which cumulative contract revenue recognized on a contract as of a given date exceed cumulative billings and unbilled receivables to the customer under the contract are reflected as a current asset in our balance sheet under the caption “Costs and estimated earnings in excess of billings” and “Unbilled accounts receivable.” Amounts by which cumulative billings to the customer under a contract as of a given date exceed cumulative contract revenue recognized on the contract are reflected as a current liability in our balance sheet under the caption “Billings in excess of costs and estimated earnings.”</w:t>
      </w:r>
    </w:p>
    <w:p>
      <w:pPr>
        <w:spacing w:after="0" w:line="20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typically invoice our customers with payment terms of net due in 30 days. It is common in the construction industry for a contract to specify specific more lenient payment terms allowing the customer 45 to 60 days to make their payment. It is also common for the contract in the construction industry to specify that a general contractor is not required to submit payments to a subcontractor until it has received those funds from the owner or funding source. In most instances we receive payment of our invoices between 30 to 90 days of the date of the invoice.</w:t>
      </w:r>
    </w:p>
    <w:p>
      <w:pPr>
        <w:spacing w:after="0" w:line="18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w:t>
      </w:r>
    </w:p>
    <w:p>
      <w:pPr>
        <w:spacing w:after="0" w:line="18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To determine the proper revenue recognition method for contracts, we evaluate whether two or more contracts should be combined and accounted for as one performance obligation and whether the combined or single contract should be accounted for as more than one performance obligation. This evaluation requires significant judgment and the decision to combine a group of contracts or separate the combined or single contract into multiple performance obligations could change the amount of revenue and profit recorded in a given period. For most of our contracts, the customer contracts with us to provide a significant service of integrating a complex set of tasks and components into a single project or capability (even if that single project results in the delivery of multiple units). Hence, the entire contract is accounted for as one performance obligation. Less commonly, however, we may promise to provide distinct goods or services within a contract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underlying each performance obligation. We infrequently sell standard products with observable standalone sales. In cases where we do, the observable standalone sales are used to determine the standalone selling price. More frequently, we sell a customized customer specific solution, and in these cases we typically use the expected cost plus a margin approach to estimate the standalone selling price of each performance obligation.</w:t>
      </w:r>
    </w:p>
    <w:p>
      <w:pPr>
        <w:spacing w:after="0" w:line="183"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We recognize revenue over time for all of our services as we perform them, because (i) control continuously transfers to that customer as work progresses, and (ii) we have the right to bill the customer as costs are incurred. The customer typically controls the work in process as evidenced either by contractual termination clauses or by our rights to</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payment for work performed to date plus a reasonable profit to deliver products or services that do not have an alternative use to the Company.</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 to cost measure of progress for our contracts as it best depicts the transfer of assets to the customer that occurs as we incur costs on our contracts. Under the cost to cost measure of progress, the extent of progress towards completion is measured based on the ratio of costs incurred to date to the total estimated costs at completion of the performance obligation. Revenue, including estimated fees or profits, is recorded proportionally as costs are incurred. Costs to fulfill include labor, materials and subcontractors’ costs, other direct costs and an allocation of indirect costs.</w:t>
      </w:r>
    </w:p>
    <w:p>
      <w:pPr>
        <w:spacing w:after="0" w:line="179"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For a small portion of our business where our services are delivered in the form of service maintenance agreements for existing systems to be repaired and maintained, as opposed to constructed, our performance obligation is to maintain the customer’s mechanical system for a specific period of time. Similar to jobs, we recognize revenue over time; however, for service maintenance agreements where the full cost to provide services may not be known, we generally use an output method to recognize revenue, which is based on the amount of time we have provided our services out of the total time we have been contracted to perform those services.</w:t>
      </w:r>
    </w:p>
    <w:p>
      <w:pPr>
        <w:spacing w:after="0" w:line="17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Due to the nature of the work required to be performed on many of our performance obligations, the estimation of total revenue and cost at completion (the process described below in more detail) is complex, subject to many variables and requires significant judgment. The consideration to which we are entitled on our long-term contracts may include both fixed and variable amounts. Variable amounts can either increase or decrease the transaction price. A common example of variable amounts that can either increase or decrease contract value are pending change orders that represent contract modifications for which a change in scope has been authorized or acknowledged by our customer, but the final adjustment to contract price is yet to be negotiated. Other examples of positive variable revenue include amounts awarded upon achievement of certain performance metrics, program milestones or cost of completion date targets and can be based upon customer discretion. Variable amounts can result in a deduction from contract revenue if we fail to meet stated performance requirements, such as being in compliance with the construction schedule.</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Contracts are often modified to account for changes in contract specifications and requirements. We consider contract modifications to exist when the modification either creates new or changes the existing enforceable rights and obligations. Most of our contract modifications are for goods or services that are not distinct from the existing performance obligation(s). The effect of a contract modification on the transaction price, and our measure of progress for the performance obligation to which it relates, is recognized as an adjustment to revenue (either as an increase or decrease) on a cumulative catchup basis.</w:t>
      </w:r>
    </w:p>
    <w:p>
      <w:pPr>
        <w:spacing w:after="0" w:line="193"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have a Company-wide policy requiring periodic review of the Estimate at Completion in which management reviews the progress and execution of our performance obligations and estimated remaining obligations. As part of this process, management reviews information including, but not limited to, any outstanding key contract matters, progress towards completion and the related program schedule, identified risks and opportunities and the related changes in estimates of revenue and costs. The risks and opportunities include management's judgment about the ability and cost to achieve the schedule (e.g., the number and type of milestone events), technical requirements (e.g., a newly 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our subcontractors, the availability and timing of funding from our customer, and overhead cost rates, among other variables.</w:t>
      </w:r>
    </w:p>
    <w:p>
      <w:pPr>
        <w:spacing w:after="0" w:line="18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Based on this analysis, any adjustments to revenue, cost of services, and the related impact to operating income are recognized as necessary in the quarter they become known. These adjustments may result from positive program performance if we determine we will be successful in mitigating risks surrounding the technical, schedule and cost aspects of those performance obligations or realizing related opportunities and may result in an increase in operating income during the performance of individual performance obligations. Likewise, if we determine we will not be successful in mitigating these risks or realizing related opportunities these adjustments may result in a decrease 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operating income. Changes in estimates of revenue, cost of services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our performance obligations. For projects where estimates of total costs to be incurred on a performance obligation exceed total estimates of revenue to be earned, a provision for the entire loss on the performance obligation is recognized in the period the loss is determined.</w:t>
      </w:r>
    </w:p>
    <w:p>
      <w:pPr>
        <w:spacing w:after="0" w:line="16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typically does not incur any returns, refunds, or similar obligations after the completion of the performance obligation since any deficiencies are corrected during the course of the work or are included as a modification to revenue. The Company does offer an industry standard warranty on our work, which is most commonly for a one-year period. The vendors providing the equipment and materials are responsible for any failures in their product unless installed incorrectly. We include an estimated amount to cover estimated warranty expense in our Cost of Services and record a liability on our Balance Sheet to cover our current estimated outstanding warranty obligations.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Prior to implementing ASC 606 on January 1, 2018, our methods for recognizing revenue were very similar to our current method under ASC 606. We used the actual cost as a percent of total expected cost at completion to estimate our percentage complete on fixed price jobs, a mark-up of costs for jobs where revenue was based on time and materials incurred and elapsed time for those service maintenance contracts where the full cost to provide the services cannot be reasonably estimated. Furthermore, our process for allocating transaction price to performance obligations is also substantially similar to prior years where, in most cases, a contract is one performance obligation. In those cases where a contract is determined to have more than one performance obligation, the contract price is allocated to each performance obligation based on its standalone sales price.</w:t>
      </w:r>
    </w:p>
    <w:p>
      <w:pPr>
        <w:spacing w:after="0" w:line="17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the first six months of 2018, net revenue recognized from our performance obligations satisfied in previous periods was not material.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disaggregate our revenue from contracts with customers by activity, customer type and contract type, as we believe it best depicts how the nature, amount, timing and uncertainty of our revenue and cash flows are affected by economic factors. Our consolidated 2018 revenue was derived from the following service activities, all of which are in the mechanical services industry, the single industry segment we serve. See details in the following tables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Revenue by Service Provided</w:t>
            </w:r>
          </w:p>
        </w:tc>
        <w:tc>
          <w:tcPr>
            <w:tcW w:w="120" w:type="dxa"/>
            <w:vAlign w:val="bottom"/>
          </w:tcPr>
          <w:p>
            <w:pPr>
              <w:spacing w:after="0"/>
              <w:rPr>
                <w:sz w:val="14"/>
                <w:szCs w:val="14"/>
                <w:color w:val="auto"/>
              </w:rPr>
            </w:pPr>
          </w:p>
        </w:tc>
        <w:tc>
          <w:tcPr>
            <w:tcW w:w="228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w w:val="94"/>
              </w:rPr>
              <w:t>Three Months Ended June 30,</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w w:val="99"/>
              </w:rPr>
              <w:t>Six Months Ended June 30,</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HVAC and Plumbing</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$ 484,011</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$422,676</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$908,028</w:t>
            </w: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$761,399</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Building Automation Control Systems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26,261</w:t>
            </w: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27,925</w:t>
            </w:r>
          </w:p>
        </w:tc>
        <w:tc>
          <w:tcPr>
            <w:tcW w:w="100" w:type="dxa"/>
            <w:vAlign w:val="bottom"/>
          </w:tcPr>
          <w:p>
            <w:pPr>
              <w:spacing w:after="0"/>
              <w:rPr>
                <w:sz w:val="18"/>
                <w:szCs w:val="18"/>
                <w:color w:val="auto"/>
              </w:rPr>
            </w:pP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6 %</w:t>
            </w:r>
          </w:p>
        </w:tc>
        <w:tc>
          <w:tcPr>
            <w:tcW w:w="740" w:type="dxa"/>
            <w:vAlign w:val="bottom"/>
          </w:tcPr>
          <w:p>
            <w:pPr>
              <w:jc w:val="right"/>
              <w:spacing w:after="0"/>
              <w:rPr>
                <w:sz w:val="20"/>
                <w:szCs w:val="20"/>
                <w:color w:val="auto"/>
              </w:rPr>
            </w:pPr>
            <w:r>
              <w:rPr>
                <w:rFonts w:ascii="Arial" w:cs="Arial" w:eastAsia="Arial" w:hAnsi="Arial"/>
                <w:sz w:val="18"/>
                <w:szCs w:val="18"/>
                <w:color w:val="auto"/>
              </w:rPr>
              <w:t>46,306</w:t>
            </w:r>
          </w:p>
        </w:tc>
        <w:tc>
          <w:tcPr>
            <w:tcW w:w="120" w:type="dxa"/>
            <w:vAlign w:val="bottom"/>
          </w:tcPr>
          <w:p>
            <w:pPr>
              <w:spacing w:after="0"/>
              <w:rPr>
                <w:sz w:val="18"/>
                <w:szCs w:val="18"/>
                <w:color w:val="auto"/>
              </w:rPr>
            </w:pP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5 %</w:t>
            </w:r>
          </w:p>
        </w:tc>
        <w:tc>
          <w:tcPr>
            <w:tcW w:w="760" w:type="dxa"/>
            <w:vAlign w:val="bottom"/>
          </w:tcPr>
          <w:p>
            <w:pPr>
              <w:jc w:val="right"/>
              <w:spacing w:after="0"/>
              <w:rPr>
                <w:sz w:val="20"/>
                <w:szCs w:val="20"/>
                <w:color w:val="auto"/>
              </w:rPr>
            </w:pPr>
            <w:r>
              <w:rPr>
                <w:rFonts w:ascii="Arial" w:cs="Arial" w:eastAsia="Arial" w:hAnsi="Arial"/>
                <w:sz w:val="18"/>
                <w:szCs w:val="18"/>
                <w:color w:val="auto"/>
              </w:rPr>
              <w:t>50,760</w:t>
            </w: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33,840</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535,043</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465,411</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999,984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845,999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662"/>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 by Type of Customer</w:t>
            </w:r>
          </w:p>
        </w:tc>
        <w:tc>
          <w:tcPr>
            <w:tcW w:w="242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7"/>
              </w:rPr>
              <w:t>Three Months Ended June 30,</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90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Industrial</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$ 114,077</w:t>
            </w: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97,756</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$214,177</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$185,370</w:t>
            </w: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760" w:type="dxa"/>
            <w:vAlign w:val="bottom"/>
          </w:tcPr>
          <w:p>
            <w:pPr>
              <w:jc w:val="right"/>
              <w:spacing w:after="0"/>
              <w:rPr>
                <w:sz w:val="20"/>
                <w:szCs w:val="20"/>
                <w:color w:val="auto"/>
              </w:rPr>
            </w:pPr>
            <w:r>
              <w:rPr>
                <w:rFonts w:ascii="Arial" w:cs="Arial" w:eastAsia="Arial" w:hAnsi="Arial"/>
                <w:sz w:val="18"/>
                <w:szCs w:val="18"/>
                <w:color w:val="auto"/>
              </w:rPr>
              <w:t>109,447</w:t>
            </w:r>
          </w:p>
        </w:tc>
        <w:tc>
          <w:tcPr>
            <w:tcW w:w="14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89,274</w:t>
            </w:r>
          </w:p>
        </w:tc>
        <w:tc>
          <w:tcPr>
            <w:tcW w:w="14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19 %</w:t>
            </w:r>
          </w:p>
        </w:tc>
        <w:tc>
          <w:tcPr>
            <w:tcW w:w="740" w:type="dxa"/>
            <w:vAlign w:val="bottom"/>
          </w:tcPr>
          <w:p>
            <w:pPr>
              <w:jc w:val="right"/>
              <w:spacing w:after="0"/>
              <w:rPr>
                <w:sz w:val="20"/>
                <w:szCs w:val="20"/>
                <w:color w:val="auto"/>
              </w:rPr>
            </w:pPr>
            <w:r>
              <w:rPr>
                <w:rFonts w:ascii="Arial" w:cs="Arial" w:eastAsia="Arial" w:hAnsi="Arial"/>
                <w:sz w:val="18"/>
                <w:szCs w:val="18"/>
                <w:color w:val="auto"/>
              </w:rPr>
              <w:t>197,650</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150,862</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Buildings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148,429</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128,904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Healthcare</w:t>
            </w:r>
          </w:p>
        </w:tc>
        <w:tc>
          <w:tcPr>
            <w:tcW w:w="760" w:type="dxa"/>
            <w:vAlign w:val="bottom"/>
          </w:tcPr>
          <w:p>
            <w:pPr>
              <w:jc w:val="right"/>
              <w:spacing w:after="0"/>
              <w:rPr>
                <w:sz w:val="20"/>
                <w:szCs w:val="20"/>
                <w:color w:val="auto"/>
              </w:rPr>
            </w:pPr>
            <w:r>
              <w:rPr>
                <w:rFonts w:ascii="Arial" w:cs="Arial" w:eastAsia="Arial" w:hAnsi="Arial"/>
                <w:sz w:val="18"/>
                <w:szCs w:val="18"/>
                <w:color w:val="auto"/>
              </w:rPr>
              <w:t>71,930</w:t>
            </w:r>
          </w:p>
        </w:tc>
        <w:tc>
          <w:tcPr>
            <w:tcW w:w="14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59,322</w:t>
            </w:r>
          </w:p>
        </w:tc>
        <w:tc>
          <w:tcPr>
            <w:tcW w:w="14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13 %</w:t>
            </w:r>
          </w:p>
        </w:tc>
        <w:tc>
          <w:tcPr>
            <w:tcW w:w="740" w:type="dxa"/>
            <w:vAlign w:val="bottom"/>
          </w:tcPr>
          <w:p>
            <w:pPr>
              <w:jc w:val="right"/>
              <w:spacing w:after="0"/>
              <w:rPr>
                <w:sz w:val="20"/>
                <w:szCs w:val="20"/>
                <w:color w:val="auto"/>
              </w:rPr>
            </w:pPr>
            <w:r>
              <w:rPr>
                <w:rFonts w:ascii="Arial" w:cs="Arial" w:eastAsia="Arial" w:hAnsi="Arial"/>
                <w:sz w:val="18"/>
                <w:szCs w:val="18"/>
                <w:color w:val="auto"/>
              </w:rPr>
              <w:t>135,113</w:t>
            </w: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111,089</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37,285</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35,323</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73,432</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71,559</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Retail, Restaurants and Entertainment</w:t>
            </w:r>
          </w:p>
        </w:tc>
        <w:tc>
          <w:tcPr>
            <w:tcW w:w="760" w:type="dxa"/>
            <w:vAlign w:val="bottom"/>
          </w:tcPr>
          <w:p>
            <w:pPr>
              <w:jc w:val="right"/>
              <w:spacing w:after="0"/>
              <w:rPr>
                <w:sz w:val="20"/>
                <w:szCs w:val="20"/>
                <w:color w:val="auto"/>
              </w:rPr>
            </w:pPr>
            <w:r>
              <w:rPr>
                <w:rFonts w:ascii="Arial" w:cs="Arial" w:eastAsia="Arial" w:hAnsi="Arial"/>
                <w:sz w:val="18"/>
                <w:szCs w:val="18"/>
                <w:color w:val="auto"/>
              </w:rPr>
              <w:t>56,204</w:t>
            </w:r>
          </w:p>
        </w:tc>
        <w:tc>
          <w:tcPr>
            <w:tcW w:w="14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54,669</w:t>
            </w:r>
          </w:p>
        </w:tc>
        <w:tc>
          <w:tcPr>
            <w:tcW w:w="14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12 %</w:t>
            </w:r>
          </w:p>
        </w:tc>
        <w:tc>
          <w:tcPr>
            <w:tcW w:w="740" w:type="dxa"/>
            <w:vAlign w:val="bottom"/>
          </w:tcPr>
          <w:p>
            <w:pPr>
              <w:jc w:val="right"/>
              <w:spacing w:after="0"/>
              <w:rPr>
                <w:sz w:val="20"/>
                <w:szCs w:val="20"/>
                <w:color w:val="auto"/>
              </w:rPr>
            </w:pPr>
            <w:r>
              <w:rPr>
                <w:rFonts w:ascii="Arial" w:cs="Arial" w:eastAsia="Arial" w:hAnsi="Arial"/>
                <w:sz w:val="18"/>
                <w:szCs w:val="18"/>
                <w:color w:val="auto"/>
              </w:rPr>
              <w:t>108,991</w:t>
            </w: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99,894</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Multi-Family and Residential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36,040</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30,260</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69,092</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57,130</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760" w:type="dxa"/>
            <w:vAlign w:val="bottom"/>
          </w:tcPr>
          <w:p>
            <w:pPr>
              <w:jc w:val="right"/>
              <w:spacing w:after="0"/>
              <w:rPr>
                <w:sz w:val="20"/>
                <w:szCs w:val="20"/>
                <w:color w:val="auto"/>
              </w:rPr>
            </w:pPr>
            <w:r>
              <w:rPr>
                <w:rFonts w:ascii="Arial" w:cs="Arial" w:eastAsia="Arial" w:hAnsi="Arial"/>
                <w:sz w:val="18"/>
                <w:szCs w:val="18"/>
                <w:color w:val="auto"/>
              </w:rPr>
              <w:t>30,751</w:t>
            </w:r>
          </w:p>
        </w:tc>
        <w:tc>
          <w:tcPr>
            <w:tcW w:w="14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22,337</w:t>
            </w:r>
          </w:p>
        </w:tc>
        <w:tc>
          <w:tcPr>
            <w:tcW w:w="140" w:type="dxa"/>
            <w:vAlign w:val="bottom"/>
          </w:tcPr>
          <w:p>
            <w:pPr>
              <w:spacing w:after="0"/>
              <w:rPr>
                <w:sz w:val="19"/>
                <w:szCs w:val="19"/>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4 %</w:t>
            </w:r>
          </w:p>
        </w:tc>
        <w:tc>
          <w:tcPr>
            <w:tcW w:w="740" w:type="dxa"/>
            <w:vAlign w:val="bottom"/>
          </w:tcPr>
          <w:p>
            <w:pPr>
              <w:jc w:val="right"/>
              <w:spacing w:after="0"/>
              <w:rPr>
                <w:sz w:val="20"/>
                <w:szCs w:val="20"/>
                <w:color w:val="auto"/>
              </w:rPr>
            </w:pPr>
            <w:r>
              <w:rPr>
                <w:rFonts w:ascii="Arial" w:cs="Arial" w:eastAsia="Arial" w:hAnsi="Arial"/>
                <w:sz w:val="18"/>
                <w:szCs w:val="18"/>
                <w:color w:val="auto"/>
              </w:rPr>
              <w:t>53,100</w:t>
            </w: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41,191</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7"/>
        </w:trPr>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535,043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465,411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999,984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100</w:t>
            </w:r>
          </w:p>
        </w:tc>
        <w:tc>
          <w:tcPr>
            <w:tcW w:w="300" w:type="dxa"/>
            <w:vAlign w:val="bottom"/>
            <w:tcBorders>
              <w:top w:val="single" w:sz="8" w:color="CCEEFF"/>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845,999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378"/>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Revenue by Activity Type</w:t>
            </w:r>
          </w:p>
        </w:tc>
        <w:tc>
          <w:tcPr>
            <w:tcW w:w="242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7"/>
              </w:rPr>
              <w:t>Three Months Ended June 30,</w:t>
            </w:r>
          </w:p>
        </w:tc>
        <w:tc>
          <w:tcPr>
            <w:tcW w:w="3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900" w:type="dxa"/>
            <w:vAlign w:val="bottom"/>
            <w:gridSpan w:val="2"/>
          </w:tcPr>
          <w:p>
            <w:pPr>
              <w:ind w:left="48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New Construction</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$183,998</w:t>
            </w: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178,392</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$367,435</w:t>
            </w: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$326,903</w:t>
            </w: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Existing Building Construction</w:t>
            </w:r>
          </w:p>
        </w:tc>
        <w:tc>
          <w:tcPr>
            <w:tcW w:w="760" w:type="dxa"/>
            <w:vAlign w:val="bottom"/>
          </w:tcPr>
          <w:p>
            <w:pPr>
              <w:jc w:val="right"/>
              <w:spacing w:after="0"/>
              <w:rPr>
                <w:sz w:val="20"/>
                <w:szCs w:val="20"/>
                <w:color w:val="auto"/>
              </w:rPr>
            </w:pPr>
            <w:r>
              <w:rPr>
                <w:rFonts w:ascii="Arial" w:cs="Arial" w:eastAsia="Arial" w:hAnsi="Arial"/>
                <w:sz w:val="18"/>
                <w:szCs w:val="18"/>
                <w:color w:val="auto"/>
              </w:rPr>
              <w:t>207,775</w:t>
            </w:r>
          </w:p>
        </w:tc>
        <w:tc>
          <w:tcPr>
            <w:tcW w:w="14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146,980</w:t>
            </w:r>
          </w:p>
        </w:tc>
        <w:tc>
          <w:tcPr>
            <w:tcW w:w="14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32 %</w:t>
            </w:r>
          </w:p>
        </w:tc>
        <w:tc>
          <w:tcPr>
            <w:tcW w:w="740" w:type="dxa"/>
            <w:vAlign w:val="bottom"/>
          </w:tcPr>
          <w:p>
            <w:pPr>
              <w:jc w:val="right"/>
              <w:spacing w:after="0"/>
              <w:rPr>
                <w:sz w:val="20"/>
                <w:szCs w:val="20"/>
                <w:color w:val="auto"/>
              </w:rPr>
            </w:pPr>
            <w:r>
              <w:rPr>
                <w:rFonts w:ascii="Arial" w:cs="Arial" w:eastAsia="Arial" w:hAnsi="Arial"/>
                <w:sz w:val="18"/>
                <w:szCs w:val="18"/>
                <w:color w:val="auto"/>
              </w:rPr>
              <w:t>362,972</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265,246</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Projects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51,586</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46,428</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91,761</w:t>
            </w: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89,037</w:t>
            </w:r>
          </w:p>
        </w:tc>
        <w:tc>
          <w:tcPr>
            <w:tcW w:w="1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rPr>
              <w:t>Service Calls, Maintenance and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Monitoring</w:t>
            </w:r>
          </w:p>
        </w:tc>
        <w:tc>
          <w:tcPr>
            <w:tcW w:w="760" w:type="dxa"/>
            <w:vAlign w:val="bottom"/>
          </w:tcPr>
          <w:p>
            <w:pPr>
              <w:jc w:val="right"/>
              <w:spacing w:after="0"/>
              <w:rPr>
                <w:sz w:val="20"/>
                <w:szCs w:val="20"/>
                <w:color w:val="auto"/>
              </w:rPr>
            </w:pPr>
            <w:r>
              <w:rPr>
                <w:rFonts w:ascii="Arial" w:cs="Arial" w:eastAsia="Arial" w:hAnsi="Arial"/>
                <w:sz w:val="18"/>
                <w:szCs w:val="18"/>
                <w:color w:val="auto"/>
              </w:rPr>
              <w:t>91,684</w:t>
            </w:r>
          </w:p>
        </w:tc>
        <w:tc>
          <w:tcPr>
            <w:tcW w:w="140" w:type="dxa"/>
            <w:vAlign w:val="bottom"/>
          </w:tcPr>
          <w:p>
            <w:pPr>
              <w:spacing w:after="0"/>
              <w:rPr>
                <w:sz w:val="20"/>
                <w:szCs w:val="20"/>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93,611</w:t>
            </w:r>
          </w:p>
        </w:tc>
        <w:tc>
          <w:tcPr>
            <w:tcW w:w="140" w:type="dxa"/>
            <w:vAlign w:val="bottom"/>
          </w:tcPr>
          <w:p>
            <w:pPr>
              <w:spacing w:after="0"/>
              <w:rPr>
                <w:sz w:val="20"/>
                <w:szCs w:val="20"/>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rPr>
              <w:t>20 %</w:t>
            </w:r>
          </w:p>
        </w:tc>
        <w:tc>
          <w:tcPr>
            <w:tcW w:w="740" w:type="dxa"/>
            <w:vAlign w:val="bottom"/>
          </w:tcPr>
          <w:p>
            <w:pPr>
              <w:jc w:val="right"/>
              <w:spacing w:after="0"/>
              <w:rPr>
                <w:sz w:val="20"/>
                <w:szCs w:val="20"/>
                <w:color w:val="auto"/>
              </w:rPr>
            </w:pPr>
            <w:r>
              <w:rPr>
                <w:rFonts w:ascii="Arial" w:cs="Arial" w:eastAsia="Arial" w:hAnsi="Arial"/>
                <w:sz w:val="18"/>
                <w:szCs w:val="18"/>
                <w:color w:val="auto"/>
              </w:rPr>
              <w:t>177,816</w:t>
            </w:r>
          </w:p>
        </w:tc>
        <w:tc>
          <w:tcPr>
            <w:tcW w:w="1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164,813</w:t>
            </w:r>
          </w:p>
        </w:tc>
        <w:tc>
          <w:tcPr>
            <w:tcW w:w="14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7"/>
        </w:trPr>
        <w:tc>
          <w:tcPr>
            <w:tcW w:w="3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535,043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32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465,411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999,984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845,999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Receivables</w:t>
      </w:r>
    </w:p>
    <w:p>
      <w:pPr>
        <w:spacing w:after="0" w:line="225"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Accounts Receivable, include amounts billed and billable from work completed in which we have billed or have an unconditional right to bill our customers. The amounts due are stated at their net estimated realizable value. We maintain an allowance for doubtful accounts to provide for the estimated amount of receivables that will not be collected. The allowance is based upon an assessment of customer creditworthiness, historical payment experience, the age of outstanding receivables and collateral to the extent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Contract assets include unbilled amounts typically resulting from sales under long term contracts when the cost to cost method of revenue recognition is used and revenue recognized exceeds the amount billed to the customer and right to payment is conditional, subject to completing a milestone, such as a phase of the project. Contract assets are generally classified as current.</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Contract liabilities consist of advance payments and billings in excess of revenue recognized. Our contract assets and liabilities are reported in a net position on a contract by contract basis at the end of each reporting period. We classify advance payments and billings in excess of revenue recognized as current. It is very unusual for us to have advanced payments with a term of greater than one year; therefore, our contract assets are usually all current. If we have advanced payments with a term greater than one year, the noncurrent portion of advanced payments would be included in other long-term liabilities in our consolidated balance sheets.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 presents the changes in contract assets and contract liabilities (in thousands):</w:t>
      </w:r>
    </w:p>
    <w:p>
      <w:pPr>
        <w:spacing w:after="0" w:line="230" w:lineRule="exact"/>
        <w:rPr>
          <w:sz w:val="20"/>
          <w:szCs w:val="20"/>
          <w:color w:val="auto"/>
        </w:rPr>
      </w:pPr>
    </w:p>
    <w:p>
      <w:pPr>
        <w:jc w:val="center"/>
        <w:ind w:left="4740"/>
        <w:spacing w:after="0"/>
        <w:rPr>
          <w:sz w:val="20"/>
          <w:szCs w:val="20"/>
          <w:color w:val="auto"/>
        </w:rPr>
      </w:pPr>
      <w:r>
        <w:rPr>
          <w:rFonts w:ascii="Arial" w:cs="Arial" w:eastAsia="Arial" w:hAnsi="Arial"/>
          <w:sz w:val="14"/>
          <w:szCs w:val="14"/>
          <w:b w:val="1"/>
          <w:bCs w:val="1"/>
          <w:color w:val="auto"/>
        </w:rPr>
        <w:t>Six Months Ended</w:t>
      </w:r>
    </w:p>
    <w:p>
      <w:pPr>
        <w:jc w:val="center"/>
        <w:ind w:left="4740"/>
        <w:spacing w:after="0" w:line="236"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119"/>
        </w:trPr>
        <w:tc>
          <w:tcPr>
            <w:tcW w:w="4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Contract</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Contract</w:t>
            </w:r>
          </w:p>
        </w:tc>
        <w:tc>
          <w:tcPr>
            <w:tcW w:w="140" w:type="dxa"/>
            <w:vAlign w:val="bottom"/>
          </w:tcPr>
          <w:p>
            <w:pPr>
              <w:spacing w:after="0"/>
              <w:rPr>
                <w:sz w:val="10"/>
                <w:szCs w:val="10"/>
                <w:color w:val="auto"/>
              </w:rPr>
            </w:pPr>
          </w:p>
        </w:tc>
      </w:tr>
      <w:tr>
        <w:trPr>
          <w:trHeight w:val="17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Assets</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Liabilities</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30,116</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$ 106,005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Change due to acquisitions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3,126</w:t>
            </w:r>
          </w:p>
        </w:tc>
        <w:tc>
          <w:tcPr>
            <w:tcW w:w="1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due to conditional versus unconditional</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Reclassified to unbilled accounts receivable</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(28,980)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 in timing for performance obligation to be satisfied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24,831</w:t>
            </w:r>
          </w:p>
        </w:tc>
        <w:tc>
          <w:tcPr>
            <w:tcW w:w="140" w:type="dxa"/>
            <w:vAlign w:val="bottom"/>
            <w:shd w:val="clear" w:color="auto" w:fill="CCEEFF"/>
          </w:tcPr>
          <w:p>
            <w:pPr>
              <w:spacing w:after="0"/>
              <w:rPr>
                <w:sz w:val="18"/>
                <w:szCs w:val="18"/>
                <w:color w:val="auto"/>
              </w:rPr>
            </w:pP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$ 133,962</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219" w:firstLine="648"/>
        <w:spacing w:after="0" w:line="277" w:lineRule="auto"/>
        <w:rPr>
          <w:sz w:val="20"/>
          <w:szCs w:val="20"/>
          <w:color w:val="auto"/>
        </w:rPr>
      </w:pPr>
      <w:r>
        <w:rPr>
          <w:rFonts w:ascii="Arial" w:cs="Arial" w:eastAsia="Arial" w:hAnsi="Arial"/>
          <w:sz w:val="18"/>
          <w:szCs w:val="18"/>
          <w:color w:val="auto"/>
        </w:rPr>
        <w:t>In the first six months of 2018 and 2017, we recognized revenue of $94.2 million and $83.5 million related to our contract liabilities at January 1, 2018 and January 1, 2017, respectively.</w:t>
      </w:r>
    </w:p>
    <w:p>
      <w:pPr>
        <w:spacing w:after="0" w:line="170" w:lineRule="exact"/>
        <w:rPr>
          <w:sz w:val="20"/>
          <w:szCs w:val="20"/>
          <w:color w:val="auto"/>
        </w:rPr>
      </w:pPr>
    </w:p>
    <w:p>
      <w:pPr>
        <w:ind w:right="279" w:firstLine="648"/>
        <w:spacing w:after="0" w:line="277" w:lineRule="auto"/>
        <w:rPr>
          <w:sz w:val="20"/>
          <w:szCs w:val="20"/>
          <w:color w:val="auto"/>
        </w:rPr>
      </w:pPr>
      <w:r>
        <w:rPr>
          <w:rFonts w:ascii="Arial" w:cs="Arial" w:eastAsia="Arial" w:hAnsi="Arial"/>
          <w:sz w:val="18"/>
          <w:szCs w:val="18"/>
          <w:color w:val="auto"/>
        </w:rPr>
        <w:t>We did not have any impairment losses recognized on our receivables or contract assets in the first six months of 2018 and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59" w:firstLine="648"/>
        <w:spacing w:after="0" w:line="291" w:lineRule="auto"/>
        <w:rPr>
          <w:sz w:val="20"/>
          <w:szCs w:val="20"/>
          <w:color w:val="auto"/>
        </w:rPr>
      </w:pPr>
      <w:r>
        <w:rPr>
          <w:rFonts w:ascii="Arial" w:cs="Arial" w:eastAsia="Arial" w:hAnsi="Arial"/>
          <w:sz w:val="16"/>
          <w:szCs w:val="16"/>
          <w:color w:val="auto"/>
        </w:rPr>
        <w:t>Remaining construction performance obligations represent the remaining transaction price of firm orders for which work has not been performed and excludes unexercised contract options. As of June 30, 2018, the aggregate amount of the transaction price allocated to remaining performance obligations was $1.23 billion. The Company expects to recognize revenue on approximately 85% of the remaining performance obligations over the next 12 months, with the remaining recognized thereafter. Our service maintenance agreements are generally one-year renewable agreements. We have adopted the practical expedient that allows us to not include service maintenance contracts less than one year, therefore we do not report unfulfilled performance obligations for service maintenance agreements.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99" w:firstLine="648"/>
        <w:spacing w:after="0" w:line="255" w:lineRule="auto"/>
        <w:rPr>
          <w:sz w:val="20"/>
          <w:szCs w:val="20"/>
          <w:color w:val="auto"/>
        </w:rPr>
      </w:pPr>
      <w:r>
        <w:rPr>
          <w:rFonts w:ascii="Arial" w:cs="Arial" w:eastAsia="Arial" w:hAnsi="Arial"/>
          <w:sz w:val="18"/>
          <w:szCs w:val="18"/>
          <w:color w:val="auto"/>
        </w:rPr>
        <w:t>We conduct business throughout the United States in virtually all fifty states. Our effective tax rate changes based upon our relative profitability, or lack thereof, in states with varying tax rates and rules. In addition, discrete items, such as tax law changes, judgments and legal structures can impact our effective tax rate. These items can also include the tax treatment for impairment of goodwill and other intangible assets, changes in fair value of acquisition-related assets and liabilities, tax reserves for uncertain tax positions, accounting for losses associated with underperforming operations and noncontrolling interests.</w:t>
      </w:r>
    </w:p>
    <w:p>
      <w:pPr>
        <w:spacing w:after="0" w:line="193" w:lineRule="exact"/>
        <w:rPr>
          <w:sz w:val="20"/>
          <w:szCs w:val="20"/>
          <w:color w:val="auto"/>
        </w:rPr>
      </w:pPr>
    </w:p>
    <w:p>
      <w:pPr>
        <w:ind w:right="639" w:firstLine="648"/>
        <w:spacing w:after="0" w:line="342" w:lineRule="auto"/>
        <w:rPr>
          <w:sz w:val="20"/>
          <w:szCs w:val="20"/>
          <w:color w:val="auto"/>
        </w:rPr>
      </w:pPr>
      <w:r>
        <w:rPr>
          <w:rFonts w:ascii="Arial" w:cs="Arial" w:eastAsia="Arial" w:hAnsi="Arial"/>
          <w:sz w:val="16"/>
          <w:szCs w:val="16"/>
          <w:color w:val="auto"/>
        </w:rPr>
        <w:t>Our provision for income taxes was reduced by $2.8 million in the first quarter of 2018 due to a decrease in unrecognized tax benefits from the filing of a federal income tax automatic accounting method change application.</w:t>
      </w:r>
    </w:p>
    <w:p>
      <w:pPr>
        <w:spacing w:after="0" w:line="124" w:lineRule="exact"/>
        <w:rPr>
          <w:sz w:val="20"/>
          <w:szCs w:val="20"/>
          <w:color w:val="auto"/>
        </w:rPr>
      </w:pPr>
    </w:p>
    <w:p>
      <w:pPr>
        <w:ind w:right="19" w:firstLine="648"/>
        <w:spacing w:after="0" w:line="259" w:lineRule="auto"/>
        <w:rPr>
          <w:sz w:val="20"/>
          <w:szCs w:val="20"/>
          <w:color w:val="auto"/>
        </w:rPr>
      </w:pPr>
      <w:r>
        <w:rPr>
          <w:rFonts w:ascii="Arial" w:cs="Arial" w:eastAsia="Arial" w:hAnsi="Arial"/>
          <w:sz w:val="18"/>
          <w:szCs w:val="18"/>
          <w:color w:val="auto"/>
        </w:rPr>
        <w:t>While we believe we were able to make reasonable estimates of the impact of the Tax Cuts and Jobs Act in our financial statements, the amounts recorded are provisional and the final impact may differ from these estimates due to, among other things, changes in our interpretations and assumptions and additional guidance that may be issued by regulatory authorities.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79" w:firstLine="648"/>
        <w:spacing w:after="0" w:line="259" w:lineRule="auto"/>
        <w:rPr>
          <w:sz w:val="20"/>
          <w:szCs w:val="20"/>
          <w:color w:val="auto"/>
        </w:rPr>
      </w:pPr>
      <w:r>
        <w:rPr>
          <w:rFonts w:ascii="Arial" w:cs="Arial" w:eastAsia="Arial" w:hAnsi="Arial"/>
          <w:sz w:val="18"/>
          <w:szCs w:val="18"/>
          <w:color w:val="auto"/>
        </w:rPr>
        <w:t>In April 2018, we entered into settlement agreements with British Petroleum (“BP”) related to two claims from one of our subsidiaries regarding the April 2010 BP Deepwater Horizon oil spill. We recorded a gain of $4.0 million in the second quarter of 2018 as a result of these settlements. We do not have any remaining subsidiaries with outstanding claims against BP related to this matter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right="400" w:firstLine="648"/>
        <w:spacing w:after="0" w:line="312" w:lineRule="auto"/>
        <w:rPr>
          <w:sz w:val="20"/>
          <w:szCs w:val="20"/>
          <w:color w:val="auto"/>
        </w:rPr>
      </w:pPr>
      <w:r>
        <w:rPr>
          <w:rFonts w:ascii="Arial" w:cs="Arial" w:eastAsia="Arial" w:hAnsi="Arial"/>
          <w:sz w:val="16"/>
          <w:szCs w:val="16"/>
          <w:color w:val="auto"/>
        </w:rPr>
        <w:t>Our financial instruments consist of cash and cash equivalents, accounts receivable, other receivables, accounts payable, life insurance policies, notes to former owners, capital leases and a revolving credit facility. We believe that the carrying values of these instruments on the accompanying balance sheets approximate their fair values.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Disclosure</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Our activities are within the mechanical services industry, which is the single industry segment we serve. Each operating unit represents an operating segment and these segments have been aggregated, as the operating units meet all of the aggregation criteria.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and disclose assets and liabilities carried at fair value in one of the following three categories:</w:t>
      </w:r>
    </w:p>
    <w:p>
      <w:pPr>
        <w:spacing w:after="0" w:line="225"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Level 2—observable market based inputs or unobservable inputs that are corroborated by market data; and</w:t>
      </w:r>
    </w:p>
    <w:p>
      <w:pPr>
        <w:spacing w:after="0" w:line="20" w:lineRule="exact"/>
        <w:rPr>
          <w:rFonts w:ascii="Arial" w:cs="Arial" w:eastAsia="Arial" w:hAnsi="Arial"/>
          <w:sz w:val="17"/>
          <w:szCs w:val="17"/>
          <w:color w:val="auto"/>
        </w:rPr>
      </w:pPr>
    </w:p>
    <w:p>
      <w:pPr>
        <w:ind w:left="980" w:hanging="329"/>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3—significant unobservable inputs in which little or no market data exists, therefore requiring an entity to develop its own assumptions.</w:t>
      </w:r>
    </w:p>
    <w:p>
      <w:pPr>
        <w:spacing w:after="0" w:line="18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following table summarizes the fair values, and levels within the fair value hierarchy in which the fair value measurements fall, for assets and liabilities measured on a recurring basis as of June 30, 2018 and December 31, 2017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0"/>
          </w:tcPr>
          <w:p>
            <w:pPr>
              <w:jc w:val="right"/>
              <w:ind w:right="394"/>
              <w:spacing w:after="0"/>
              <w:rPr>
                <w:sz w:val="20"/>
                <w:szCs w:val="20"/>
                <w:color w:val="auto"/>
              </w:rPr>
            </w:pPr>
            <w:r>
              <w:rPr>
                <w:rFonts w:ascii="Arial" w:cs="Arial" w:eastAsia="Arial" w:hAnsi="Arial"/>
                <w:sz w:val="14"/>
                <w:szCs w:val="14"/>
                <w:b w:val="1"/>
                <w:bCs w:val="1"/>
                <w:color w:val="auto"/>
              </w:rPr>
              <w:t>Fair Value Measurements at June 30, 2018</w:t>
            </w:r>
          </w:p>
        </w:tc>
      </w:tr>
      <w:tr>
        <w:trPr>
          <w:trHeight w:val="142"/>
        </w:trPr>
        <w:tc>
          <w:tcPr>
            <w:tcW w:w="4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28,001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Life insurance—cash surrender value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3,096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3,096</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Contingent earn-out obligations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r>
      <w:tr>
        <w:trPr>
          <w:trHeight w:val="378"/>
        </w:trPr>
        <w:tc>
          <w:tcPr>
            <w:tcW w:w="4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jc w:val="right"/>
              <w:ind w:right="234"/>
              <w:spacing w:after="0"/>
              <w:rPr>
                <w:sz w:val="20"/>
                <w:szCs w:val="20"/>
                <w:color w:val="auto"/>
              </w:rPr>
            </w:pPr>
            <w:r>
              <w:rPr>
                <w:rFonts w:ascii="Arial" w:cs="Arial" w:eastAsia="Arial" w:hAnsi="Arial"/>
                <w:sz w:val="14"/>
                <w:szCs w:val="14"/>
                <w:b w:val="1"/>
                <w:bCs w:val="1"/>
                <w:color w:val="auto"/>
                <w:w w:val="98"/>
              </w:rPr>
              <w:t>Fair Value Measurements at December 31, 2017</w:t>
            </w:r>
          </w:p>
        </w:tc>
      </w:tr>
      <w:tr>
        <w:trPr>
          <w:trHeight w:val="142"/>
        </w:trPr>
        <w:tc>
          <w:tcPr>
            <w:tcW w:w="4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36,542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Life insurance—cash surrender value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3,128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3,128</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Contingent earn-out obligations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w:t>
            </w:r>
          </w:p>
        </w:tc>
      </w:tr>
    </w:tbl>
    <w:p>
      <w:pPr>
        <w:spacing w:after="0" w:line="202"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Cash and cash equivalents consist primarily of highly rated money market funds at a variety of well</w:t>
      </w:r>
      <w:r>
        <w:rPr>
          <w:rFonts w:ascii="MS PGothic" w:cs="MS PGothic" w:eastAsia="MS PGothic" w:hAnsi="MS PGothic"/>
          <w:sz w:val="18"/>
          <w:szCs w:val="18"/>
          <w:color w:val="auto"/>
        </w:rPr>
        <w:t>‑</w:t>
      </w:r>
      <w:r>
        <w:rPr>
          <w:rFonts w:ascii="Arial" w:cs="Arial" w:eastAsia="Arial" w:hAnsi="Arial"/>
          <w:sz w:val="18"/>
          <w:szCs w:val="18"/>
          <w:color w:val="auto"/>
        </w:rPr>
        <w:t>known institutions with original maturities of three months or less. The original cost of these assets approximates fair value due to their short-term maturity. The carrying value of our borrowings associated with the Revolving Credit Facility approximate its fair value due to the variable rate on such debt.</w:t>
      </w:r>
    </w:p>
    <w:p>
      <w:pPr>
        <w:spacing w:after="0" w:line="204"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have life insurance policies covering 49 employees with a combined face value of $35.5 million. The policy is invested in several investment vehicles and the fair value measurement of the cash surrender balance associated with these policies is determined using Level 2 inputs within the fair value hierarchy and will vary with investment performance. The cash surrender value of these policies was $3.1 million as of June 30, 2018 and $3.1 million as of December 31, 2017. These assets are included in “Other Noncurrent Assets” in our consolidated balance sheets.</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value contingent earn-out obligations using a probability weighted discounted cash flow method. This fair value measurement is based on significant unobservable inputs in the market and thus represents a Level 3 measurement within the fair value hierarchy. This analysis reflects the contractual terms of the purchase agreements (e.g., minimum and maximum payments, length of earn-out periods, manner of calculating any amounts due, etc.) and utilizes assumptions with regard to future cash flows, probabilities of achieving such future cash flows and a discount rate. The contingent earn-out obligations are measured at fair value each reporting period and changes in estimates of fair value are recognized in earnings.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9" w:firstLine="648"/>
        <w:spacing w:after="0" w:line="277" w:lineRule="auto"/>
        <w:rPr>
          <w:sz w:val="20"/>
          <w:szCs w:val="20"/>
          <w:color w:val="auto"/>
        </w:rPr>
      </w:pPr>
      <w:r>
        <w:rPr>
          <w:rFonts w:ascii="Arial" w:cs="Arial" w:eastAsia="Arial" w:hAnsi="Arial"/>
          <w:sz w:val="18"/>
          <w:szCs w:val="18"/>
          <w:color w:val="auto"/>
        </w:rPr>
        <w:t>The table below presents a reconciliation of the fair value of our contingent earn-out obligations that use significant unobservable inputs (Level 3) (in thousands).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7,993</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Issuances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 to fair value</w:t>
            </w:r>
          </w:p>
        </w:tc>
        <w:tc>
          <w:tcPr>
            <w:tcW w:w="2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CCEEFF"/>
            </w:tcBorders>
          </w:tcPr>
          <w:p>
            <w:pPr>
              <w:spacing w:after="0"/>
              <w:rPr>
                <w:sz w:val="18"/>
                <w:szCs w:val="18"/>
                <w:color w:val="auto"/>
              </w:rPr>
            </w:pPr>
          </w:p>
        </w:tc>
      </w:tr>
      <w:tr>
        <w:trPr>
          <w:trHeight w:val="217"/>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2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99" w:firstLine="648"/>
        <w:spacing w:after="0" w:line="286" w:lineRule="auto"/>
        <w:rPr>
          <w:sz w:val="20"/>
          <w:szCs w:val="20"/>
          <w:color w:val="auto"/>
        </w:rPr>
      </w:pPr>
      <w:r>
        <w:rPr>
          <w:rFonts w:ascii="Arial" w:cs="Arial" w:eastAsia="Arial" w:hAnsi="Arial"/>
          <w:sz w:val="17"/>
          <w:szCs w:val="17"/>
          <w:color w:val="auto"/>
        </w:rPr>
        <w:t>We measure certain assets at fair value on a nonrecurring basis. These assets are recognized at fair value when they are deemed to be other-than-temporarily impaired. During the first quarter of 2017, we recorded a goodwill impairment charge of $1.1 million based on Level 3 measurements. See Note 5 “Goodwill”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On April 1, 2017, we acquired all of the issued and outstanding stock of BCH Holdings, Inc. and each of its wholly-owned subsidiaries (collectively “BCH”) for $121.3 million of which $97.0 million was allocated to goodwill and identifiable intangible assets. The total purchase price included $95.4 million in cash, $14.3 million in notes payable to former owners and an $11.6 million contingent earn-out obligation. BCH is an integrated, single-source provider of mechanical service, maintenance and construction with headquarters in Tampa, Florida and operations throughout the southeastern region of the United States, which reports as a separate operating location.</w:t>
      </w:r>
    </w:p>
    <w:p>
      <w:pPr>
        <w:spacing w:after="0" w:line="178" w:lineRule="exact"/>
        <w:rPr>
          <w:sz w:val="20"/>
          <w:szCs w:val="20"/>
          <w:color w:val="auto"/>
        </w:rPr>
      </w:pPr>
    </w:p>
    <w:p>
      <w:pPr>
        <w:ind w:right="79" w:firstLine="648"/>
        <w:spacing w:after="0" w:line="279" w:lineRule="auto"/>
        <w:rPr>
          <w:sz w:val="20"/>
          <w:szCs w:val="20"/>
          <w:color w:val="auto"/>
        </w:rPr>
      </w:pPr>
      <w:r>
        <w:rPr>
          <w:rFonts w:ascii="Arial" w:cs="Arial" w:eastAsia="Arial" w:hAnsi="Arial"/>
          <w:sz w:val="17"/>
          <w:szCs w:val="17"/>
          <w:color w:val="auto"/>
        </w:rPr>
        <w:t>We completed three acquisitions in the second quarter of 2018 and two acquisitions in the first quarter of 2018 with a total purchase price of $18.1 million for the six months ended June 30, 2018. In addition to the BCH acquisition, we completed four additional acquisitions in 2017. The total purchase price for these additional acquisitions, including earn-outs, was $9.4 million. These acquisitions were not material and were “tucked-in” with existing operations.</w:t>
      </w:r>
    </w:p>
    <w:p>
      <w:pPr>
        <w:spacing w:after="0" w:line="171" w:lineRule="exact"/>
        <w:rPr>
          <w:sz w:val="20"/>
          <w:szCs w:val="20"/>
          <w:color w:val="auto"/>
        </w:rPr>
      </w:pPr>
    </w:p>
    <w:p>
      <w:pPr>
        <w:ind w:right="19" w:firstLine="648"/>
        <w:spacing w:after="0" w:line="292" w:lineRule="auto"/>
        <w:rPr>
          <w:sz w:val="20"/>
          <w:szCs w:val="20"/>
          <w:color w:val="auto"/>
        </w:rPr>
      </w:pPr>
      <w:r>
        <w:rPr>
          <w:rFonts w:ascii="Arial" w:cs="Arial" w:eastAsia="Arial" w:hAnsi="Arial"/>
          <w:sz w:val="16"/>
          <w:szCs w:val="16"/>
          <w:color w:val="auto"/>
        </w:rPr>
        <w:t>The results of operations of acquisitions are included in our consolidated financial statements from their respective acquisition dates. Our consolidated balance sheet includes preliminary allocations of the purchase price to the assets acquired and liabilities assumed for the applicable acquisition pending the completion of the final valuation of intangible assets and accrued liabilities. The acquisitions completed in the current and prior year were not material, individually or in the aggregate. Additional contingent purchase price (“earn-out”) has been or will be paid if certain acquisitions achieve predetermined profitability targets. Such earn-outs are not subject to the continued employment of the sellers</w:t>
      </w:r>
      <w:r>
        <w:rPr>
          <w:rFonts w:ascii="Arial" w:cs="Arial" w:eastAsia="Arial" w:hAnsi="Arial"/>
          <w:sz w:val="19"/>
          <w:szCs w:val="19"/>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60" w:type="dxa"/>
            <w:vAlign w:val="bottom"/>
            <w:gridSpan w:val="2"/>
          </w:tcPr>
          <w:p>
            <w:pPr>
              <w:jc w:val="right"/>
              <w:ind w:right="196"/>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246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6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$ 200,584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$ 149,208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Additions (See Note 4)</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4,578</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Impairment adjustment</w:t>
            </w:r>
          </w:p>
        </w:tc>
        <w:tc>
          <w:tcPr>
            <w:tcW w:w="1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7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$ 205,162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$ 200,584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9" w:firstLine="648"/>
        <w:spacing w:after="0" w:line="293" w:lineRule="auto"/>
        <w:rPr>
          <w:sz w:val="20"/>
          <w:szCs w:val="20"/>
          <w:color w:val="auto"/>
        </w:rPr>
      </w:pPr>
      <w:r>
        <w:rPr>
          <w:rFonts w:ascii="Arial" w:cs="Arial" w:eastAsia="Arial" w:hAnsi="Arial"/>
          <w:sz w:val="16"/>
          <w:szCs w:val="16"/>
          <w:color w:val="auto"/>
        </w:rPr>
        <w:t>We recorded a goodwill impairment charge of $1.1 million during the first quarter of 2017. Based on changes to our market strategy that occurred in March 2017 related to our reporting unit based in California, we reevaluated our projected future earnings for this operating location. When the carrying value of a given reporting unit exceeds its fair value, a goodwill impairment loss is recorded for this difference, not to exceed the carrying amount of goodwill. Based upon our projected future earnings for this location, we could no longer support the related goodwill balance and therefore the goodwill associated with this location was fully impaired. The fair value was estimated using a discounted cash flow model.</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obligations consist of the following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tcPr>
          <w:p>
            <w:pPr>
              <w:jc w:val="right"/>
              <w:ind w:right="194"/>
              <w:spacing w:after="0" w:line="149" w:lineRule="exact"/>
              <w:rPr>
                <w:sz w:val="20"/>
                <w:szCs w:val="20"/>
                <w:color w:val="auto"/>
              </w:rPr>
            </w:pPr>
            <w:r>
              <w:rPr>
                <w:rFonts w:ascii="Arial" w:cs="Arial" w:eastAsia="Arial" w:hAnsi="Arial"/>
                <w:sz w:val="14"/>
                <w:szCs w:val="14"/>
                <w:b w:val="1"/>
                <w:bCs w:val="1"/>
                <w:color w:val="auto"/>
              </w:rPr>
              <w:t>31,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1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$ 42,000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$ 45,000</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Notes to former owners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16,813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15,325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debt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4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Less—current portion</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ind w:left="220"/>
              <w:spacing w:after="0"/>
              <w:rPr>
                <w:sz w:val="20"/>
                <w:szCs w:val="20"/>
                <w:color w:val="auto"/>
              </w:rPr>
            </w:pPr>
            <w:r>
              <w:rPr>
                <w:rFonts w:ascii="Arial" w:cs="Arial" w:eastAsia="Arial" w:hAnsi="Arial"/>
                <w:sz w:val="18"/>
                <w:szCs w:val="18"/>
                <w:color w:val="auto"/>
              </w:rPr>
              <w:t>Total long-term portion of debt</w:t>
            </w:r>
          </w:p>
        </w:tc>
        <w:tc>
          <w:tcPr>
            <w:tcW w:w="14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$ 57,864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$ 59,926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On April 18, 2018, we amended our senior credit facility (the “Facility”) provided by a syndicate of banks, increasing our borrowing capacity from $325.0 million to $400.0 million, with a $100 million accordion option. The Facility, which is available for borrowings and letters of credit, expires in April 2023 and is secured by a first lien on substantially all of our personal property except for assets related to projects subject to surety bonds and assets held by certain unrestricted subsidiaries and a second lien on our assets related to projects subject to surety bonds. In 2018, we incurred approximately $0.8 million in financing and professional costs in connection with an amendment to the Facility, which combined with the previous unamortized costs of $1.1 million, are being amortized on a straight-line basis as a non-cash charge to interest expense over the remaining term of the Facility. As of June 30, 2018, we had $42.0 million of outstanding borrowings, $33.6 million in letters of credit outstanding and $324.4 million of credit available.</w:t>
      </w:r>
    </w:p>
    <w:p>
      <w:pPr>
        <w:spacing w:after="0" w:line="182" w:lineRule="exact"/>
        <w:rPr>
          <w:sz w:val="20"/>
          <w:szCs w:val="20"/>
          <w:color w:val="auto"/>
        </w:rPr>
      </w:pPr>
    </w:p>
    <w:p>
      <w:pPr>
        <w:jc w:val="both"/>
        <w:ind w:right="79" w:firstLine="648"/>
        <w:spacing w:after="0" w:line="264" w:lineRule="auto"/>
        <w:rPr>
          <w:sz w:val="20"/>
          <w:szCs w:val="20"/>
          <w:color w:val="auto"/>
        </w:rPr>
      </w:pPr>
      <w:r>
        <w:rPr>
          <w:rFonts w:ascii="Arial" w:cs="Arial" w:eastAsia="Arial" w:hAnsi="Arial"/>
          <w:sz w:val="18"/>
          <w:szCs w:val="18"/>
          <w:color w:val="auto"/>
        </w:rPr>
        <w:t>There are two interest rate options for borrowings under the Facility, the Base Rate Loan Option and the Eurodollar Rate Loan Option. These rates are floating rates determined by the broad financial markets, meaning they can and do move up and down from time to time. Additional margins are then added to these two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additional margins:</w:t>
      </w: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Consolidated Total Indebtedness to</w:t>
      </w:r>
    </w:p>
    <w:p>
      <w:pPr>
        <w:ind w:left="5000"/>
        <w:spacing w:after="0" w:line="236" w:lineRule="auto"/>
        <w:rPr>
          <w:sz w:val="20"/>
          <w:szCs w:val="20"/>
          <w:color w:val="auto"/>
        </w:rPr>
      </w:pPr>
      <w:r>
        <w:rPr>
          <w:rFonts w:ascii="Arial" w:cs="Arial" w:eastAsia="Arial" w:hAnsi="Arial"/>
          <w:sz w:val="14"/>
          <w:szCs w:val="14"/>
          <w:b w:val="1"/>
          <w:bCs w:val="1"/>
          <w:color w:val="auto"/>
        </w:rPr>
        <w:t>Credit Facility Adjusted EBITDA</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3160" w:type="dxa"/>
            <w:vAlign w:val="bottom"/>
          </w:tcPr>
          <w:p>
            <w:pPr>
              <w:spacing w:after="0"/>
              <w:rPr>
                <w:sz w:val="12"/>
                <w:szCs w:val="12"/>
                <w:color w:val="auto"/>
              </w:rPr>
            </w:pPr>
          </w:p>
        </w:tc>
        <w:tc>
          <w:tcPr>
            <w:tcW w:w="10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9"/>
              </w:rPr>
              <w:t>Less than 1.00</w:t>
            </w:r>
          </w:p>
        </w:tc>
        <w:tc>
          <w:tcPr>
            <w:tcW w:w="9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1.00 to 1.75</w:t>
            </w:r>
          </w:p>
        </w:tc>
        <w:tc>
          <w:tcPr>
            <w:tcW w:w="9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5"/>
              </w:rPr>
              <w:t>1.75 to 2.50</w:t>
            </w: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3"/>
              </w:rPr>
              <w:t>2.50 or greater</w:t>
            </w:r>
          </w:p>
        </w:tc>
        <w:tc>
          <w:tcPr>
            <w:tcW w:w="160" w:type="dxa"/>
            <w:vAlign w:val="bottom"/>
          </w:tcPr>
          <w:p>
            <w:pPr>
              <w:spacing w:after="0"/>
              <w:rPr>
                <w:sz w:val="12"/>
                <w:szCs w:val="12"/>
                <w:color w:val="auto"/>
              </w:rPr>
            </w:pPr>
          </w:p>
        </w:tc>
      </w:tr>
      <w:tr>
        <w:trPr>
          <w:trHeight w:val="182"/>
        </w:trPr>
        <w:tc>
          <w:tcPr>
            <w:tcW w:w="3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Additional Per Annum Interest Margin</w:t>
            </w: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Added Under:</w:t>
            </w: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3160" w:type="dxa"/>
            <w:vAlign w:val="bottom"/>
          </w:tcPr>
          <w:p>
            <w:pPr>
              <w:ind w:left="220"/>
              <w:spacing w:after="0"/>
              <w:rPr>
                <w:sz w:val="20"/>
                <w:szCs w:val="20"/>
                <w:color w:val="auto"/>
              </w:rPr>
            </w:pPr>
            <w:r>
              <w:rPr>
                <w:rFonts w:ascii="Arial" w:cs="Arial" w:eastAsia="Arial" w:hAnsi="Arial"/>
                <w:sz w:val="18"/>
                <w:szCs w:val="18"/>
                <w:color w:val="auto"/>
              </w:rPr>
              <w:t>Base Rate Loan Option</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0.25 %</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0.50 %</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0.75 %</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1.00 %</w:t>
            </w:r>
          </w:p>
        </w:tc>
      </w:tr>
      <w:tr>
        <w:trPr>
          <w:trHeight w:val="216"/>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Eurodollar Rate Loan Option</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1.25 %</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1.50 %</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1.75 %</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2.00 %</w:t>
            </w:r>
          </w:p>
        </w:tc>
      </w:tr>
    </w:tbl>
    <w:p>
      <w:pPr>
        <w:spacing w:after="0" w:line="202" w:lineRule="exact"/>
        <w:rPr>
          <w:sz w:val="20"/>
          <w:szCs w:val="20"/>
          <w:color w:val="auto"/>
        </w:rPr>
      </w:pPr>
    </w:p>
    <w:p>
      <w:pPr>
        <w:ind w:right="279" w:firstLine="648"/>
        <w:spacing w:after="0" w:line="277" w:lineRule="auto"/>
        <w:rPr>
          <w:sz w:val="20"/>
          <w:szCs w:val="20"/>
          <w:color w:val="auto"/>
        </w:rPr>
      </w:pPr>
      <w:r>
        <w:rPr>
          <w:rFonts w:ascii="Arial" w:cs="Arial" w:eastAsia="Arial" w:hAnsi="Arial"/>
          <w:sz w:val="18"/>
          <w:szCs w:val="18"/>
          <w:color w:val="auto"/>
        </w:rPr>
        <w:t>The weighted average interest rate applicable to the borrowings under the Facility was approximately 3.4% as of June 30, 2018.</w:t>
      </w:r>
    </w:p>
    <w:p>
      <w:pPr>
        <w:spacing w:after="0" w:line="170" w:lineRule="exact"/>
        <w:rPr>
          <w:sz w:val="20"/>
          <w:szCs w:val="20"/>
          <w:color w:val="auto"/>
        </w:rPr>
      </w:pPr>
    </w:p>
    <w:p>
      <w:pPr>
        <w:ind w:right="19" w:firstLine="648"/>
        <w:spacing w:after="0" w:line="272" w:lineRule="auto"/>
        <w:rPr>
          <w:sz w:val="20"/>
          <w:szCs w:val="20"/>
          <w:color w:val="auto"/>
        </w:rPr>
      </w:pPr>
      <w:r>
        <w:rPr>
          <w:rFonts w:ascii="Arial" w:cs="Arial" w:eastAsia="Arial" w:hAnsi="Arial"/>
          <w:sz w:val="17"/>
          <w:szCs w:val="17"/>
          <w:color w:val="auto"/>
        </w:rPr>
        <w:t>Certain of our vendors require letters of credit to ensure reimbursement for amounts they are disbursing on our behalf, such as to beneficiaries under our self-funded insurance programs. We have also occasionally used letters of credit to guarantee performance under our contracts and to ensure payment to our subcontractors and vendors under those contracts. Our lenders issue such letters of credit through the Facility for a fee. We have never had a claim made against a letter of credit that resulted in payments by a lender or by us and believe such a claim is unlikely in the foreseeable future. The letter of credit fees range from 1.25% to 2.00% per annum, based on the ratio of Consolidated Total Indebtedness to Credit Facility Adjusted EBITDA, as defined in the credit agreement.</w:t>
      </w:r>
    </w:p>
    <w:p>
      <w:pPr>
        <w:spacing w:after="0" w:line="178" w:lineRule="exact"/>
        <w:rPr>
          <w:sz w:val="20"/>
          <w:szCs w:val="20"/>
          <w:color w:val="auto"/>
        </w:rPr>
      </w:pPr>
    </w:p>
    <w:p>
      <w:pPr>
        <w:ind w:right="239" w:firstLine="648"/>
        <w:spacing w:after="0" w:line="264" w:lineRule="auto"/>
        <w:rPr>
          <w:sz w:val="20"/>
          <w:szCs w:val="20"/>
          <w:color w:val="auto"/>
        </w:rPr>
      </w:pPr>
      <w:r>
        <w:rPr>
          <w:rFonts w:ascii="Arial" w:cs="Arial" w:eastAsia="Arial" w:hAnsi="Arial"/>
          <w:sz w:val="18"/>
          <w:szCs w:val="18"/>
          <w:color w:val="auto"/>
        </w:rPr>
        <w:t>Commitment fees are payable on the portion of the revolving loan capacity not in use for borrowings or letters of credit at any given time. These fees range from 0.20% to 0.35% per annum, based on the ratio of Consolidated Total Indebtedness to Credit Facility Adjusted EBITDA, as defined in the credit agreement.</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Facility contains financial covenants defining various financial measures and the levels of these measures with which we must comply. Covenant compliance is assessed as of each quarter end.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Facility’s principal financial covenants include: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Total Leverage Ratio</w:t>
      </w:r>
      <w:r>
        <w:rPr>
          <w:rFonts w:ascii="Arial" w:cs="Arial" w:eastAsia="Arial" w:hAnsi="Arial"/>
          <w:sz w:val="18"/>
          <w:szCs w:val="18"/>
          <w:color w:val="auto"/>
        </w:rPr>
        <w:t>—The Facility requires that the ratio of our Consolidated Total Indebtedness to our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Adjusted EBITDA not exceed 3.00 to 1.00 as of the end of each fiscal quarter. The total leverage ratio as of June 30, 2018 was 0.3.</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Fixed Charge Coverage Ratio</w:t>
      </w:r>
      <w:r>
        <w:rPr>
          <w:rFonts w:ascii="Arial" w:cs="Arial" w:eastAsia="Arial" w:hAnsi="Arial"/>
          <w:sz w:val="16"/>
          <w:szCs w:val="16"/>
          <w:color w:val="auto"/>
        </w:rPr>
        <w:t>—The Facility requires that the ratio of (a) Credit Facility Adjusted EBITDA, less</w:t>
      </w:r>
      <w:r>
        <w:rPr>
          <w:rFonts w:ascii="Arial" w:cs="Arial" w:eastAsia="Arial" w:hAnsi="Arial"/>
          <w:sz w:val="16"/>
          <w:szCs w:val="16"/>
          <w:i w:val="1"/>
          <w:iCs w:val="1"/>
          <w:color w:val="auto"/>
        </w:rPr>
        <w:t xml:space="preserve"> </w:t>
      </w:r>
      <w:r>
        <w:rPr>
          <w:rFonts w:ascii="Arial" w:cs="Arial" w:eastAsia="Arial" w:hAnsi="Arial"/>
          <w:sz w:val="16"/>
          <w:szCs w:val="16"/>
          <w:color w:val="auto"/>
        </w:rPr>
        <w:t>non-financed capital expenditures, provision for income taxes, dividends and amounts used to repurchase stock to (b) the sum of interest expense and scheduled principal payments of indebtedness be at least 2.00 to 1.00; provided that the calculation of the fixed charge coverage ratio excludes stock repurchases and the payment of dividends at any time that the Company’s Net Leverage Ratio, as defined in the credit agreement, does not exceed 1.75 to 1.00. The Facility also allows the fixed charge coverage ratio not to be reduced for stock repurchases made after the effective date of the Facility in an aggregate amount not to exceed $30 million, if at the time of and after giving effect to such repurchase the Company’s Net Leverage Ratio was less than or equal to 1.75 to 1.00. Credit Facility Adjusted EBITDA, capital expenditures, provision for income taxes, dividends, stock repurchase payments, interest expense, and scheduled principal payments are defined under the Facility for purposes of this covenant to be amounts for the four quarters ending as of any given quarterly covenant compliance measurement date. The fixed charge coverage ratio as of June 30, 2018 was 24.3.</w:t>
      </w:r>
    </w:p>
    <w:p>
      <w:pPr>
        <w:spacing w:after="0" w:line="173"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i w:val="1"/>
          <w:iCs w:val="1"/>
          <w:color w:val="auto"/>
        </w:rPr>
        <w:t>Other Restrictions</w:t>
      </w:r>
      <w:r>
        <w:rPr>
          <w:rFonts w:ascii="Arial" w:cs="Arial" w:eastAsia="Arial" w:hAnsi="Arial"/>
          <w:sz w:val="17"/>
          <w:szCs w:val="17"/>
          <w:color w:val="auto"/>
        </w:rPr>
        <w:t>—The Facility permits acquisitions of up to $40.0 million per transaction, provided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purchase price of all such acquisitions in the same fiscal year does not exceed $80.0 million. However, these limitations only apply when the Company’s Total Leverage Ratio is greater than 2.00 to 1.00.</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While the Facility’s financial covenants do not specifically govern capacity under the Facility, if our debt level under the Facility at a quarter-end covenant compliance measurement date were to cause us to violate the Facility’s leverage ratio covenant, our borrowing capacity under the Facility and the favorable terms that we currently have could be negatively impacted by the lenders.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of our financial covenants as of June 30,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to Former Owners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As part of the consideration used to acquire four companies, we have outstanding notes to the former owners. These notes had an outstanding balance of $16.8 million as of June 30, 2018. In conjunction with a small acquisition in the second quarter of 2018, we issued a subordinated note to former owners with an outstanding balance of $1.0 million as of June 30, 2018 that bears interest, payable quarterly, at a weighted average interest rate of 3.5%. The principal is due in equal installments in May 2020 and 2021. In conjunction with a small acquisition in the first quarter of 2018, we issued a subordinated note to former owners with an outstanding balance of $1.0 million as of June 30, 2018 that bears interest, payable quarterly, at a weighted average interest rate of 2.5%. The principal is due in equal installments in January 2019 and 2020. In conjunction with the BCH acquisition in the second quarter of 2017, we issued a promissory note to former owners with an outstanding balance of $14.3 million as of June 30, 2018 that bears interest, payable quarterly, at a weighted average interest rate of 3.0%. The principal is due in equal installments in April 2020 and 2021. In conjunction with the Shoffner acquisition in the first quarter of 2016, we issued a subordinated note to former owners with an outstanding balance of $0.5 million as of June 30, 2018 that bears interest, payable quarterly, at a weighted average interest rate of 3.0%. The principal is due in February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Debt</w:t>
      </w:r>
    </w:p>
    <w:p>
      <w:pPr>
        <w:spacing w:after="0" w:line="225"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As part of the Shoffner acquisition, we acquired debt with an outstanding balance at the acquisition date of $0.4 million with principal and interest due the last day of every month; ending on the December 30, 2019 maturity date. The interest rate is the one month LIBOR rate plus 2.25%. As of June 30, 2018, $0.2 million of the note was outstanding, of which $0.1 million was considered current.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right="6320" w:hanging="657"/>
        <w:spacing w:after="0" w:line="566" w:lineRule="auto"/>
        <w:tabs>
          <w:tab w:leader="none" w:pos="19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Claims and Lawsuits</w:t>
      </w:r>
    </w:p>
    <w:p>
      <w:pPr>
        <w:spacing w:after="0" w:line="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subject to certain legal and regulatory claims, including lawsuits arising in the normal course of business. We maintain various insurance coverages to minimize financial risk associated with these claims. We have estimated and provided accruals for probable losses and related legal fees associated with certain litigation in the accompanying consolidated financial statements. While we cannot predict the outcome of these proceedings, in management’s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Surety</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surety for any expenses or outlays it incurs. To date, we are not aware of any losses to our sureties in connection with bonds the sureties have posted on our behalf, and do not expect such losses to be incurred in the foreseeable future.</w:t>
      </w:r>
    </w:p>
    <w:p>
      <w:pPr>
        <w:spacing w:after="0" w:line="178"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Surety market conditions have seen some strengthening as the commercial construction markets have started to rebound. Bonding capacity remains adequate in the current market conditions along with acceptable terms and conditions. Historically, approximately 20% to 30% of our business has required bonds. While we currently have strong surety relationships to support our bonding needs, future market conditions or changes in the sureties’ assessment of our operating and financial risk could cause the sureties to decline to issue bonds for our work. If that were to occur, the alternatives include doing more business that does not require bonds, posting other forms of collateral for project performance such as letters of credit or cash, and seeking bonding capacity from other sureties. We would 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Self-Insurance</w:t>
      </w:r>
    </w:p>
    <w:p>
      <w:pPr>
        <w:spacing w:after="0" w:line="225"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We are substantially self</w:t>
      </w:r>
      <w:r>
        <w:rPr>
          <w:rFonts w:ascii="MS PGothic" w:cs="MS PGothic" w:eastAsia="MS PGothic" w:hAnsi="MS PGothic"/>
          <w:sz w:val="16"/>
          <w:szCs w:val="16"/>
          <w:color w:val="auto"/>
        </w:rPr>
        <w:t>‑</w:t>
      </w:r>
      <w:r>
        <w:rPr>
          <w:rFonts w:ascii="Arial" w:cs="Arial" w:eastAsia="Arial" w:hAnsi="Arial"/>
          <w:sz w:val="16"/>
          <w:szCs w:val="16"/>
          <w:color w:val="auto"/>
        </w:rPr>
        <w:t>insured for workers’ compensation, employer’s liability, auto liability, general liability and employee group health claims, in view of the relatively high per</w:t>
      </w:r>
      <w:r>
        <w:rPr>
          <w:rFonts w:ascii="MS PGothic" w:cs="MS PGothic" w:eastAsia="MS PGothic" w:hAnsi="MS PGothic"/>
          <w:sz w:val="16"/>
          <w:szCs w:val="16"/>
          <w:color w:val="auto"/>
        </w:rPr>
        <w:t>‑</w:t>
      </w:r>
      <w:r>
        <w:rPr>
          <w:rFonts w:ascii="Arial" w:cs="Arial" w:eastAsia="Arial" w:hAnsi="Arial"/>
          <w:sz w:val="16"/>
          <w:szCs w:val="16"/>
          <w:color w:val="auto"/>
        </w:rPr>
        <w:t>incident deductibles we absorb under our insurance arrangements for these risks. Losses are estimated and accrued based upon known facts, historical trends and industry averages. Estimated losses in excess of our deductible, which have not already been paid, are included in our accrual with a corresponding receivable from our insurance carrier. Loss estimates associated with the larger and longer</w:t>
      </w:r>
      <w:r>
        <w:rPr>
          <w:rFonts w:ascii="MS PGothic" w:cs="MS PGothic" w:eastAsia="MS PGothic" w:hAnsi="MS PGothic"/>
          <w:sz w:val="16"/>
          <w:szCs w:val="16"/>
          <w:color w:val="auto"/>
        </w:rPr>
        <w:t>‑</w:t>
      </w:r>
      <w:r>
        <w:rPr>
          <w:rFonts w:ascii="Arial" w:cs="Arial" w:eastAsia="Arial" w:hAnsi="Arial"/>
          <w:sz w:val="16"/>
          <w:szCs w:val="16"/>
          <w:color w:val="auto"/>
        </w:rPr>
        <w:t>developing risks, such as workers’ compensation, auto liability and general liability, are reviewed by a third</w:t>
      </w:r>
      <w:r>
        <w:rPr>
          <w:rFonts w:ascii="MS PGothic" w:cs="MS PGothic" w:eastAsia="MS PGothic" w:hAnsi="MS PGothic"/>
          <w:sz w:val="16"/>
          <w:szCs w:val="16"/>
          <w:color w:val="auto"/>
        </w:rPr>
        <w:t>‑</w:t>
      </w:r>
      <w:r>
        <w:rPr>
          <w:rFonts w:ascii="Arial" w:cs="Arial" w:eastAsia="Arial" w:hAnsi="Arial"/>
          <w:sz w:val="16"/>
          <w:szCs w:val="16"/>
          <w:color w:val="auto"/>
        </w:rPr>
        <w:t>party actuary quarterly.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Basic earnings per share (“EPS”) is computed by dividing net income by the weighted average number of shares of common stock outstanding during the year. Diluted EPS is computed considering the dilutive effect of stock options, restricted stock, restricted stock units and performance stock units. The vesting of unvested contingently issuable performance stock units is based on the achievement of certain earnings per share targets and total shareholder return. These shares are considered contingently issuable shares for purposes of calculating diluted earnings per share. These shares are not included in the diluted earnings per share denominator until the performance criteria are met, if it is assumed that the end of the reporting period was the end of the contingency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Unvested restricted stock, restricted stock units and performance stock units are included in diluted earnings per share, weighted outstanding until the shares and units vest. Upon vesting, the vested restricted stock, restricted stock units and performance stock units are included in basic earnings per share weighted outstanding from the vesting date.</w:t>
      </w:r>
    </w:p>
    <w:p>
      <w:pPr>
        <w:spacing w:after="0" w:line="14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There were less than 0.1 million anti-dilutive stock options excluded from the calculation of diluted EPS for the three and six months ended June 30, 2018. There were no anti-dilutive stock options for the three and six months ended June 30, 2017.</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reconciles the number of shares outstanding with the number of shares used in computing basic and diluted earnings per share for each of the periods presented (in thousands):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300" w:type="dxa"/>
            <w:vAlign w:val="bottom"/>
          </w:tcPr>
          <w:p>
            <w:pPr>
              <w:spacing w:after="0"/>
              <w:rPr>
                <w:sz w:val="14"/>
                <w:szCs w:val="14"/>
                <w:color w:val="auto"/>
              </w:rPr>
            </w:pPr>
          </w:p>
        </w:tc>
        <w:tc>
          <w:tcPr>
            <w:tcW w:w="15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3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end of period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37,246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37,288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37,246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37,288</w:t>
            </w:r>
          </w:p>
        </w:tc>
        <w:tc>
          <w:tcPr>
            <w:tcW w:w="60" w:type="dxa"/>
            <w:vAlign w:val="bottom"/>
            <w:shd w:val="clear" w:color="auto" w:fill="CCEEFF"/>
          </w:tcPr>
          <w:p>
            <w:pPr>
              <w:spacing w:after="0"/>
              <w:rPr>
                <w:sz w:val="18"/>
                <w:szCs w:val="18"/>
                <w:color w:val="auto"/>
              </w:rPr>
            </w:pP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rPr>
              <w:t>Effect of using weighted average common shares</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tcPr>
          <w:p>
            <w:pPr>
              <w:spacing w:after="0"/>
              <w:rPr>
                <w:sz w:val="20"/>
                <w:szCs w:val="20"/>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share—basic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37,220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37,296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37,206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37,272</w:t>
            </w:r>
          </w:p>
        </w:tc>
        <w:tc>
          <w:tcPr>
            <w:tcW w:w="60" w:type="dxa"/>
            <w:vAlign w:val="bottom"/>
            <w:shd w:val="clear" w:color="auto" w:fill="CCEEFF"/>
          </w:tcPr>
          <w:p>
            <w:pPr>
              <w:spacing w:after="0"/>
              <w:rPr>
                <w:sz w:val="18"/>
                <w:szCs w:val="18"/>
                <w:color w:val="auto"/>
              </w:rPr>
            </w:pPr>
          </w:p>
        </w:tc>
      </w:tr>
      <w:tr>
        <w:trPr>
          <w:trHeight w:val="202"/>
        </w:trPr>
        <w:tc>
          <w:tcPr>
            <w:tcW w:w="4300" w:type="dxa"/>
            <w:vAlign w:val="bottom"/>
          </w:tcPr>
          <w:p>
            <w:pPr>
              <w:spacing w:after="0" w:line="201" w:lineRule="exact"/>
              <w:rPr>
                <w:sz w:val="20"/>
                <w:szCs w:val="20"/>
                <w:color w:val="auto"/>
              </w:rPr>
            </w:pPr>
            <w:r>
              <w:rPr>
                <w:rFonts w:ascii="Arial" w:cs="Arial" w:eastAsia="Arial" w:hAnsi="Arial"/>
                <w:sz w:val="18"/>
                <w:szCs w:val="18"/>
                <w:color w:val="auto"/>
                <w:w w:val="95"/>
              </w:rPr>
              <w:t>Effect of shares issuable under stock option plans based</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on the treasury stock method</w:t>
            </w:r>
          </w:p>
        </w:tc>
        <w:tc>
          <w:tcPr>
            <w:tcW w:w="60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0"/>
                <w:szCs w:val="20"/>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Effect of restricted and contingently issuable shares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w w:val="98"/>
              </w:rPr>
              <w:t>Shares used in computing earnings per share—diluted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37,605</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37,705</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37,617</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37,714</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29, 2007, our Board of Directors (the “Board”) approved a stock repurchase program to acquire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 million shares of our outstanding common stock. Subsequently, the Board has from time to time increased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that may be acquired under the program and approved extensions of the program. Since the inception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the Board has approved 8.1 million shares to be repurchased. As of June 30, 2018, we have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cumulative total of 7.8 million shares at an average price of $14.34 per share under the repurchase program.</w:t>
      </w:r>
    </w:p>
    <w:p>
      <w:pPr>
        <w:spacing w:after="0" w:line="23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six months ended June 30, 2018, we repurchased 0.2 million shares for approximately $6.8 million at an average price of $41.19 per share.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July 1, 2018, we acquired all of the issued and outstanding common stock of a company that is an integrated, single-source provider of mechanical service, maintenance and construction with headquarters in Indiana. This company had revenue of approximately $85 million for the year ended December 31, 2017 and will report as a separate operating location for us starting in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firstLine="648"/>
        <w:spacing w:after="0" w:line="217" w:lineRule="exact"/>
        <w:rPr>
          <w:sz w:val="20"/>
          <w:szCs w:val="20"/>
          <w:color w:val="auto"/>
        </w:rPr>
      </w:pPr>
      <w:r>
        <w:rPr>
          <w:rFonts w:ascii="Arial" w:cs="Arial" w:eastAsia="Arial" w:hAnsi="Arial"/>
          <w:sz w:val="17"/>
          <w:szCs w:val="17"/>
          <w:color w:val="auto"/>
        </w:rPr>
        <w:t>The following discussion and analysis should be read in conjunction with our historical Consolidated Financial Statements and related notes included elsewhere in this Form 10</w:t>
      </w:r>
      <w:r>
        <w:rPr>
          <w:rFonts w:ascii="MS PGothic" w:cs="MS PGothic" w:eastAsia="MS PGothic" w:hAnsi="MS PGothic"/>
          <w:sz w:val="17"/>
          <w:szCs w:val="17"/>
          <w:color w:val="auto"/>
        </w:rPr>
        <w:t>‑</w:t>
      </w:r>
      <w:r>
        <w:rPr>
          <w:rFonts w:ascii="Arial" w:cs="Arial" w:eastAsia="Arial" w:hAnsi="Arial"/>
          <w:sz w:val="17"/>
          <w:szCs w:val="17"/>
          <w:color w:val="auto"/>
        </w:rPr>
        <w:t>Q and 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with the Securities and Exchange Commission for the year ended December 31, 2017 (the “Form 10</w:t>
      </w:r>
      <w:r>
        <w:rPr>
          <w:rFonts w:ascii="MS PGothic" w:cs="MS PGothic" w:eastAsia="MS PGothic" w:hAnsi="MS PGothic"/>
          <w:sz w:val="17"/>
          <w:szCs w:val="17"/>
          <w:color w:val="auto"/>
        </w:rPr>
        <w:t>‑</w:t>
      </w:r>
      <w:r>
        <w:rPr>
          <w:rFonts w:ascii="Arial" w:cs="Arial" w:eastAsia="Arial" w:hAnsi="Arial"/>
          <w:sz w:val="17"/>
          <w:szCs w:val="17"/>
          <w:color w:val="auto"/>
        </w:rPr>
        <w:t>K”). This discussion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regarding our business and industry within the meaning of the Private Securities Litigation Reform Act of 1995. These statements are based on our current plans and expectations and involve risks and uncertainties that could cause our actual future activities and results of operations to be materially different from those set forth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Important factors that could cause actual results to differ include risks set forth in “Item 1A. Risk Factors” included in our Form 10</w:t>
      </w:r>
      <w:r>
        <w:rPr>
          <w:rFonts w:ascii="MS PGothic" w:cs="MS PGothic" w:eastAsia="MS PGothic" w:hAnsi="MS PGothic"/>
          <w:sz w:val="17"/>
          <w:szCs w:val="17"/>
          <w:color w:val="auto"/>
        </w:rPr>
        <w:t>‑</w:t>
      </w:r>
      <w:r>
        <w:rPr>
          <w:rFonts w:ascii="Arial" w:cs="Arial" w:eastAsia="Arial" w:hAnsi="Arial"/>
          <w:sz w:val="17"/>
          <w:szCs w:val="17"/>
          <w:color w:val="auto"/>
        </w:rPr>
        <w:t>K. We undertake no obligation to revise or publicly release the results of any revision to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except as required by law. Given these risks and uncertainties, readers are cautioned not to place undue reliance on such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terms “Comfort Systems,” “we,” “us,” or “the Company,” refer to Comfort Systems USA, Inc. or Comfort Systems USA, Inc. and its consolidated subsidiaries, as appropriate in the context.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Introduction and Overview</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are a national provider of comprehensive mechanical installation, renovation, maintenance, repair and replacement services within the mechanical services industry. We operate primarily in the commercial, industrial and institutional HVAC markets and perform most of our services within office buildings, retail centers, apartment complexes, manufacturing plants, and healthcare, education and government facilities.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Nature and Economics of Our Business</w:t>
      </w:r>
    </w:p>
    <w:p>
      <w:pPr>
        <w:spacing w:after="0" w:line="225" w:lineRule="exact"/>
        <w:rPr>
          <w:sz w:val="20"/>
          <w:szCs w:val="20"/>
          <w:color w:val="auto"/>
        </w:rPr>
      </w:pPr>
    </w:p>
    <w:p>
      <w:pPr>
        <w:ind w:right="100" w:firstLine="648"/>
        <w:spacing w:after="0" w:line="218" w:lineRule="exact"/>
        <w:rPr>
          <w:sz w:val="20"/>
          <w:szCs w:val="20"/>
          <w:color w:val="auto"/>
        </w:rPr>
      </w:pPr>
      <w:r>
        <w:rPr>
          <w:rFonts w:ascii="Arial" w:cs="Arial" w:eastAsia="Arial" w:hAnsi="Arial"/>
          <w:sz w:val="17"/>
          <w:szCs w:val="17"/>
          <w:color w:val="auto"/>
        </w:rPr>
        <w:t>Approximately 82% of our revenue is earned on a project basis for installation of mechanical systems in newly constructed facilities or for replacement of systems in existing facilities. Customers hire us to ensure such systems deliver specified or generally expected heating, cooling, conditioning and circulation of air in a facility. This entails installing core system equipment such as packaged heating and air conditioning units, or in the case of larger facilities, separate core components such as chillers, boilers, air handlers, and cooling towers. We also typically install connecting and distribution elements such as piping and ducting. Our responsibilities usually require conforming the systems to pre</w:t>
      </w:r>
      <w:r>
        <w:rPr>
          <w:rFonts w:ascii="MS PGothic" w:cs="MS PGothic" w:eastAsia="MS PGothic" w:hAnsi="MS PGothic"/>
          <w:sz w:val="17"/>
          <w:szCs w:val="17"/>
          <w:color w:val="auto"/>
        </w:rPr>
        <w:t>‑</w:t>
      </w:r>
      <w:r>
        <w:rPr>
          <w:rFonts w:ascii="Arial" w:cs="Arial" w:eastAsia="Arial" w:hAnsi="Arial"/>
          <w:sz w:val="17"/>
          <w:szCs w:val="17"/>
          <w:color w:val="auto"/>
        </w:rPr>
        <w:t>established engineering drawings and equipment and performance specifications, which we frequently participate in establishing. Our project management responsibilities include staging equipment and materials to project sites, deploying labor to perform the work, and coordinating with other service providers on the project, including any subcontractors we might use to deliver our portion of the work.</w:t>
      </w:r>
    </w:p>
    <w:p>
      <w:pPr>
        <w:spacing w:after="0" w:line="20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When competing for project business, we usually estimate the costs we will incur on a project, and then propose a bid to the customer that includes a contract price and other performance and payment terms. Our bid price and terms are intended to cover our estimated costs on the project and provide a profit margin to us commensurate with the value of the installed system to the customer, the risk that project costs or duration will vary from estimate, the schedule on which we will be paid, the opportunities for other work that we might forego by committing capacity to this project, and other costs that we incur to support our operations but which are not specific to the project. Typically customers will seek pricing from competitors for a given project. While the criteria on which customers select a service provider vary widely and include factors such as quality, technical expertise, on</w:t>
      </w:r>
      <w:r>
        <w:rPr>
          <w:rFonts w:ascii="MS PGothic" w:cs="MS PGothic" w:eastAsia="MS PGothic" w:hAnsi="MS PGothic"/>
          <w:sz w:val="17"/>
          <w:szCs w:val="17"/>
          <w:color w:val="auto"/>
        </w:rPr>
        <w:t>‑</w:t>
      </w:r>
      <w:r>
        <w:rPr>
          <w:rFonts w:ascii="Arial" w:cs="Arial" w:eastAsia="Arial" w:hAnsi="Arial"/>
          <w:sz w:val="17"/>
          <w:szCs w:val="17"/>
          <w:color w:val="auto"/>
        </w:rPr>
        <w:t>time performance, post</w:t>
      </w:r>
      <w:r>
        <w:rPr>
          <w:rFonts w:ascii="MS PGothic" w:cs="MS PGothic" w:eastAsia="MS PGothic" w:hAnsi="MS PGothic"/>
          <w:sz w:val="17"/>
          <w:szCs w:val="17"/>
          <w:color w:val="auto"/>
        </w:rPr>
        <w:t>‑</w:t>
      </w:r>
      <w:r>
        <w:rPr>
          <w:rFonts w:ascii="Arial" w:cs="Arial" w:eastAsia="Arial" w:hAnsi="Arial"/>
          <w:sz w:val="17"/>
          <w:szCs w:val="17"/>
          <w:color w:val="auto"/>
        </w:rPr>
        <w:t>project support and service, and company history and financial strength, we believe that price for value is the most influential factor for most customers in choosing a mechanical installation and service provider.</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After a customer accepts our bid, we generally enter into a contract with the customer that specifies what we will deliver on the project, what our related responsibilities are, and how much and when we will be paid. Our overall price for the project is typically set at a fixed amount in the contract, although changes in project specifications or work conditions that result in unexpected additional work are usually subject to additional payment from the customer via what are commonly known as change orders. Project contracts typically provide for periodic billings to the customer as we meet progress milestones or incur cost on the project. Project contracts in our industry also frequently allow for a small portion of progress billings or contract price to be withheld by the customer until after we have completed the work. Amounts withheld under this practice are known as retention or retainage.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Labor and overhead costs account for the majority of our cost of service. Accordingly, labor management and utilization have the most impact on our project performance. Given the fixed price nature of much of our project work, if our initial estimate of project costs is wrong or we incur cost overruns that cannot be recovered in change orders, we can experience reduced profits or even significant losses on fixed price project work. We also perform some project work on a cost</w:t>
      </w:r>
      <w:r>
        <w:rPr>
          <w:rFonts w:ascii="MS PGothic" w:cs="MS PGothic" w:eastAsia="MS PGothic" w:hAnsi="MS PGothic"/>
          <w:sz w:val="16"/>
          <w:szCs w:val="16"/>
          <w:color w:val="auto"/>
        </w:rPr>
        <w:t>‑</w:t>
      </w:r>
      <w:r>
        <w:rPr>
          <w:rFonts w:ascii="Arial" w:cs="Arial" w:eastAsia="Arial" w:hAnsi="Arial"/>
          <w:sz w:val="16"/>
          <w:szCs w:val="16"/>
          <w:color w:val="auto"/>
        </w:rPr>
        <w:t>plus or a time and materials basis, under which we are paid our costs incurred plus an agreed</w:t>
      </w:r>
      <w:r>
        <w:rPr>
          <w:rFonts w:ascii="MS PGothic" w:cs="MS PGothic" w:eastAsia="MS PGothic" w:hAnsi="MS PGothic"/>
          <w:sz w:val="16"/>
          <w:szCs w:val="16"/>
          <w:color w:val="auto"/>
        </w:rPr>
        <w:t>‑</w:t>
      </w:r>
      <w:r>
        <w:rPr>
          <w:rFonts w:ascii="Arial" w:cs="Arial" w:eastAsia="Arial" w:hAnsi="Arial"/>
          <w:sz w:val="16"/>
          <w:szCs w:val="16"/>
          <w:color w:val="auto"/>
        </w:rPr>
        <w:t>upon profit margin, and such projects are sometimes subject to a guaranteed maximum cost. These margins are frequently less than fixed</w:t>
      </w:r>
      <w:r>
        <w:rPr>
          <w:rFonts w:ascii="MS PGothic" w:cs="MS PGothic" w:eastAsia="MS PGothic" w:hAnsi="MS PGothic"/>
          <w:sz w:val="16"/>
          <w:szCs w:val="16"/>
          <w:color w:val="auto"/>
        </w:rPr>
        <w:t>‑</w:t>
      </w:r>
      <w:r>
        <w:rPr>
          <w:rFonts w:ascii="Arial" w:cs="Arial" w:eastAsia="Arial" w:hAnsi="Arial"/>
          <w:sz w:val="16"/>
          <w:szCs w:val="16"/>
          <w:color w:val="auto"/>
        </w:rPr>
        <w:t>price contract margins because there is less risk of unrecoverable cost overruns in cost</w:t>
      </w:r>
      <w:r>
        <w:rPr>
          <w:rFonts w:ascii="MS PGothic" w:cs="MS PGothic" w:eastAsia="MS PGothic" w:hAnsi="MS PGothic"/>
          <w:sz w:val="16"/>
          <w:szCs w:val="16"/>
          <w:color w:val="auto"/>
        </w:rPr>
        <w:t>‑</w:t>
      </w:r>
      <w:r>
        <w:rPr>
          <w:rFonts w:ascii="Arial" w:cs="Arial" w:eastAsia="Arial" w:hAnsi="Arial"/>
          <w:sz w:val="16"/>
          <w:szCs w:val="16"/>
          <w:color w:val="auto"/>
        </w:rPr>
        <w:t>plus or time and materials work.</w:t>
      </w:r>
    </w:p>
    <w:p>
      <w:pPr>
        <w:spacing w:after="0" w:line="205" w:lineRule="exact"/>
        <w:rPr>
          <w:sz w:val="20"/>
          <w:szCs w:val="20"/>
          <w:color w:val="auto"/>
        </w:rPr>
      </w:pPr>
    </w:p>
    <w:p>
      <w:pPr>
        <w:ind w:right="140" w:firstLine="648"/>
        <w:spacing w:after="0" w:line="218" w:lineRule="exact"/>
        <w:rPr>
          <w:sz w:val="20"/>
          <w:szCs w:val="20"/>
          <w:color w:val="auto"/>
        </w:rPr>
      </w:pPr>
      <w:r>
        <w:rPr>
          <w:rFonts w:ascii="Arial" w:cs="Arial" w:eastAsia="Arial" w:hAnsi="Arial"/>
          <w:sz w:val="17"/>
          <w:szCs w:val="17"/>
          <w:color w:val="auto"/>
        </w:rPr>
        <w:t>As of June 30, 2018 we had 5,323 projects in process. Our average project takes six to nine months to complete, with an average contract price of approximately $555,000. Our projects generally require working capital funding of equipment and labor costs. Customer payments on periodic billings generally do not recover these costs until late in the job. Our average project duration together with typical retention terms as discussed above generally allow us to complete the realization of revenue and earnings in cash within one year. We have what we believe is a well</w:t>
      </w:r>
      <w:r>
        <w:rPr>
          <w:rFonts w:ascii="MS PGothic" w:cs="MS PGothic" w:eastAsia="MS PGothic" w:hAnsi="MS PGothic"/>
          <w:sz w:val="17"/>
          <w:szCs w:val="17"/>
          <w:color w:val="auto"/>
        </w:rPr>
        <w:t>‑</w:t>
      </w:r>
      <w:r>
        <w:rPr>
          <w:rFonts w:ascii="Arial" w:cs="Arial" w:eastAsia="Arial" w:hAnsi="Arial"/>
          <w:sz w:val="17"/>
          <w:szCs w:val="17"/>
          <w:color w:val="auto"/>
        </w:rPr>
        <w:t>diversified distribution of revenue across end</w:t>
      </w:r>
      <w:r>
        <w:rPr>
          <w:rFonts w:ascii="MS PGothic" w:cs="MS PGothic" w:eastAsia="MS PGothic" w:hAnsi="MS PGothic"/>
          <w:sz w:val="17"/>
          <w:szCs w:val="17"/>
          <w:color w:val="auto"/>
        </w:rPr>
        <w:t>‑</w:t>
      </w:r>
      <w:r>
        <w:rPr>
          <w:rFonts w:ascii="Arial" w:cs="Arial" w:eastAsia="Arial" w:hAnsi="Arial"/>
          <w:sz w:val="17"/>
          <w:szCs w:val="17"/>
          <w:color w:val="auto"/>
        </w:rPr>
        <w:t>use sectors that we believe reduces our exposure to negative developments in any given sector. Because of the integral nature of HVAC and related controls systems to most buildings, we have the legal right in almost all cases to attach liens to buildings or related funding sources when we have not been fully paid for installing systems, except with respect to some government buildings. The service work that we do, which is discussed further below, usually does not give rise to lien rights.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stratification of projects in progress as of June 30, 2018, by contract price,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Contract</w:t>
            </w:r>
          </w:p>
        </w:tc>
      </w:tr>
      <w:tr>
        <w:trPr>
          <w:trHeight w:val="162"/>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 of</w:t>
            </w:r>
          </w:p>
        </w:tc>
        <w:tc>
          <w:tcPr>
            <w:tcW w:w="2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Price Value</w:t>
            </w:r>
          </w:p>
        </w:tc>
      </w:tr>
      <w:tr>
        <w:trPr>
          <w:trHeight w:val="185"/>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Contract Price of Project</w:t>
            </w: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Projects</w:t>
            </w:r>
          </w:p>
        </w:tc>
        <w:tc>
          <w:tcPr>
            <w:tcW w:w="20" w:type="dxa"/>
            <w:vAlign w:val="bottom"/>
          </w:tcPr>
          <w:p>
            <w:pPr>
              <w:spacing w:after="0"/>
              <w:rPr>
                <w:sz w:val="16"/>
                <w:szCs w:val="16"/>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(millions)</w:t>
            </w: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Under $1 million</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$1 million - $5 million</w:t>
            </w:r>
          </w:p>
        </w:tc>
        <w:tc>
          <w:tcPr>
            <w:tcW w:w="540" w:type="dxa"/>
            <w:vAlign w:val="bottom"/>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1,069.1</w:t>
            </w:r>
          </w:p>
        </w:tc>
        <w:tc>
          <w:tcPr>
            <w:tcW w:w="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million - $10 million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6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$10 million - $15 million</w:t>
            </w: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219.8</w:t>
            </w:r>
          </w:p>
        </w:tc>
        <w:tc>
          <w:tcPr>
            <w:tcW w:w="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 million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60" w:type="dxa"/>
            <w:vAlign w:val="bottom"/>
            <w:shd w:val="clear" w:color="auto" w:fill="CCEEFF"/>
          </w:tcPr>
          <w:p>
            <w:pPr>
              <w:spacing w:after="0"/>
              <w:rPr>
                <w:sz w:val="18"/>
                <w:szCs w:val="18"/>
                <w:color w:val="auto"/>
              </w:rPr>
            </w:pPr>
          </w:p>
        </w:tc>
      </w:tr>
      <w:tr>
        <w:trPr>
          <w:trHeight w:val="217"/>
        </w:trPr>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2,952.6</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7"/>
          <w:szCs w:val="17"/>
          <w:color w:val="auto"/>
        </w:rPr>
        <w:t>In addition to project work, approximately 18% of our revenue represents maintenance and repair service on already installed HVAC and controls systems. This kind of work usually takes from a few hours to a few days to perform. Prices to the customer are based on the equipment and materials used in the service as well as technician labor time. We usually bill the customer for service work when it is complete, typically with payment terms of up to thirty days. We also provide maintenance and repair service under ongoing contracts. Under these contracts, we are paid regular monthly or quarterly amounts and provide specified service based on customer requirements. These agreements typically are for one or more years and frequently contain thirty</w:t>
      </w:r>
      <w:r>
        <w:rPr>
          <w:rFonts w:ascii="MS PGothic" w:cs="MS PGothic" w:eastAsia="MS PGothic" w:hAnsi="MS PGothic"/>
          <w:sz w:val="17"/>
          <w:szCs w:val="17"/>
          <w:color w:val="auto"/>
        </w:rPr>
        <w:t>‑</w:t>
      </w:r>
      <w:r>
        <w:rPr>
          <w:rFonts w:ascii="Arial" w:cs="Arial" w:eastAsia="Arial" w:hAnsi="Arial"/>
          <w:sz w:val="17"/>
          <w:szCs w:val="17"/>
          <w:color w:val="auto"/>
        </w:rPr>
        <w:t xml:space="preserve"> to sixty</w:t>
      </w:r>
      <w:r>
        <w:rPr>
          <w:rFonts w:ascii="MS PGothic" w:cs="MS PGothic" w:eastAsia="MS PGothic" w:hAnsi="MS PGothic"/>
          <w:sz w:val="17"/>
          <w:szCs w:val="17"/>
          <w:color w:val="auto"/>
        </w:rPr>
        <w:t>‑</w:t>
      </w:r>
      <w:r>
        <w:rPr>
          <w:rFonts w:ascii="Arial" w:cs="Arial" w:eastAsia="Arial" w:hAnsi="Arial"/>
          <w:sz w:val="17"/>
          <w:szCs w:val="17"/>
          <w:color w:val="auto"/>
        </w:rPr>
        <w:t>day cancellation notice periods.</w:t>
      </w:r>
    </w:p>
    <w:p>
      <w:pPr>
        <w:spacing w:after="0" w:line="20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relatively small portion of our revenue comes from national and regional account customers. These customers typically have multiple sites, and contract with us to perform maintenance and repair service. These contracts may also provide for us to perform new or replacement systems installation. We operate a national call center to dispatch technicians to sites requiring service. We perform the majority of this work with our own employees, with the balance being subcontracted to third parties that meet our performance qualifications.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Profile and Management of Our Operations</w:t>
      </w:r>
    </w:p>
    <w:p>
      <w:pPr>
        <w:spacing w:after="0" w:line="225"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We manage our 36 operating units based on a variety of factors. Financial measures we emphasize include profitability, and use of capital as indicated by cash flow and by other measures of working capital principally involving project cost, billings and receivables. We also monitor selling, general, administrative and indirect project support expense, backlog, workforce size and mix, growth in revenue and profits, variation of actual project cost from original estimate, and overall financial performance in comparison to budget and updated forecasts. Operational factors we emphasize include project selection, estimating, pricing, management and execution practices, labor utilization, safety,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23" w:lineRule="exact"/>
        <w:rPr>
          <w:sz w:val="20"/>
          <w:szCs w:val="20"/>
          <w:color w:val="auto"/>
        </w:rPr>
      </w:pPr>
      <w:r>
        <w:rPr>
          <w:rFonts w:ascii="Arial" w:cs="Arial" w:eastAsia="Arial" w:hAnsi="Arial"/>
          <w:sz w:val="18"/>
          <w:szCs w:val="18"/>
          <w:color w:val="auto"/>
        </w:rPr>
        <w:t>training, and the make</w:t>
      </w:r>
      <w:r>
        <w:rPr>
          <w:rFonts w:ascii="MS PGothic" w:cs="MS PGothic" w:eastAsia="MS PGothic" w:hAnsi="MS PGothic"/>
          <w:sz w:val="18"/>
          <w:szCs w:val="18"/>
          <w:color w:val="auto"/>
        </w:rPr>
        <w:t>‑</w:t>
      </w:r>
      <w:r>
        <w:rPr>
          <w:rFonts w:ascii="Arial" w:cs="Arial" w:eastAsia="Arial" w:hAnsi="Arial"/>
          <w:sz w:val="18"/>
          <w:szCs w:val="18"/>
          <w:color w:val="auto"/>
        </w:rPr>
        <w:t>up of both existing backlog as well as new business being pursued, in terms of project size, technical application and facility type, end</w:t>
      </w:r>
      <w:r>
        <w:rPr>
          <w:rFonts w:ascii="MS PGothic" w:cs="MS PGothic" w:eastAsia="MS PGothic" w:hAnsi="MS PGothic"/>
          <w:sz w:val="18"/>
          <w:szCs w:val="18"/>
          <w:color w:val="auto"/>
        </w:rPr>
        <w:t>‑</w:t>
      </w:r>
      <w:r>
        <w:rPr>
          <w:rFonts w:ascii="Arial" w:cs="Arial" w:eastAsia="Arial" w:hAnsi="Arial"/>
          <w:sz w:val="18"/>
          <w:szCs w:val="18"/>
          <w:color w:val="auto"/>
        </w:rPr>
        <w:t>use customers and industries, and location of the work.</w:t>
      </w:r>
    </w:p>
    <w:p>
      <w:pPr>
        <w:spacing w:after="0" w:line="203"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Most of our operations compete on a local or regional basis. Attracting and retaining effective operating unit managers is an important factor in our business, particularly in view of the relative uniqueness of each market and operation, the importance of relationships with customers and other market participants such as architects and consulting engineers, and the high degree of competition and low barriers to entry in most of our markets. Accordingly, we devote considerable attention to operating unit management quality, stability, and contingency planning, including related considerations of compensation, and non</w:t>
      </w:r>
      <w:r>
        <w:rPr>
          <w:rFonts w:ascii="MS PGothic" w:cs="MS PGothic" w:eastAsia="MS PGothic" w:hAnsi="MS PGothic"/>
          <w:sz w:val="17"/>
          <w:szCs w:val="17"/>
          <w:color w:val="auto"/>
        </w:rPr>
        <w:t>‑</w:t>
      </w:r>
      <w:r>
        <w:rPr>
          <w:rFonts w:ascii="Arial" w:cs="Arial" w:eastAsia="Arial" w:hAnsi="Arial"/>
          <w:sz w:val="17"/>
          <w:szCs w:val="17"/>
          <w:color w:val="auto"/>
        </w:rPr>
        <w:t>competition protection where applicable.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Economic and Industry Factors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mechanical and building controls services provider, we operate in the broader nonresidential construction services industry and are affected by trends in this sector. While we do not have operations in all major cities of the United States, we believe our national presence is sufficiently large that we experience trends in demand for and pricing of our services that are consistent with trends in the national nonresidential construction sector. As a result, we monitor the views of major construction sector forecasters along with macroeconomic factors they believe drive the sector, including trends in gross domestic product, interest rates, business investment, employment, demographics, and the general fiscal condition of federal, state and local governments.</w:t>
      </w:r>
    </w:p>
    <w:p>
      <w:pPr>
        <w:spacing w:after="0" w:line="17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Spending decisions for building construction, renovation and system replacement are generally made on a project basis, usually with some degree of discretion as to when and if projects proceed. With larger amounts of capital, time, and discretion involved, spending decisions are affected to a significant degree by uncertainty, particularly concerns about economic and financial conditions and trends. We have experienced periods of time when economic weakness caused a significant slowdown in decisions to proceed with installation and replacement project work.</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Environment and Management Emphasis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Nonresidential building construction and renovation activity, as reported by the federal government, declined steeply over the four-year period from 2009 to 2012, and 2013 and 2014 activity levels were relatively stable at the low levels of the preceding years. During the three-year period from 2015 to 2017, there was an increase in overall activity levels and we currently expect that activity will continue at these improved levels during 2018.</w:t>
      </w:r>
    </w:p>
    <w:p>
      <w:pPr>
        <w:spacing w:after="0" w:line="17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a result of our continued strong emphasis on cash flow, at June 30, 2018 we had a strong financial position, as discussed further in “Liquidity and Capital Resources” below. We have a credit facility in place with considerably less restrictive terms than those of our previous facilities; this facility does not expire until April 2023. We have strong surety relationships to support our bonding needs, and we believe our relationships with the surety markets are strong and benefit from our solid current results and financial position. We have generated positive free cash flow in each of the last nineteen calendar years and will continue our emphasis in this area. We believe that the relative size and strength of our balance sheet and surety support as compared to most companies in our industry represent competitive advantages for us.</w:t>
      </w:r>
    </w:p>
    <w:p>
      <w:pPr>
        <w:spacing w:after="0" w:line="16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discussed at greater length in “Results of Operations” below, we expect price competition to continue as our customers and local and regional competitors respond cautiously to improved market conditions. We will continue our efforts to invest in our service business, to pursue the more active sectors in our markets, and to emphasize our regional and national account business. Our primary emphasis for 2018 has been on execution and cost control, but we are seeking growth based on our belief that industry conditions will continue to be strong in the near term, and we believe that activity levels will permit us to continue to earn solid profits while preserving and developing our workforce. We continue to focus on project qualification, estimating, pricing and management; and we are investing in growth and improved performance.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Cyclicality and Seasonality</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Historically, the construction industry has been highly cyclical. As a result, our volume of business, particularly in new construction projects and renovation, may be adversely affected by declines in new installation and replacement projects in various geographic regions of the United States during periods of economic weakness.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HVAC industry is subject to seasonal variations. The demand for new installation and replacement is generally lower during the winter months (the first quarter of the year) due to reduced construction activity during inclement weather and less use of air conditioning during the colder months. Demand for HVAC services is generally higher in the second and third calendar quarters due to increased construction activity and increased use of air conditioning during the warmer months. Accordingly, we expect our revenue and operating results generally will be lower in the first calendar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4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535,043   100.0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465,411   100.0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999,984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845,999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2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423,860</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79.2 %</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369,673</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79.4 %</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799,748</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80.0 %</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674,307</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79.7 %</w:t>
            </w: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111,183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200,236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171,692</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20.3 %</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71,208</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66,599</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141,231</w:t>
            </w:r>
          </w:p>
        </w:tc>
        <w:tc>
          <w:tcPr>
            <w:tcW w:w="140" w:type="dxa"/>
            <w:vAlign w:val="bottom"/>
          </w:tcPr>
          <w:p>
            <w:pPr>
              <w:spacing w:after="0"/>
              <w:rPr>
                <w:sz w:val="20"/>
                <w:szCs w:val="20"/>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14.1 %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129,846</w:t>
            </w: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15.3 %</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7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5.9 %</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7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(1,449)</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Changes in the fair value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w w:val="96"/>
              </w:rPr>
              <w:t>contingent earn-out obligations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(94)</w:t>
            </w: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0"/>
                <w:szCs w:val="20"/>
                <w:color w:val="auto"/>
              </w:rPr>
            </w:pP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0.4 %</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r>
      <w:tr>
        <w:trPr>
          <w:trHeight w:val="210"/>
        </w:trPr>
        <w:tc>
          <w:tcPr>
            <w:tcW w:w="2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43,344</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27,683</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62,077</w:t>
            </w:r>
          </w:p>
        </w:tc>
        <w:tc>
          <w:tcPr>
            <w:tcW w:w="14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6.2 %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39,052</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7"/>
        </w:trPr>
        <w:tc>
          <w:tcPr>
            <w:tcW w:w="24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32,547</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49,206</w:t>
            </w:r>
          </w:p>
        </w:tc>
        <w:tc>
          <w:tcPr>
            <w:tcW w:w="14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4.9 %</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25,449</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3.0 %</w:t>
            </w:r>
          </w:p>
        </w:tc>
      </w:tr>
    </w:tbl>
    <w:p>
      <w:pPr>
        <w:spacing w:after="0" w:line="202" w:lineRule="exact"/>
        <w:rPr>
          <w:sz w:val="20"/>
          <w:szCs w:val="20"/>
          <w:color w:val="auto"/>
        </w:rPr>
      </w:pPr>
    </w:p>
    <w:p>
      <w:pPr>
        <w:ind w:right="20" w:firstLine="648"/>
        <w:spacing w:after="0" w:line="219" w:lineRule="exact"/>
        <w:rPr>
          <w:sz w:val="20"/>
          <w:szCs w:val="20"/>
          <w:color w:val="auto"/>
        </w:rPr>
      </w:pPr>
      <w:r>
        <w:rPr>
          <w:rFonts w:ascii="Arial" w:cs="Arial" w:eastAsia="Arial" w:hAnsi="Arial"/>
          <w:sz w:val="17"/>
          <w:szCs w:val="17"/>
          <w:color w:val="auto"/>
        </w:rPr>
        <w:t>We had 36 operating locations as of December 31, 2017. We did not make any changes to operating locations during the first six months of 2018. As of June 30, 2018, we had 36 operating locations. Acquisitions are included in our results of operations from the respective acquisition date. The same</w:t>
      </w:r>
      <w:r>
        <w:rPr>
          <w:rFonts w:ascii="MS PGothic" w:cs="MS PGothic" w:eastAsia="MS PGothic" w:hAnsi="MS PGothic"/>
          <w:sz w:val="17"/>
          <w:szCs w:val="17"/>
          <w:color w:val="auto"/>
        </w:rPr>
        <w:t>‑</w:t>
      </w:r>
      <w:r>
        <w:rPr>
          <w:rFonts w:ascii="Arial" w:cs="Arial" w:eastAsia="Arial" w:hAnsi="Arial"/>
          <w:sz w:val="17"/>
          <w:szCs w:val="17"/>
          <w:color w:val="auto"/>
        </w:rPr>
        <w:t>store comparison from 2018 to 2017, as described below, excludes the first three months of 2018 results for BCH, which was acquired in April 2017. An operating location is included in the same</w:t>
      </w:r>
      <w:r>
        <w:rPr>
          <w:rFonts w:ascii="MS PGothic" w:cs="MS PGothic" w:eastAsia="MS PGothic" w:hAnsi="MS PGothic"/>
          <w:sz w:val="17"/>
          <w:szCs w:val="17"/>
          <w:color w:val="auto"/>
        </w:rPr>
        <w:t>‑</w:t>
      </w:r>
      <w:r>
        <w:rPr>
          <w:rFonts w:ascii="Arial" w:cs="Arial" w:eastAsia="Arial" w:hAnsi="Arial"/>
          <w:sz w:val="17"/>
          <w:szCs w:val="17"/>
          <w:color w:val="auto"/>
        </w:rPr>
        <w:t>store comparison on the first day it has comparable prior year operating data, except for immaterial acquisitions that were absorbed and integrated, or “tucked-in”, with existing operations.</w:t>
      </w:r>
    </w:p>
    <w:p>
      <w:pPr>
        <w:spacing w:after="0" w:line="20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—Revenue increased $69.6 million, or 15.0%, to $535.0 million for the second quarter of 2018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2017. The revenue increase is primarily due to an increase in activity at our North Carolina operation ($29.6 million), one of our Virginia operations ($11.1 million), our Arizona operation ($7.2 million) and one of our Tennessee operations ($6.5 million).</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Revenue increased $154.0 million, or 18.2%, to $1.00 billion for the first six months of 2018 compared to the same period in 2017. The increase included a 3.0% increase related to the acquisition of BCH and a 15.2% increase in revenue related to same-store activity. The same-store revenue increase is primarily due to an increase in activity at our North Carolina operation ($40.7 million), one of our Virginia operations ($21.4 million), our Wisconsin operation ($17.0 million) and one of our Texas operations ($12.7 million).</w:t>
      </w:r>
    </w:p>
    <w:p>
      <w:pPr>
        <w:spacing w:after="0" w:line="188"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Backlog reflects revenue still to be recognized under contracted or committed installation and replacement project work. Project work generally lasts less than one year. Service agreement revenue and service work and short duration projects, which are generally billed as performed, do not flow through backlog. Accordingly, backlog represents only a portion of our revenue for any given future period, and it represents revenue that is likely to be reflected in our operating results over the next six to twelve months. As a result, we believe the predictive value of backlog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is limited to indications of general revenue direction over the near term, and should not be interpreted as indicative of ongoing revenue performance over several quarters.</w:t>
      </w:r>
    </w:p>
    <w:p>
      <w:pPr>
        <w:spacing w:after="0" w:line="170" w:lineRule="exact"/>
        <w:rPr>
          <w:sz w:val="20"/>
          <w:szCs w:val="20"/>
          <w:color w:val="auto"/>
        </w:rPr>
      </w:pPr>
    </w:p>
    <w:p>
      <w:pPr>
        <w:ind w:right="40" w:firstLine="648"/>
        <w:spacing w:after="0" w:line="218" w:lineRule="exact"/>
        <w:rPr>
          <w:sz w:val="20"/>
          <w:szCs w:val="20"/>
          <w:color w:val="auto"/>
        </w:rPr>
      </w:pPr>
      <w:r>
        <w:rPr>
          <w:rFonts w:ascii="Arial" w:cs="Arial" w:eastAsia="Arial" w:hAnsi="Arial"/>
          <w:sz w:val="16"/>
          <w:szCs w:val="16"/>
          <w:color w:val="auto"/>
        </w:rPr>
        <w:t>Backlog as of June 30, 2018 was $1.23 billion, a 13.8% increase from March 31, 2018 backlog of $1.08 billion, and a 30.9% increase from June 30, 2017 backlog of $937.8 million. Sequential backlog increased primarily due to increased project bookings at our North Carolina operation ($44.3 million), one of our Florida operations ($37.9 million), our Wisconsin operation ($24.1 million) and our Arkansas operation ($20.1 million). The year</w:t>
      </w:r>
      <w:r>
        <w:rPr>
          <w:rFonts w:ascii="MS PGothic" w:cs="MS PGothic" w:eastAsia="MS PGothic" w:hAnsi="MS PGothic"/>
          <w:sz w:val="16"/>
          <w:szCs w:val="16"/>
          <w:color w:val="auto"/>
        </w:rPr>
        <w:t>‑</w:t>
      </w:r>
      <w:r>
        <w:rPr>
          <w:rFonts w:ascii="Arial" w:cs="Arial" w:eastAsia="Arial" w:hAnsi="Arial"/>
          <w:sz w:val="16"/>
          <w:szCs w:val="16"/>
          <w:color w:val="auto"/>
        </w:rPr>
        <w:t>over</w:t>
      </w:r>
      <w:r>
        <w:rPr>
          <w:rFonts w:ascii="MS PGothic" w:cs="MS PGothic" w:eastAsia="MS PGothic" w:hAnsi="MS PGothic"/>
          <w:sz w:val="16"/>
          <w:szCs w:val="16"/>
          <w:color w:val="auto"/>
        </w:rPr>
        <w:t>‑</w:t>
      </w:r>
      <w:r>
        <w:rPr>
          <w:rFonts w:ascii="Arial" w:cs="Arial" w:eastAsia="Arial" w:hAnsi="Arial"/>
          <w:sz w:val="16"/>
          <w:szCs w:val="16"/>
          <w:color w:val="auto"/>
        </w:rPr>
        <w:t>year backlog increased primarily due to increased project bookings at our North Carolina operation ($118.2 million), one of our Florida operations ($47.7 million), our Wisconsin operation ($37.3 million) and one of our Virginia operations ($32.8 million).</w:t>
      </w:r>
    </w:p>
    <w:p>
      <w:pPr>
        <w:spacing w:after="0" w:line="20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—Gross profit increased $15.4 million, or 16.1%, to $111.2 million for the second quarter of 2018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2017. The increase in gross profit was primarily due to increased volumes and improvement in project execution at our North Carolina operation ($6.2 million). Additionally, we had increases in volume at our Arizona operation ($1.8 million) and our Wisconsin operation ($1.7 million) compared to the prior year. As a percentage of revenue, gross profit increased from 20.6% in 2017 to 20.8% in 2018 primarily due to the improvement in project execution at our North Carolina operation as previously discussed.</w:t>
      </w:r>
    </w:p>
    <w:p>
      <w:pPr>
        <w:spacing w:after="0" w:line="178"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Gross profit increased $28.5 million, or 16.6%, to $200.2 million for the first six months of 2018 as compared to the same period in 2017. The increase included a 2.9% increase related to the acquisition of BCH and a 13.7% increase in same</w:t>
      </w:r>
      <w:r>
        <w:rPr>
          <w:rFonts w:ascii="MS PGothic" w:cs="MS PGothic" w:eastAsia="MS PGothic" w:hAnsi="MS PGothic"/>
          <w:sz w:val="16"/>
          <w:szCs w:val="16"/>
          <w:color w:val="auto"/>
        </w:rPr>
        <w:t>‑</w:t>
      </w:r>
      <w:r>
        <w:rPr>
          <w:rFonts w:ascii="Arial" w:cs="Arial" w:eastAsia="Arial" w:hAnsi="Arial"/>
          <w:sz w:val="16"/>
          <w:szCs w:val="16"/>
          <w:color w:val="auto"/>
        </w:rPr>
        <w:t>store activity. The same</w:t>
      </w:r>
      <w:r>
        <w:rPr>
          <w:rFonts w:ascii="MS PGothic" w:cs="MS PGothic" w:eastAsia="MS PGothic" w:hAnsi="MS PGothic"/>
          <w:sz w:val="16"/>
          <w:szCs w:val="16"/>
          <w:color w:val="auto"/>
        </w:rPr>
        <w:t>‑</w:t>
      </w:r>
      <w:r>
        <w:rPr>
          <w:rFonts w:ascii="Arial" w:cs="Arial" w:eastAsia="Arial" w:hAnsi="Arial"/>
          <w:sz w:val="16"/>
          <w:szCs w:val="16"/>
          <w:color w:val="auto"/>
        </w:rPr>
        <w:t>store increase in gross profit was primarily due to increased volumes at our North Carolina operation ($6.4 million), our Wisconsin operation ($4.3 million) and one of our Virginia operations ($3.3 million) compared to the prior year. Additionally, one of our Texas operations had increased volumes and improved project execution ($4.4 million). As a percentage of revenue, gross profit decreased from 20.3% in 2017 to 20.0% in 2018 due to lower project performance when compared to the same period in the prior year at one of our New York operations ($2.0</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million). Additionally, our California operation had a lower gross profit percentage in the first six months of 2018 due to job underperformance ($1.9 million).</w:t>
      </w:r>
    </w:p>
    <w:p>
      <w:pPr>
        <w:spacing w:after="0" w:line="184"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i w:val="1"/>
          <w:iCs w:val="1"/>
          <w:color w:val="auto"/>
        </w:rPr>
        <w:t>Selling, General and Administrative Expenses (“SG&amp;A”)</w:t>
      </w:r>
      <w:r>
        <w:rPr>
          <w:rFonts w:ascii="Arial" w:cs="Arial" w:eastAsia="Arial" w:hAnsi="Arial"/>
          <w:sz w:val="18"/>
          <w:szCs w:val="18"/>
          <w:color w:val="auto"/>
        </w:rPr>
        <w:t>—SG&amp;A increased $4.6 million, or 6.9%, to $71.2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second quarter of 2018 as compared to 2017. On a same</w:t>
      </w:r>
      <w:r>
        <w:rPr>
          <w:rFonts w:ascii="MS PGothic" w:cs="MS PGothic" w:eastAsia="MS PGothic" w:hAnsi="MS PGothic"/>
          <w:sz w:val="18"/>
          <w:szCs w:val="18"/>
          <w:color w:val="auto"/>
        </w:rPr>
        <w:t>‑</w:t>
      </w:r>
      <w:r>
        <w:rPr>
          <w:rFonts w:ascii="Arial" w:cs="Arial" w:eastAsia="Arial" w:hAnsi="Arial"/>
          <w:sz w:val="18"/>
          <w:szCs w:val="18"/>
          <w:color w:val="auto"/>
        </w:rPr>
        <w:t>store basis, excluding amortization expense, SG&amp;A increased $3.4 million, or 5.3%. This increase is primarily due to the increase in revenue and increased compensation costs related to earnings growth compared to the prior year period. Additionally, we had an increase in amortization expense of $1.2 million during the period as compared to the prior year period. As a percentage of revenue, SG&amp;A decreased from 14.3% in 2017 to 13.3% in 2018.</w:t>
      </w:r>
    </w:p>
    <w:p>
      <w:pPr>
        <w:spacing w:after="0" w:line="203" w:lineRule="exact"/>
        <w:rPr>
          <w:sz w:val="20"/>
          <w:szCs w:val="20"/>
          <w:color w:val="auto"/>
        </w:rPr>
      </w:pPr>
    </w:p>
    <w:p>
      <w:pPr>
        <w:jc w:val="both"/>
        <w:ind w:right="20" w:firstLine="648"/>
        <w:spacing w:after="0" w:line="221" w:lineRule="exact"/>
        <w:rPr>
          <w:sz w:val="20"/>
          <w:szCs w:val="20"/>
          <w:color w:val="auto"/>
        </w:rPr>
      </w:pPr>
      <w:r>
        <w:rPr>
          <w:rFonts w:ascii="Arial" w:cs="Arial" w:eastAsia="Arial" w:hAnsi="Arial"/>
          <w:sz w:val="16"/>
          <w:szCs w:val="16"/>
          <w:color w:val="auto"/>
        </w:rPr>
        <w:t>SG&amp;A increased $11.4 million, or 8.8%, to $141.2 million for the first six months of 2018 as compared to 2017. On a same</w:t>
      </w:r>
      <w:r>
        <w:rPr>
          <w:rFonts w:ascii="MS PGothic" w:cs="MS PGothic" w:eastAsia="MS PGothic" w:hAnsi="MS PGothic"/>
          <w:sz w:val="16"/>
          <w:szCs w:val="16"/>
          <w:color w:val="auto"/>
        </w:rPr>
        <w:t>‑</w:t>
      </w:r>
      <w:r>
        <w:rPr>
          <w:rFonts w:ascii="Arial" w:cs="Arial" w:eastAsia="Arial" w:hAnsi="Arial"/>
          <w:sz w:val="16"/>
          <w:szCs w:val="16"/>
          <w:color w:val="auto"/>
        </w:rPr>
        <w:t>store basis, excluding amortization expense, SG&amp;A increased $4.9 million, or 3.9%. This increase is primarily due to the increase in revenue and increased compensation costs related to earnings growth compared to the prior year</w:t>
      </w:r>
    </w:p>
    <w:p>
      <w:pPr>
        <w:ind w:right="220"/>
        <w:spacing w:after="0" w:line="254" w:lineRule="auto"/>
        <w:rPr>
          <w:sz w:val="20"/>
          <w:szCs w:val="20"/>
          <w:color w:val="auto"/>
        </w:rPr>
      </w:pPr>
      <w:r>
        <w:rPr>
          <w:rFonts w:ascii="Arial" w:cs="Arial" w:eastAsia="Arial" w:hAnsi="Arial"/>
          <w:sz w:val="18"/>
          <w:szCs w:val="18"/>
          <w:color w:val="auto"/>
        </w:rPr>
        <w:t>period. Amortization expense increased $3.3 million during the period primarily as a result of the BCH acquisition. These increases were partially offset by expenses in the first quarter of 2017 of $0.8 million in compensation costs related to leadership changes and $0.4 million in expenses related to the BCH acquisition. As a percentage of revenue, SG&amp;A decreased from 15.3% in 2017 to 14.1% in 2018.</w:t>
      </w:r>
    </w:p>
    <w:p>
      <w:pPr>
        <w:spacing w:after="0" w:line="190" w:lineRule="exact"/>
        <w:rPr>
          <w:sz w:val="20"/>
          <w:szCs w:val="20"/>
          <w:color w:val="auto"/>
        </w:rPr>
      </w:pPr>
    </w:p>
    <w:p>
      <w:pPr>
        <w:ind w:right="460" w:firstLine="648"/>
        <w:spacing w:after="0" w:line="224" w:lineRule="exact"/>
        <w:rPr>
          <w:sz w:val="20"/>
          <w:szCs w:val="20"/>
          <w:color w:val="auto"/>
        </w:rPr>
      </w:pPr>
      <w:r>
        <w:rPr>
          <w:rFonts w:ascii="Arial" w:cs="Arial" w:eastAsia="Arial" w:hAnsi="Arial"/>
          <w:sz w:val="16"/>
          <w:szCs w:val="16"/>
          <w:color w:val="auto"/>
        </w:rPr>
        <w:t>We have included same</w:t>
      </w:r>
      <w:r>
        <w:rPr>
          <w:rFonts w:ascii="MS PGothic" w:cs="MS PGothic" w:eastAsia="MS PGothic" w:hAnsi="MS PGothic"/>
          <w:sz w:val="16"/>
          <w:szCs w:val="16"/>
          <w:color w:val="auto"/>
        </w:rPr>
        <w:t>‑</w:t>
      </w:r>
      <w:r>
        <w:rPr>
          <w:rFonts w:ascii="Arial" w:cs="Arial" w:eastAsia="Arial" w:hAnsi="Arial"/>
          <w:sz w:val="16"/>
          <w:szCs w:val="16"/>
          <w:color w:val="auto"/>
        </w:rPr>
        <w:t>store SG&amp;A, excluding amortization, because we believe it is an effective measure of comparative results of operations. However, same</w:t>
      </w:r>
      <w:r>
        <w:rPr>
          <w:rFonts w:ascii="MS PGothic" w:cs="MS PGothic" w:eastAsia="MS PGothic" w:hAnsi="MS PGothic"/>
          <w:sz w:val="16"/>
          <w:szCs w:val="16"/>
          <w:color w:val="auto"/>
        </w:rPr>
        <w:t>‑</w:t>
      </w:r>
      <w:r>
        <w:rPr>
          <w:rFonts w:ascii="Arial" w:cs="Arial" w:eastAsia="Arial" w:hAnsi="Arial"/>
          <w:sz w:val="16"/>
          <w:szCs w:val="16"/>
          <w:color w:val="auto"/>
        </w:rPr>
        <w:t>store SG&amp;A, excluding amortization, is not considered under</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generally accepted accounting principles to be a primary measure of an entity’s financial results, and accordingly, should not be considered an alternative to SG&amp;A as shown in our consolidated statements of operations.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center"/>
              <w:ind w:right="94"/>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left="339"/>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4"/>
          </w:tcPr>
          <w:p>
            <w:pPr>
              <w:jc w:val="center"/>
              <w:ind w:right="9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4"/>
          </w:tcPr>
          <w:p>
            <w:pPr>
              <w:jc w:val="center"/>
              <w:ind w:right="5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66,599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141,231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Less: SG&amp;A from companies acquired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Less: Amortization expense</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line="182" w:lineRule="exact"/>
              <w:rPr>
                <w:sz w:val="20"/>
                <w:szCs w:val="20"/>
                <w:color w:val="auto"/>
              </w:rPr>
            </w:pPr>
            <w:r>
              <w:rPr>
                <w:rFonts w:ascii="Arial" w:cs="Arial" w:eastAsia="Arial" w:hAnsi="Arial"/>
                <w:sz w:val="18"/>
                <w:szCs w:val="18"/>
                <w:color w:val="auto"/>
                <w:w w:val="95"/>
              </w:rPr>
              <w:t>Same-store SG&amp;A, excluding amortization</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66,692</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63,316</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130,048</w:t>
            </w:r>
          </w:p>
        </w:tc>
        <w:tc>
          <w:tcPr>
            <w:tcW w:w="180" w:type="dxa"/>
            <w:vAlign w:val="bottom"/>
          </w:tcPr>
          <w:p>
            <w:pPr>
              <w:spacing w:after="0"/>
              <w:rPr>
                <w:sz w:val="15"/>
                <w:szCs w:val="15"/>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89"/>
              </w:rPr>
              <w:t>125,168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tcPr>
          <w:p>
            <w:pPr>
              <w:spacing w:after="0"/>
              <w:rPr>
                <w:sz w:val="20"/>
                <w:szCs w:val="20"/>
                <w:color w:val="auto"/>
              </w:rPr>
            </w:pPr>
            <w:r>
              <w:rPr>
                <w:rFonts w:ascii="Arial" w:cs="Arial" w:eastAsia="Arial" w:hAnsi="Arial"/>
                <w:sz w:val="18"/>
                <w:szCs w:val="18"/>
                <w:color w:val="auto"/>
              </w:rPr>
              <w:t>expense</w:t>
            </w:r>
          </w:p>
        </w:tc>
        <w:tc>
          <w:tcPr>
            <w:tcW w:w="30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Goodwill Impairment</w:t>
      </w:r>
      <w:r>
        <w:rPr>
          <w:rFonts w:ascii="Arial" w:cs="Arial" w:eastAsia="Arial" w:hAnsi="Arial"/>
          <w:sz w:val="18"/>
          <w:szCs w:val="18"/>
          <w:color w:val="auto"/>
        </w:rPr>
        <w:t>—We recorded a goodwill impairment charge of $1.1 million during the first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changes to our market strategy that occurred in March 2017 related to our reporting unit based in California, we reevaluated our projected future earnings for this operating location. When the carrying value of a given reporting unit exceeds its fair value, a goodwill impairment loss is recorded for this difference, not to exceed the carrying amount of goodwill. Based upon our projected future earnings for this location, we could no longer support the related goodwill balance and therefore the goodwill associated with this location was fully impaired. The fair value was estimated using a discounted cash flow model.</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—Interest expense decreased $0.3 million, or 29.3%, to $0.7 million for the second quarter of 2018</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the same period in 2017. Interest expense remained flat at $1.4 million for the first six months of 2018 as compared to the same period in 2017. The decrease in the second quarter of 2018 reflects the reduced borrowings on the revolving credit facility.</w:t>
      </w:r>
    </w:p>
    <w:p>
      <w:pPr>
        <w:spacing w:after="0" w:line="187" w:lineRule="exact"/>
        <w:rPr>
          <w:sz w:val="20"/>
          <w:szCs w:val="20"/>
          <w:color w:val="auto"/>
        </w:rPr>
      </w:pPr>
    </w:p>
    <w:p>
      <w:pPr>
        <w:ind w:firstLine="648"/>
        <w:spacing w:after="0" w:line="222" w:lineRule="exact"/>
        <w:rPr>
          <w:sz w:val="20"/>
          <w:szCs w:val="20"/>
          <w:color w:val="auto"/>
        </w:rPr>
      </w:pPr>
      <w:r>
        <w:rPr>
          <w:rFonts w:ascii="Arial" w:cs="Arial" w:eastAsia="Arial" w:hAnsi="Arial"/>
          <w:sz w:val="16"/>
          <w:szCs w:val="16"/>
          <w:i w:val="1"/>
          <w:iCs w:val="1"/>
          <w:color w:val="auto"/>
        </w:rPr>
        <w:t>Changes in the Fair Value of Contingent Earn</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out Obligations</w:t>
      </w:r>
      <w:r>
        <w:rPr>
          <w:rFonts w:ascii="Arial" w:cs="Arial" w:eastAsia="Arial" w:hAnsi="Arial"/>
          <w:sz w:val="16"/>
          <w:szCs w:val="16"/>
          <w:color w:val="auto"/>
        </w:rPr>
        <w:t>—The contingent earn</w:t>
      </w:r>
      <w:r>
        <w:rPr>
          <w:rFonts w:ascii="MS PGothic" w:cs="MS PGothic" w:eastAsia="MS PGothic" w:hAnsi="MS PGothic"/>
          <w:sz w:val="16"/>
          <w:szCs w:val="16"/>
          <w:color w:val="auto"/>
        </w:rPr>
        <w:t>‑</w:t>
      </w:r>
      <w:r>
        <w:rPr>
          <w:rFonts w:ascii="Arial" w:cs="Arial" w:eastAsia="Arial" w:hAnsi="Arial"/>
          <w:sz w:val="16"/>
          <w:szCs w:val="16"/>
          <w:color w:val="auto"/>
        </w:rPr>
        <w:t>out obligations are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at fair value each reporting period and changes in estimates of fair value are recognized in earnings. Expense from changes in the fair value of contingent earn</w:t>
      </w:r>
      <w:r>
        <w:rPr>
          <w:rFonts w:ascii="MS PGothic" w:cs="MS PGothic" w:eastAsia="MS PGothic" w:hAnsi="MS PGothic"/>
          <w:sz w:val="16"/>
          <w:szCs w:val="16"/>
          <w:color w:val="auto"/>
        </w:rPr>
        <w:t>‑</w:t>
      </w:r>
      <w:r>
        <w:rPr>
          <w:rFonts w:ascii="Arial" w:cs="Arial" w:eastAsia="Arial" w:hAnsi="Arial"/>
          <w:sz w:val="16"/>
          <w:szCs w:val="16"/>
          <w:color w:val="auto"/>
        </w:rPr>
        <w:t>out obligations for the second quarter of 2018 decreased $0.5 million as compared to the same period in 2017. Income from changes in the fair value of contingent earn</w:t>
      </w:r>
      <w:r>
        <w:rPr>
          <w:rFonts w:ascii="MS PGothic" w:cs="MS PGothic" w:eastAsia="MS PGothic" w:hAnsi="MS PGothic"/>
          <w:sz w:val="16"/>
          <w:szCs w:val="16"/>
          <w:color w:val="auto"/>
        </w:rPr>
        <w:t>‑</w:t>
      </w:r>
      <w:r>
        <w:rPr>
          <w:rFonts w:ascii="Arial" w:cs="Arial" w:eastAsia="Arial" w:hAnsi="Arial"/>
          <w:sz w:val="16"/>
          <w:szCs w:val="16"/>
          <w:color w:val="auto"/>
        </w:rPr>
        <w:t>out obligations for the first six months of 2018 increased $0.7 million from a $0.6 million expense in the same period in 2017. These changes are primarily driven by a $0.6 million expense recorded in the second quarter of 2017 to increase the BCH earn-out obligation based on updated measurements of estimated future cash flows for our contingent obligations.</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—Other income increased to $4.0 million for the second quarter of 2018 and for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compared to the same periods in 2017. In April 2018, we entered into settlement agreements with British Petroleum (“BP”) related to two claims from one of our subsidiaries regarding the April 2010 BP Deepwater Horizon oil spill. We recorded a gain of $4.0 million in the second quarter of 2018 as a result of these settlements. We do not have any remaining subsidiaries with outstanding claims against BP related to this matter.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—Our provision for income taxes for the six months ended June 30, 2018 was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$12.9 million with an effective tax rate of 20.7% as compared to a provision for income taxes of $13.6 million with 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effective tax rate of 34.8% for the same period in 2017. The effective tax rate for 2018 was lower than the 21.0% federal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statutory rate primarily due to a decrease in unrecognized tax benefits from the filing of a federal income tax automatic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accounting method change application (4.5%) and deductions for stock-based compensation (1.1%) partially offset by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income taxes (4.4%) and nondeductible expenses (0.9%). The effective tax rate for 2017 was lower than the 35.0%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 statutory rate primarily due to deductions for stock-based compensation (2.4%) and the domestic production activities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deduction (2.3%) partially offset by net state income taxes (3.7%) and nondeductible expenses (0.9%).</w:t>
      </w:r>
    </w:p>
    <w:p>
      <w:pPr>
        <w:spacing w:after="0" w:line="211"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currently estimate our effective tax rate for the full year 2018 will be between 22% and 26%. This includes the impact of the decrease in unrecognized tax benefits that lowered our 2018 effective tax rate. Starting in 2019, we currently estimate our effective tax rate will be between 25% and 30%. While we believe we were able to make reasonable estimates of the impact of the Tax Cuts and Jobs Act in the financial statements, the amounts recorded are provisional and the final impact may differ from these estimates due to, among other things, changes in our interpretations and assumptions and additional guidance that may be issued by regulatory authorities.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Industry conditions improved during the three-year period from 2015 to 2017 and we currently expect that activity will continue at these improved levels during 2018. Our emphasis for 2018 is on cost discipline and efficient project performance, labor force development, and investing in growth, particularly in service and small projects. Based on our backlog and in light of economic conditions, we currently expect improvement in our revenue and net earnings in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(in thousands):</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9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37,518</w:t>
            </w:r>
          </w:p>
        </w:tc>
        <w:tc>
          <w:tcPr>
            <w:tcW w:w="1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(94,751)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Financing activities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75,962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Pr>
          <w:p>
            <w:pPr>
              <w:spacing w:after="0" w:line="203" w:lineRule="exact"/>
              <w:rPr>
                <w:sz w:val="20"/>
                <w:szCs w:val="20"/>
                <w:color w:val="auto"/>
              </w:rPr>
            </w:pPr>
            <w:r>
              <w:rPr>
                <w:rFonts w:ascii="Arial" w:cs="Arial" w:eastAsia="Arial" w:hAnsi="Arial"/>
                <w:sz w:val="18"/>
                <w:szCs w:val="18"/>
                <w:color w:val="auto"/>
              </w:rPr>
              <w:t>Free cash flow:</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provided by operating activities</w:t>
            </w:r>
          </w:p>
        </w:tc>
        <w:tc>
          <w:tcPr>
            <w:tcW w:w="9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37,518</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property and equipment</w:t>
            </w: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8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Our business does not require significant amounts of investment in long</w:t>
      </w:r>
      <w:r>
        <w:rPr>
          <w:rFonts w:ascii="MS PGothic" w:cs="MS PGothic" w:eastAsia="MS PGothic" w:hAnsi="MS PGothic"/>
          <w:sz w:val="17"/>
          <w:szCs w:val="17"/>
          <w:color w:val="auto"/>
        </w:rPr>
        <w:t>‑</w:t>
      </w:r>
      <w:r>
        <w:rPr>
          <w:rFonts w:ascii="Arial" w:cs="Arial" w:eastAsia="Arial" w:hAnsi="Arial"/>
          <w:sz w:val="17"/>
          <w:szCs w:val="17"/>
          <w:color w:val="auto"/>
        </w:rPr>
        <w:t>term fixed assets. The substantial majority of the capital used in our business is working capital that funds our costs of labor and installed equipment deployed in project work until our customer pays us. Customary terms in our industry allow customers to withhold a small portion of the contract price until after we have completed the work, typically for six months. Amounts withheld under this practice are known as retention or retainage. Our average project duration together with typical retention terms generally allow us to complete the realization of revenue and earnings in cash within one year.</w:t>
      </w:r>
    </w:p>
    <w:p>
      <w:pPr>
        <w:spacing w:after="0" w:line="20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Cash Provided by Operating Activities</w:t>
      </w:r>
      <w:r>
        <w:rPr>
          <w:rFonts w:ascii="Arial" w:cs="Arial" w:eastAsia="Arial" w:hAnsi="Arial"/>
          <w:sz w:val="17"/>
          <w:szCs w:val="17"/>
          <w:color w:val="auto"/>
        </w:rPr>
        <w:t>—Cash flow from operations is primarily influenced by demand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and operating margins, but can also be influenced by working capital needs associated with the various types of services that we provide. In particular, working capital needs may increase when we commence large volumes of work under circumstances where project costs, primarily associated with labor, equipment and subcontractors, are required to be paid before the receivables resulting from the work performed are billed and collected. Working capital needs are generally higher during the late winter and spring months as we prepare and plan for the increased project demand when favorable weather conditions exist in the summer and fall months. Conversely, working capital assets are typically converted to cash during the late summer and fall months as project completion is underway. These seasonal trends are sometimes offset by changes in the timing of major projects, which can be impacted by the weather, project delays or accelerations and other economic factors that may affect customer spending.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operating activities was $37.5 million during the first six months of 2018 compared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$21.2 million during the same period in 2017. The $16.3 million increase is primarily due to a $23.8 million increase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and an $18.0 million increase in billings in excess of costs and estimated earnings due to the timing of billings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various project work. This was partially offset by a $16.8 million increase in accounts receivable related to project work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timing and the schedule for billings as well as the increase in revenue compared to the same period in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Cash Used in Investing Activities</w:t>
      </w:r>
      <w:r>
        <w:rPr>
          <w:rFonts w:ascii="Arial" w:cs="Arial" w:eastAsia="Arial" w:hAnsi="Arial"/>
          <w:sz w:val="17"/>
          <w:szCs w:val="17"/>
          <w:color w:val="auto"/>
        </w:rPr>
        <w:t>—During the first six months of 2018, cash used in investing activities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$27.1 million compared to $94.8 million during the same period in 2017. The $67.6 million decrease in cash used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relates to cash paid (net of cash acquired) for acquisitions in 2018 compared to the same period in 2017.</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firstLine="648"/>
        <w:spacing w:after="0" w:line="302" w:lineRule="auto"/>
        <w:rPr>
          <w:sz w:val="20"/>
          <w:szCs w:val="20"/>
          <w:color w:val="auto"/>
        </w:rPr>
      </w:pPr>
      <w:r>
        <w:rPr>
          <w:rFonts w:ascii="Arial" w:cs="Arial" w:eastAsia="Arial" w:hAnsi="Arial"/>
          <w:sz w:val="16"/>
          <w:szCs w:val="16"/>
          <w:i w:val="1"/>
          <w:iCs w:val="1"/>
          <w:color w:val="auto"/>
        </w:rPr>
        <w:t>Cash Provided by (Used in) Financing Activities</w:t>
      </w:r>
      <w:r>
        <w:rPr>
          <w:rFonts w:ascii="Arial" w:cs="Arial" w:eastAsia="Arial" w:hAnsi="Arial"/>
          <w:sz w:val="16"/>
          <w:szCs w:val="16"/>
          <w:color w:val="auto"/>
        </w:rPr>
        <w:t>—Cash used in financing activities was $18.9 million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of 2018 compared to $76.0 million of cash provided by financing activities during the same period in 2017. The $94.9 million decrease is primarily due to $88.5 million of net proceeds from the revolving line of credit in the prior year compared to $3.0 million of net payments in the current year as well as $3.0 million incremental share repurchases in 2018.</w:t>
      </w:r>
    </w:p>
    <w:p>
      <w:pPr>
        <w:spacing w:after="0" w:line="154" w:lineRule="exact"/>
        <w:rPr>
          <w:sz w:val="20"/>
          <w:szCs w:val="20"/>
          <w:color w:val="auto"/>
        </w:rPr>
      </w:pPr>
    </w:p>
    <w:p>
      <w:pPr>
        <w:ind w:right="19" w:firstLine="648"/>
        <w:spacing w:after="0" w:line="290" w:lineRule="auto"/>
        <w:rPr>
          <w:sz w:val="20"/>
          <w:szCs w:val="20"/>
          <w:color w:val="auto"/>
        </w:rPr>
      </w:pPr>
      <w:r>
        <w:rPr>
          <w:rFonts w:ascii="Arial" w:cs="Arial" w:eastAsia="Arial" w:hAnsi="Arial"/>
          <w:sz w:val="16"/>
          <w:szCs w:val="16"/>
          <w:i w:val="1"/>
          <w:iCs w:val="1"/>
          <w:color w:val="auto"/>
        </w:rPr>
        <w:t>Free Cash Flow</w:t>
      </w:r>
      <w:r>
        <w:rPr>
          <w:rFonts w:ascii="Arial" w:cs="Arial" w:eastAsia="Arial" w:hAnsi="Arial"/>
          <w:sz w:val="16"/>
          <w:szCs w:val="16"/>
          <w:color w:val="auto"/>
        </w:rPr>
        <w:t>—We define free cash flow as cash provided by operating activities, less customary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plus the proceeds from asset sales. We believe free cash flow, by encompassing both profit margins and the use of working capital over our approximately one year working capital cycle, is an effective measure of operating effectiveness and efficiency. We have included free cash flow information here for this reason, and because we are often asked about it by third parties evaluating us. However, free cash flow is not considered under generally accepted accounting principles to be a primary measure of an entity’s financial results, and accordingly free cash flow should not be considered an alternative to operating income, net income, or amounts shown in our consolidated statements of cash flows as determined under generally accepted accounting principles. Free cash flow may be defined differently by other companies.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29, 2007, our Board of Directors (the “Board”) approved a stock repurchase program to acquire up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 million shares of our outstanding common stock. Subsequently, the Board has from time to time increased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that may be acquired under the program and approved extensions of the program. Since the inception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the Board has approved 8.1 million shares to be repurchased. As of June 30, 2018, we have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cumulative total of 7.8 million shares at an average price of $14.34 per share under the repurchase program.</w:t>
      </w:r>
    </w:p>
    <w:p>
      <w:pPr>
        <w:spacing w:after="0" w:line="211" w:lineRule="exact"/>
        <w:rPr>
          <w:sz w:val="20"/>
          <w:szCs w:val="20"/>
          <w:color w:val="auto"/>
        </w:rPr>
      </w:pPr>
    </w:p>
    <w:p>
      <w:pPr>
        <w:ind w:right="99" w:firstLine="648"/>
        <w:spacing w:after="0" w:line="302" w:lineRule="auto"/>
        <w:rPr>
          <w:sz w:val="20"/>
          <w:szCs w:val="20"/>
          <w:color w:val="auto"/>
        </w:rPr>
      </w:pPr>
      <w:r>
        <w:rPr>
          <w:rFonts w:ascii="Arial" w:cs="Arial" w:eastAsia="Arial" w:hAnsi="Arial"/>
          <w:sz w:val="16"/>
          <w:szCs w:val="16"/>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six months ended June 30, 2018, we repurchased 0.2 million shares for approximately $6.8 million at an average price of $41.19 per share.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19" w:firstLine="648"/>
        <w:spacing w:after="0" w:line="270" w:lineRule="auto"/>
        <w:rPr>
          <w:sz w:val="20"/>
          <w:szCs w:val="20"/>
          <w:color w:val="auto"/>
        </w:rPr>
      </w:pPr>
      <w:r>
        <w:rPr>
          <w:rFonts w:ascii="Arial" w:cs="Arial" w:eastAsia="Arial" w:hAnsi="Arial"/>
          <w:sz w:val="17"/>
          <w:szCs w:val="17"/>
          <w:color w:val="auto"/>
        </w:rPr>
        <w:t>On April 18, 2018, we amended our senior credit facility (the “Facility”) provided by a syndicate of banks, increasing our borrowing capacity from $325.0 million to $400.0 million, with a $100 million accordion option. The Facility, which is available for borrowings and letters of credit, expires in April 2023 and is secured by a first lien on substantially all of our personal property except for assets related to projects subject to surety bonds and assets held by certain unrestricted subsidiaries and a second lien on our assets related to projects subject to surety bonds. In 2018, we incurred approximately $0.8 million in financing and professional costs in connection with an amendment to the Facility, which combined with the previous unamortized costs of $1.1 million, are being amortized on a straight-line basis as a non-cash charge to interest expense over the remaining term of the Facility. As of June 30, 2018, we had $42.0 million of outstanding borrowings, $33.6 million in letters of credit outstanding and $324.4 million of credit available.</w:t>
      </w:r>
    </w:p>
    <w:p>
      <w:pPr>
        <w:spacing w:after="0" w:line="182" w:lineRule="exact"/>
        <w:rPr>
          <w:sz w:val="20"/>
          <w:szCs w:val="20"/>
          <w:color w:val="auto"/>
        </w:rPr>
      </w:pPr>
    </w:p>
    <w:p>
      <w:pPr>
        <w:jc w:val="both"/>
        <w:ind w:right="79" w:firstLine="648"/>
        <w:spacing w:after="0" w:line="264" w:lineRule="auto"/>
        <w:rPr>
          <w:sz w:val="20"/>
          <w:szCs w:val="20"/>
          <w:color w:val="auto"/>
        </w:rPr>
      </w:pPr>
      <w:r>
        <w:rPr>
          <w:rFonts w:ascii="Arial" w:cs="Arial" w:eastAsia="Arial" w:hAnsi="Arial"/>
          <w:sz w:val="18"/>
          <w:szCs w:val="18"/>
          <w:color w:val="auto"/>
        </w:rPr>
        <w:t>There are two interest rate options for borrowings under the Facility, the Base Rate Loan Option and the Eurodollar Rate Loan Option. These rates are floating rates determined by the broad financial markets, meaning they can and do move up and down from time to time. Additional margins are then added to these two rates.</w:t>
      </w:r>
    </w:p>
    <w:p>
      <w:pPr>
        <w:spacing w:after="0" w:line="181" w:lineRule="exact"/>
        <w:rPr>
          <w:sz w:val="20"/>
          <w:szCs w:val="20"/>
          <w:color w:val="auto"/>
        </w:rPr>
      </w:pPr>
    </w:p>
    <w:p>
      <w:pPr>
        <w:ind w:right="79" w:firstLine="648"/>
        <w:spacing w:after="0" w:line="219" w:lineRule="exact"/>
        <w:rPr>
          <w:sz w:val="20"/>
          <w:szCs w:val="20"/>
          <w:color w:val="auto"/>
        </w:rPr>
      </w:pPr>
      <w:r>
        <w:rPr>
          <w:rFonts w:ascii="Arial" w:cs="Arial" w:eastAsia="Arial" w:hAnsi="Arial"/>
          <w:sz w:val="17"/>
          <w:szCs w:val="17"/>
          <w:color w:val="auto"/>
        </w:rPr>
        <w:t>Certain of our vendors require letters of credit to ensure reimbursement for amounts they are disbursing on our behalf, such as to beneficiaries under our self</w:t>
      </w:r>
      <w:r>
        <w:rPr>
          <w:rFonts w:ascii="MS PGothic" w:cs="MS PGothic" w:eastAsia="MS PGothic" w:hAnsi="MS PGothic"/>
          <w:sz w:val="17"/>
          <w:szCs w:val="17"/>
          <w:color w:val="auto"/>
        </w:rPr>
        <w:t>‑</w:t>
      </w:r>
      <w:r>
        <w:rPr>
          <w:rFonts w:ascii="Arial" w:cs="Arial" w:eastAsia="Arial" w:hAnsi="Arial"/>
          <w:sz w:val="17"/>
          <w:szCs w:val="17"/>
          <w:color w:val="auto"/>
        </w:rPr>
        <w:t>funded insurance programs. We have also occasionally used letters of credit to guarantee performance under our contracts and to ensure payment to our subcontractors and vendors under those contracts. Our lenders issue such letters of credit through the Facility for a fee. We have never had a claim made against a letter of credit that resulted in payments by a lender or by us and believe such a claim is unlikely in the</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foreseeable future. The letter of credit fees range from 1.25% to 2.00% per annum, based on the ratio of Consolidated Total Indebtedness to Credit Facility Adjusted EBITDA, as defined in the credit agreement.</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Commitment fees are payable on the portion of the revolving loan capacity not in use for borrowings or letters of credit at any given time. These fees range from 0.20% to 0.35% per annum, based on the ratio of Consolidated Total Indebtedness to Credit Facility Adjusted EBITDA, as defined in the credit agreement.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Facility contains financial covenants defining various financial measures and the levels of these measures with which we must comply. Covenant compliance is assessed as of each quarter end.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Facility’s principal financial covenants include: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Total Leverage Ratio</w:t>
      </w:r>
      <w:r>
        <w:rPr>
          <w:rFonts w:ascii="Arial" w:cs="Arial" w:eastAsia="Arial" w:hAnsi="Arial"/>
          <w:sz w:val="18"/>
          <w:szCs w:val="18"/>
          <w:color w:val="auto"/>
        </w:rPr>
        <w:t>—The Facility requires that the ratio of our Consolidated Total Indebtedness to our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Adjusted EBITDA not exceed 3.00 to 1.00 as of the end of each fiscal quarter. The total leverage ratio as of June 30, 2018 was 0.3.</w:t>
      </w:r>
    </w:p>
    <w:p>
      <w:pPr>
        <w:spacing w:after="0" w:line="181"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i w:val="1"/>
          <w:iCs w:val="1"/>
          <w:color w:val="auto"/>
        </w:rPr>
        <w:t>Fixed Charge Coverage Ratio</w:t>
      </w:r>
      <w:r>
        <w:rPr>
          <w:rFonts w:ascii="Arial" w:cs="Arial" w:eastAsia="Arial" w:hAnsi="Arial"/>
          <w:sz w:val="16"/>
          <w:szCs w:val="16"/>
          <w:color w:val="auto"/>
        </w:rPr>
        <w:t>—The Facility requires that the ratio of (a) Credit Facility Adjusted EBITDA, less</w:t>
      </w:r>
      <w:r>
        <w:rPr>
          <w:rFonts w:ascii="Arial" w:cs="Arial" w:eastAsia="Arial" w:hAnsi="Arial"/>
          <w:sz w:val="16"/>
          <w:szCs w:val="16"/>
          <w:i w:val="1"/>
          <w:iCs w:val="1"/>
          <w:color w:val="auto"/>
        </w:rPr>
        <w:t xml:space="preserve"> </w:t>
      </w: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financed capital expenditures, provision for income taxes, dividends and amounts used to repurchase stock to (b) the sum of interest expense and scheduled principal payments of indebtedness be at least 2.00 to 1.00; provided that the calculation of the fixed charge coverage ratio excludes stock repurchases and the payment of dividends at any time that the Company’s Net Leverage Ratio, as defined in the credit agreement, does not exceed 1.75 to 1.00. The Facility also allows the fixed charge coverage ratio not to be reduced for stock repurchases made after the effective date of the Facility in an aggregate amount not to exceed $30 million, if at the time of and after giving effect to such repurchase the Company’s Net Leverage Ratio was less than or equal to 1.75 to 1.00. Credit Facility Adjusted EBITDA, capital expenditures, provision for income taxes, dividends, stock repurchase payments, interest expense, and scheduled principal payments are defined under the Facility for purposes of this covenant to be amounts for the four quarters ending as of any given quarterly covenant compliance measurement date. The fixed charge coverage ratio as of June 30, 2018 was 24.3.</w:t>
      </w:r>
    </w:p>
    <w:p>
      <w:pPr>
        <w:spacing w:after="0" w:line="207" w:lineRule="exact"/>
        <w:rPr>
          <w:sz w:val="20"/>
          <w:szCs w:val="20"/>
          <w:color w:val="auto"/>
        </w:rPr>
      </w:pPr>
    </w:p>
    <w:p>
      <w:pPr>
        <w:jc w:val="both"/>
        <w:ind w:right="500" w:firstLine="648"/>
        <w:spacing w:after="0" w:line="286" w:lineRule="auto"/>
        <w:rPr>
          <w:sz w:val="20"/>
          <w:szCs w:val="20"/>
          <w:color w:val="auto"/>
        </w:rPr>
      </w:pPr>
      <w:r>
        <w:rPr>
          <w:rFonts w:ascii="Arial" w:cs="Arial" w:eastAsia="Arial" w:hAnsi="Arial"/>
          <w:sz w:val="17"/>
          <w:szCs w:val="17"/>
          <w:i w:val="1"/>
          <w:iCs w:val="1"/>
          <w:color w:val="auto"/>
        </w:rPr>
        <w:t>Other Restrictions</w:t>
      </w:r>
      <w:r>
        <w:rPr>
          <w:rFonts w:ascii="Arial" w:cs="Arial" w:eastAsia="Arial" w:hAnsi="Arial"/>
          <w:sz w:val="17"/>
          <w:szCs w:val="17"/>
          <w:color w:val="auto"/>
        </w:rPr>
        <w:t>—The Facility permits acquisitions of up to $40.0 million per transaction, provided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purchase price of all such acquisitions in the same fiscal year does not exceed $80.0 million. However, these limitations only apply when the Company’s Total Leverage Ratio is greater than 2.00 to 1.00.</w:t>
      </w:r>
    </w:p>
    <w:p>
      <w:pPr>
        <w:spacing w:after="0" w:line="166" w:lineRule="exact"/>
        <w:rPr>
          <w:sz w:val="20"/>
          <w:szCs w:val="20"/>
          <w:color w:val="auto"/>
        </w:rPr>
      </w:pPr>
    </w:p>
    <w:p>
      <w:pPr>
        <w:ind w:right="100" w:firstLine="648"/>
        <w:spacing w:after="0" w:line="220" w:lineRule="exact"/>
        <w:rPr>
          <w:sz w:val="20"/>
          <w:szCs w:val="20"/>
          <w:color w:val="auto"/>
        </w:rPr>
      </w:pPr>
      <w:r>
        <w:rPr>
          <w:rFonts w:ascii="Arial" w:cs="Arial" w:eastAsia="Arial" w:hAnsi="Arial"/>
          <w:sz w:val="18"/>
          <w:szCs w:val="18"/>
          <w:color w:val="auto"/>
        </w:rPr>
        <w:t>While the Facility’s financial covenants do not specifically govern capacity under the Facility, if our debt level under the Facility at a quarter</w:t>
      </w:r>
      <w:r>
        <w:rPr>
          <w:rFonts w:ascii="MS PGothic" w:cs="MS PGothic" w:eastAsia="MS PGothic" w:hAnsi="MS PGothic"/>
          <w:sz w:val="18"/>
          <w:szCs w:val="18"/>
          <w:color w:val="auto"/>
        </w:rPr>
        <w:t>‑</w:t>
      </w:r>
      <w:r>
        <w:rPr>
          <w:rFonts w:ascii="Arial" w:cs="Arial" w:eastAsia="Arial" w:hAnsi="Arial"/>
          <w:sz w:val="18"/>
          <w:szCs w:val="18"/>
          <w:color w:val="auto"/>
        </w:rPr>
        <w:t>end covenant compliance measurement date were to cause us to violate the Facility’s leverage ratio covenant, our borrowing capacity under the Facility and the favorable terms that we currently have could be negatively impacted by the lenders.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of our financial covenants as of June 30,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Notes to Former Owners</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As part of the consideration used to acquire four companies, we have outstanding notes to the former owners. These notes had an outstanding balance of $16.8 million as of June 30, 2018. In conjunction with a small acquisition in the second quarter of 2018, we issued a subordinated note to former owners with an outstanding balance of $1.0 million as of June 30, 2018 that bears interest, payable quarterly, at a weighted average interest rate of 3.5%. The principal is due in equal installments in May 2020 and 2021. In conjunction with a small acquisition in the first quarter of 2018, we issued a subordinated note to former owners with an outstanding balance of $1.0 million as of June 30, 2018 that bears interest, payable quarterly, at a weighted average interest rate of 2.5%. The principal is due in equal installments in January 2019 and 2020. In conjunction with the BCH acquisition in the second quarter of 2017, we issued a promissory note to the former owners with an outstanding balance of $14.3 million as of June 30, 2018 that bears interest, payable quarterly, at a weighted average interest rate of 3.0%. The principal is due in equal installments in April 2020 and 2021. In conjunction with the Shoffner acquisition in the first quarter of 2016, we issued a subordinated note to former owners with an outstanding balance of $0.5 million as of June 30, 2018 that bears interest, payable quarterly, at a weighted average interest rate of 3.0%. The principal is due in February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Debt</w:t>
      </w:r>
    </w:p>
    <w:p>
      <w:pPr>
        <w:spacing w:after="0" w:line="225" w:lineRule="exact"/>
        <w:rPr>
          <w:sz w:val="20"/>
          <w:szCs w:val="20"/>
          <w:color w:val="auto"/>
        </w:rPr>
      </w:pPr>
    </w:p>
    <w:p>
      <w:pPr>
        <w:jc w:val="both"/>
        <w:ind w:right="339" w:firstLine="648"/>
        <w:spacing w:after="0" w:line="259" w:lineRule="auto"/>
        <w:rPr>
          <w:sz w:val="20"/>
          <w:szCs w:val="20"/>
          <w:color w:val="auto"/>
        </w:rPr>
      </w:pPr>
      <w:r>
        <w:rPr>
          <w:rFonts w:ascii="Arial" w:cs="Arial" w:eastAsia="Arial" w:hAnsi="Arial"/>
          <w:sz w:val="18"/>
          <w:szCs w:val="18"/>
          <w:color w:val="auto"/>
        </w:rPr>
        <w:t>As part of the Shoffner acquisition, we acquired debt with an outstanding balance at the acquisition date of $0.4 million with principal and interest due the last day of every month; ending on the December 30, 2019 maturity date. The interest rate is the one month LIBOR rate plus 2.25%. As of June 30, 2018, $0.2 million of the note was outstanding, of which $0.1 million was considered current.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ind w:right="139" w:firstLine="648"/>
        <w:spacing w:after="0" w:line="259" w:lineRule="auto"/>
        <w:rPr>
          <w:sz w:val="20"/>
          <w:szCs w:val="20"/>
          <w:color w:val="auto"/>
        </w:rPr>
      </w:pPr>
      <w:r>
        <w:rPr>
          <w:rFonts w:ascii="Arial" w:cs="Arial" w:eastAsia="Arial" w:hAnsi="Arial"/>
          <w:sz w:val="18"/>
          <w:szCs w:val="18"/>
          <w:color w:val="auto"/>
        </w:rPr>
        <w:t>We have generated positive net free cash flow for the last nineteen calendar years, much of which occurred during challenging economic and industry conditions. We also continue to have significant borrowing capacity under our credit facility, and we maintain what we feel are reasonable cash balances. We believe these factors will provide us with sufficient liquidity to fund our operations for the foreseeable future.</w:t>
      </w:r>
    </w:p>
    <w:p>
      <w:pPr>
        <w:spacing w:after="0" w:line="18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 and Other Commitments</w:t>
      </w:r>
    </w:p>
    <w:p>
      <w:pPr>
        <w:spacing w:after="0" w:line="229" w:lineRule="exact"/>
        <w:rPr>
          <w:sz w:val="20"/>
          <w:szCs w:val="20"/>
          <w:color w:val="auto"/>
        </w:rPr>
      </w:pPr>
    </w:p>
    <w:p>
      <w:pPr>
        <w:ind w:right="39" w:firstLine="648"/>
        <w:spacing w:after="0" w:line="220" w:lineRule="exact"/>
        <w:rPr>
          <w:sz w:val="20"/>
          <w:szCs w:val="20"/>
          <w:color w:val="auto"/>
        </w:rPr>
      </w:pPr>
      <w:r>
        <w:rPr>
          <w:rFonts w:ascii="Arial" w:cs="Arial" w:eastAsia="Arial" w:hAnsi="Arial"/>
          <w:sz w:val="18"/>
          <w:szCs w:val="18"/>
          <w:color w:val="auto"/>
        </w:rPr>
        <w:t>As is common in our industry, we have entered into certain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in the ordinary course of business that result in risks not directly reflected in our balance sheets. Our most significant off</w:t>
      </w:r>
      <w:r>
        <w:rPr>
          <w:rFonts w:ascii="MS PGothic" w:cs="MS PGothic" w:eastAsia="MS PGothic" w:hAnsi="MS PGothic"/>
          <w:sz w:val="18"/>
          <w:szCs w:val="18"/>
          <w:color w:val="auto"/>
        </w:rPr>
        <w:t>‑</w:t>
      </w:r>
      <w:r>
        <w:rPr>
          <w:rFonts w:ascii="Arial" w:cs="Arial" w:eastAsia="Arial" w:hAnsi="Arial"/>
          <w:sz w:val="18"/>
          <w:szCs w:val="18"/>
          <w:color w:val="auto"/>
        </w:rPr>
        <w:t>balance sheet transactions include liabilities associated with noncancelable operating leases. We also have other off</w:t>
      </w:r>
      <w:r>
        <w:rPr>
          <w:rFonts w:ascii="MS PGothic" w:cs="MS PGothic" w:eastAsia="MS PGothic" w:hAnsi="MS PGothic"/>
          <w:sz w:val="18"/>
          <w:szCs w:val="18"/>
          <w:color w:val="auto"/>
        </w:rPr>
        <w:t>‑</w:t>
      </w:r>
      <w:r>
        <w:rPr>
          <w:rFonts w:ascii="Arial" w:cs="Arial" w:eastAsia="Arial" w:hAnsi="Arial"/>
          <w:sz w:val="18"/>
          <w:szCs w:val="18"/>
          <w:color w:val="auto"/>
        </w:rPr>
        <w:t>balance sheet obligations involving letters of credit and surety guarantees.</w:t>
      </w:r>
    </w:p>
    <w:p>
      <w:pPr>
        <w:spacing w:after="0" w:line="204" w:lineRule="exact"/>
        <w:rPr>
          <w:sz w:val="20"/>
          <w:szCs w:val="20"/>
          <w:color w:val="auto"/>
        </w:rPr>
      </w:pPr>
    </w:p>
    <w:p>
      <w:pPr>
        <w:ind w:right="99" w:firstLine="648"/>
        <w:spacing w:after="0" w:line="302" w:lineRule="auto"/>
        <w:rPr>
          <w:sz w:val="20"/>
          <w:szCs w:val="20"/>
          <w:color w:val="auto"/>
        </w:rPr>
      </w:pPr>
      <w:r>
        <w:rPr>
          <w:rFonts w:ascii="Arial" w:cs="Arial" w:eastAsia="Arial" w:hAnsi="Arial"/>
          <w:sz w:val="16"/>
          <w:szCs w:val="16"/>
          <w:color w:val="auto"/>
        </w:rPr>
        <w:t>We enter into noncancelable operating leases for many of our facility, vehicle and equipment needs. These leases allow us to conserve cash by paying a monthly lease rental fee for use of facilities, vehicles and equipment rather than purchasing them. At the end of the lease, we have no further obligation to the lessor. If we decide to cancel or terminate a lease before the end of its term, we would typically owe the lessor the remaining lease payments under the term of the lease.</w:t>
      </w:r>
    </w:p>
    <w:p>
      <w:pPr>
        <w:spacing w:after="0" w:line="154" w:lineRule="exact"/>
        <w:rPr>
          <w:sz w:val="20"/>
          <w:szCs w:val="20"/>
          <w:color w:val="auto"/>
        </w:rPr>
      </w:pPr>
    </w:p>
    <w:p>
      <w:pPr>
        <w:ind w:right="79" w:firstLine="648"/>
        <w:spacing w:after="0" w:line="217" w:lineRule="exact"/>
        <w:rPr>
          <w:sz w:val="20"/>
          <w:szCs w:val="20"/>
          <w:color w:val="auto"/>
        </w:rPr>
      </w:pPr>
      <w:r>
        <w:rPr>
          <w:rFonts w:ascii="Arial" w:cs="Arial" w:eastAsia="Arial" w:hAnsi="Arial"/>
          <w:sz w:val="16"/>
          <w:szCs w:val="16"/>
          <w:color w:val="auto"/>
        </w:rPr>
        <w:t>Certain of our vendors require letters of credit to ensure reimbursement for amounts they are disbursing on our behalf, such as to beneficiaries under our self</w:t>
      </w:r>
      <w:r>
        <w:rPr>
          <w:rFonts w:ascii="MS PGothic" w:cs="MS PGothic" w:eastAsia="MS PGothic" w:hAnsi="MS PGothic"/>
          <w:sz w:val="16"/>
          <w:szCs w:val="16"/>
          <w:color w:val="auto"/>
        </w:rPr>
        <w:t>‑</w:t>
      </w:r>
      <w:r>
        <w:rPr>
          <w:rFonts w:ascii="Arial" w:cs="Arial" w:eastAsia="Arial" w:hAnsi="Arial"/>
          <w:sz w:val="16"/>
          <w:szCs w:val="16"/>
          <w:color w:val="auto"/>
        </w:rPr>
        <w:t>funded insurance programs. We have also occasionally used letters of credit to guarantee performance under our contracts and to ensure payment to our subcontractors and vendors under those contracts. The letters of credit we provide are actually issued by our lenders through the Facility as described above. A letter of credit commits the lenders to pay specified amounts to the holder of the letter of credit if the holder demonstrates that we have failed to perform specified actions. If this were to occur, we would be required to reimburse the lenders. Depending on the circumstances of such a reimbursement, we may also have to record a charge to earnings for the reimbursement. Absent a claim, there is no payment or reserving of funds by us in connection with a letter of credit. However, because a claim on a letter of credit would require immediate reimbursement by us to our lenders, letters of credit are treated as a use of the Facility’s capacity just the same as actual borrowings. Claims against letters of credit are rare in our industry. To date we have not had a claim made against a letter of credit that resulted in payments by a lender or by us. We believe that it is unlikely that we will have to fund claims under a letter of credit in the foreseeable future.</w:t>
      </w:r>
    </w:p>
    <w:p>
      <w:pPr>
        <w:spacing w:after="0" w:line="206" w:lineRule="exact"/>
        <w:rPr>
          <w:sz w:val="20"/>
          <w:szCs w:val="20"/>
          <w:color w:val="auto"/>
        </w:rPr>
      </w:pPr>
    </w:p>
    <w:p>
      <w:pPr>
        <w:ind w:right="19" w:firstLine="648"/>
        <w:spacing w:after="0" w:line="273" w:lineRule="auto"/>
        <w:rPr>
          <w:sz w:val="20"/>
          <w:szCs w:val="20"/>
          <w:color w:val="auto"/>
        </w:rPr>
      </w:pPr>
      <w:r>
        <w:rPr>
          <w:rFonts w:ascii="Arial" w:cs="Arial" w:eastAsia="Arial" w:hAnsi="Arial"/>
          <w:sz w:val="17"/>
          <w:szCs w:val="17"/>
          <w:color w:val="auto"/>
        </w:rPr>
        <w:t>Many customers, particularly in connection with new construction, require us to post performance and payment bonds issued by a financial institution known as a surety. If we fail to perform under the terms of a contract or to pay subcontractors and vendors who provided goods or services under a contract, the customer may demand that the surety make payments or provide services under the bond. We must reimburse the sureties for any expenses or outlays they incur. To date, we are not aware of any losses to our sureties in connection with bonds the sureties have posted on our behalf, and we do not expect such losses to be incurred in the foreseeable future.</w:t>
      </w:r>
    </w:p>
    <w:p>
      <w:pPr>
        <w:spacing w:after="0" w:line="178" w:lineRule="exact"/>
        <w:rPr>
          <w:sz w:val="20"/>
          <w:szCs w:val="20"/>
          <w:color w:val="auto"/>
        </w:rPr>
      </w:pPr>
    </w:p>
    <w:p>
      <w:pPr>
        <w:ind w:right="99" w:firstLine="648"/>
        <w:spacing w:after="0" w:line="218" w:lineRule="exact"/>
        <w:rPr>
          <w:sz w:val="20"/>
          <w:szCs w:val="20"/>
          <w:color w:val="auto"/>
        </w:rPr>
      </w:pPr>
      <w:r>
        <w:rPr>
          <w:rFonts w:ascii="Arial" w:cs="Arial" w:eastAsia="Arial" w:hAnsi="Arial"/>
          <w:sz w:val="16"/>
          <w:szCs w:val="16"/>
          <w:color w:val="auto"/>
        </w:rPr>
        <w:t>Under standard terms in the surety market, sureties issue bonds on a project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project basis, and can decline to issue bonds at any time. Historically, approximately 20% to 30% of our business has required bonds. While we currently have strong surety relationships to support our bonding needs, future market conditions or changes in our sureties’ assessment of our operating and financial risk could cause our sureties to decline to issue bonds for our work. If that were to occur, our alternatives include doing more business that does not require bonds, posting other forms of collateral for project performance such as letters of credit or cash, and seeking bonding capacity from other sureties. We would</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likely also encounter concerns from customers, suppliers and other market participants as to our creditworthiness. While we believe our general operating and financial characteristics would enable us to ultimately respond effectively to an interruption in the availability of bonding capacity, such an interruption would likely cause our revenue and profits to decline in the near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648"/>
        <w:spacing w:after="0" w:line="218" w:lineRule="exact"/>
        <w:rPr>
          <w:sz w:val="20"/>
          <w:szCs w:val="20"/>
          <w:color w:val="auto"/>
        </w:rPr>
      </w:pPr>
      <w:r>
        <w:rPr>
          <w:rFonts w:ascii="Arial" w:cs="Arial" w:eastAsia="Arial" w:hAnsi="Arial"/>
          <w:sz w:val="16"/>
          <w:szCs w:val="16"/>
          <w:color w:val="auto"/>
        </w:rPr>
        <w:t>As of June 30, 2018, we have $33.6 million in letter of credit commitments, of which $11.3 million will expire in 2018 and $22.3 million will expire in 2019. The substantial majority of these letters of credit are posted with insurers who disburse funds on our behalf in connection with our workers’ compensation, auto liability and general liability insurance program. These letters of credit provide additional security to the insurers that sufficient financial resources will be available to fund claims on our behalf, many of which develop over long periods of time, should we ever encounter financial duress. Posting of letters of credit for this purpose is a common practice for entities that manage their self</w:t>
      </w:r>
      <w:r>
        <w:rPr>
          <w:rFonts w:ascii="MS PGothic" w:cs="MS PGothic" w:eastAsia="MS PGothic" w:hAnsi="MS PGothic"/>
          <w:sz w:val="16"/>
          <w:szCs w:val="16"/>
          <w:color w:val="auto"/>
        </w:rPr>
        <w:t>‑</w:t>
      </w:r>
      <w:r>
        <w:rPr>
          <w:rFonts w:ascii="Arial" w:cs="Arial" w:eastAsia="Arial" w:hAnsi="Arial"/>
          <w:sz w:val="16"/>
          <w:szCs w:val="16"/>
          <w:color w:val="auto"/>
        </w:rPr>
        <w:t>insurance programs through third</w:t>
      </w:r>
      <w:r>
        <w:rPr>
          <w:rFonts w:ascii="MS PGothic" w:cs="MS PGothic" w:eastAsia="MS PGothic" w:hAnsi="MS PGothic"/>
          <w:sz w:val="16"/>
          <w:szCs w:val="16"/>
          <w:color w:val="auto"/>
        </w:rPr>
        <w:t>‑</w:t>
      </w:r>
      <w:r>
        <w:rPr>
          <w:rFonts w:ascii="Arial" w:cs="Arial" w:eastAsia="Arial" w:hAnsi="Arial"/>
          <w:sz w:val="16"/>
          <w:szCs w:val="16"/>
          <w:color w:val="auto"/>
        </w:rPr>
        <w:t>party insurers as we do. While many of these letter of credit commitments expire in 2018, we expect nearly all of them, particularly those supporting our insurance programs, will be renewed annually.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exposed to market risk primarily related to potential adverse changes in interest rates as discussed below. We are actively involved in monitoring exposure to market risk and continue to develop and utilize appropriate risk management techniques. We are not exposed to any other significant financial market risks including commodity price risk, foreign currency exchange risk or interest rate risks from the use of derivative financial instruments. We do not use derivative financial instruments.</w:t>
      </w:r>
    </w:p>
    <w:p>
      <w:pPr>
        <w:spacing w:after="0" w:line="18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We have exposure to changes in interest rates under our revolving credit facility. We have a modest level of indebtedness under our debt facility and our indebtedness could increase in the future. Our debt with fixed interest rates consists of notes to former owners of acquired companies.</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weighted average interest rate applicable to borrowings under the Facility was approximately 3.4% as of June 30, 2018.</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We measure certain assets at fair value on a nonrecurring basis. These assets are recognized at fair value when they are deemed to be other-than-temporarily impaired. During the first quarter of 2017 we recorded a goodwill impairment charge of $1.1 million based on Level 3 measurements. See Note 5 “Goodwill” for further discussion.</w:t>
      </w:r>
    </w:p>
    <w:p>
      <w:pPr>
        <w:spacing w:after="0" w:line="166" w:lineRule="exact"/>
        <w:rPr>
          <w:sz w:val="20"/>
          <w:szCs w:val="20"/>
          <w:color w:val="auto"/>
        </w:rPr>
      </w:pPr>
    </w:p>
    <w:p>
      <w:pPr>
        <w:ind w:right="60" w:firstLine="648"/>
        <w:spacing w:after="0" w:line="220" w:lineRule="exact"/>
        <w:rPr>
          <w:sz w:val="20"/>
          <w:szCs w:val="20"/>
          <w:color w:val="auto"/>
        </w:rPr>
      </w:pPr>
      <w:r>
        <w:rPr>
          <w:rFonts w:ascii="Arial" w:cs="Arial" w:eastAsia="Arial" w:hAnsi="Arial"/>
          <w:sz w:val="17"/>
          <w:szCs w:val="17"/>
          <w:color w:val="auto"/>
        </w:rPr>
        <w:t>The valuation of our contingent earn</w:t>
      </w:r>
      <w:r>
        <w:rPr>
          <w:rFonts w:ascii="MS PGothic" w:cs="MS PGothic" w:eastAsia="MS PGothic" w:hAnsi="MS PGothic"/>
          <w:sz w:val="17"/>
          <w:szCs w:val="17"/>
          <w:color w:val="auto"/>
        </w:rPr>
        <w:t>‑</w:t>
      </w:r>
      <w:r>
        <w:rPr>
          <w:rFonts w:ascii="Arial" w:cs="Arial" w:eastAsia="Arial" w:hAnsi="Arial"/>
          <w:sz w:val="17"/>
          <w:szCs w:val="17"/>
          <w:color w:val="auto"/>
        </w:rPr>
        <w:t>out payments is determined using a probability weighted discounted cash flow method. This analysis reflects the contractual terms of the purchase agreements (e.g., minimum and maximum payment, length of earn</w:t>
      </w:r>
      <w:r>
        <w:rPr>
          <w:rFonts w:ascii="MS PGothic" w:cs="MS PGothic" w:eastAsia="MS PGothic" w:hAnsi="MS PGothic"/>
          <w:sz w:val="17"/>
          <w:szCs w:val="17"/>
          <w:color w:val="auto"/>
        </w:rPr>
        <w:t>‑</w:t>
      </w:r>
      <w:r>
        <w:rPr>
          <w:rFonts w:ascii="Arial" w:cs="Arial" w:eastAsia="Arial" w:hAnsi="Arial"/>
          <w:sz w:val="17"/>
          <w:szCs w:val="17"/>
          <w:color w:val="auto"/>
        </w:rPr>
        <w:t>out periods, manner of calculating any amounts due, etc.) and utilizes assumptions with regard to future cash flows, probabilities of achieving such future cash flows and a discount 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40" w:firstLine="648"/>
        <w:spacing w:after="0" w:line="218" w:lineRule="exact"/>
        <w:rPr>
          <w:sz w:val="20"/>
          <w:szCs w:val="20"/>
          <w:color w:val="auto"/>
        </w:rPr>
      </w:pPr>
      <w:r>
        <w:rPr>
          <w:rFonts w:ascii="Arial" w:cs="Arial" w:eastAsia="Arial" w:hAnsi="Arial"/>
          <w:sz w:val="16"/>
          <w:szCs w:val="16"/>
          <w:color w:val="auto"/>
        </w:rPr>
        <w:t>Our executive management is responsible for ensuring the effectiveness of the design and operation of our disclosure controls and procedures. We carried out an evaluation under the supervision and with the participation of our management, including our Chief Executive Officer and Chief Financial Officer, of the effectiveness of the design and operation of our disclosure controls and procedures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under the Securities Exchange Act of 1934) as of the end of the period covered by this report. Based on that evaluation, our Chief Executive Officer and Chief Financial Officer have concluded that our disclosure controls and procedures (as defined in</w:t>
      </w:r>
    </w:p>
    <w:p>
      <w:pPr>
        <w:spacing w:after="0" w:line="5" w:lineRule="exact"/>
        <w:rPr>
          <w:sz w:val="20"/>
          <w:szCs w:val="20"/>
          <w:color w:val="auto"/>
        </w:rPr>
      </w:pPr>
    </w:p>
    <w:p>
      <w:pPr>
        <w:ind w:right="200"/>
        <w:spacing w:after="0" w:line="216" w:lineRule="exact"/>
        <w:rPr>
          <w:sz w:val="20"/>
          <w:szCs w:val="20"/>
          <w:color w:val="auto"/>
        </w:rPr>
      </w:pPr>
      <w:r>
        <w:rPr>
          <w:rFonts w:ascii="Arial" w:cs="Arial" w:eastAsia="Arial" w:hAnsi="Arial"/>
          <w:sz w:val="18"/>
          <w:szCs w:val="18"/>
          <w:color w:val="auto"/>
        </w:rPr>
        <w:t>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of the Securities Exchange Act of 1934) are effective as of the end of the period covered by this report.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There have not been any changes in our internal control over financial reporting (as such term is defined in</w:t>
      </w:r>
    </w:p>
    <w:p>
      <w:pPr>
        <w:spacing w:after="0" w:line="23" w:lineRule="exact"/>
        <w:rPr>
          <w:sz w:val="20"/>
          <w:szCs w:val="20"/>
          <w:color w:val="auto"/>
        </w:rPr>
      </w:pPr>
    </w:p>
    <w:p>
      <w:pPr>
        <w:ind w:right="60"/>
        <w:spacing w:after="0" w:line="216" w:lineRule="exact"/>
        <w:rPr>
          <w:sz w:val="20"/>
          <w:szCs w:val="20"/>
          <w:color w:val="auto"/>
        </w:rPr>
      </w:pPr>
      <w:r>
        <w:rPr>
          <w:rFonts w:ascii="Arial" w:cs="Arial" w:eastAsia="Arial" w:hAnsi="Arial"/>
          <w:sz w:val="16"/>
          <w:szCs w:val="16"/>
          <w:color w:val="auto"/>
        </w:rPr>
        <w:t>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under the Securities Exchange Act of 1934) during the three months ended June 30, 2018 that have materially affected, or are reasonably likely to materially affect, our internal control over financial reporting.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subject to certain claims and lawsuits arising in the normal course of business. We maintain various insurance coverages to minimize financial risk associated with these claims. We have estimated and provided accruals for probable losses and related legal fees associated with certain litigation in our consolidated financial statements. While we cannot predict the outcome of these proceedings, in our opinion and based on reports of counsel, any liability arising from these matters individually and in the aggregate will not have a material effect on our operating results, cash flows or financial condition, after giving effect to provisions already recorded.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firstLine="648"/>
        <w:spacing w:after="0" w:line="219" w:lineRule="exact"/>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Risk Factors”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which could materially affect our business, financial condition, or future results. Additional risks and uncertainties not currently known to us or that we currently deem to be immaterial also may materially adversely affect our business, financial condition, or future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March 29, 2007, our Board of Directors (the “Board”) approved a stock repurchase program to acquire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 million shares of our outstanding common stock. Subsequently, the Board has from time to time increased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that may be acquired under the program and approved extensions of the program. Since the inception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repurchase program, the Board has approved 8.1 million shares to be repurchased. As of June 30, 2018, we have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cumulative total of 7.8 million shares at an average price of $14.34 per share under the repurchase program.</w:t>
      </w:r>
    </w:p>
    <w:p>
      <w:pPr>
        <w:spacing w:after="0" w:line="21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share repurchases will be made from time to time at our discretion in the open market or privately negotiated transactions as permitted by securities laws and other legal requirements, and subject to market conditions and other factors. The Board may modify, suspend, extend or terminate the program at any time. During the six months ended June 30, 2018, we repurchased 0.2 million shares for approximately $6.8 million at an average price of $41.19 per share.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During the quarter ended June 30, 2018, we purchased our common shares in the following amounts at the following average prices: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Total Number of Shares</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40" w:type="dxa"/>
            <w:vAlign w:val="bottom"/>
          </w:tcPr>
          <w:p>
            <w:pPr>
              <w:spacing w:after="0"/>
              <w:rPr>
                <w:sz w:val="12"/>
                <w:szCs w:val="12"/>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Average Price</w:t>
            </w: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3200" w:type="dxa"/>
            <w:vAlign w:val="bottom"/>
            <w:gridSpan w:val="2"/>
            <w:vMerge w:val="continue"/>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Per Share</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Programs (1)</w:t>
            </w: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April 30</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7,763,554</w:t>
            </w:r>
          </w:p>
        </w:tc>
        <w:tc>
          <w:tcPr>
            <w:tcW w:w="1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May 1 - May 31</w:t>
            </w:r>
          </w:p>
        </w:tc>
        <w:tc>
          <w:tcPr>
            <w:tcW w:w="1100" w:type="dxa"/>
            <w:vAlign w:val="bottom"/>
          </w:tcPr>
          <w:p>
            <w:pPr>
              <w:jc w:val="right"/>
              <w:spacing w:after="0"/>
              <w:rPr>
                <w:sz w:val="20"/>
                <w:szCs w:val="20"/>
                <w:color w:val="auto"/>
              </w:rPr>
            </w:pPr>
            <w:r>
              <w:rPr>
                <w:rFonts w:ascii="Arial" w:cs="Arial" w:eastAsia="Arial" w:hAnsi="Arial"/>
                <w:sz w:val="18"/>
                <w:szCs w:val="18"/>
                <w:color w:val="auto"/>
              </w:rPr>
              <w:t>6,841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44.68</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7,770,395</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342,098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60" w:type="dxa"/>
            <w:vAlign w:val="bottom"/>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7,771,395</w:t>
            </w:r>
          </w:p>
        </w:tc>
        <w:tc>
          <w:tcPr>
            <w:tcW w:w="14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16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7,771,395</w:t>
            </w:r>
          </w:p>
        </w:tc>
        <w:tc>
          <w:tcPr>
            <w:tcW w:w="14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Under our 2012 Equity Incentive Plan and 2017 Omnibus Incentive Plan, employees may elect to have us withhold common shares to satisfy statutory federal, state and local tax withholding obligations arising on the vesting of restricted stock awards and exercise of options. When we withhold these shares, we are required to remit to the appropriate taxing authorities the market price of the shares withheld, which could be deemed a purchase of the common shares by us on the date of withholding.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4"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Incorporated by Reference</w:t>
      </w:r>
    </w:p>
    <w:p>
      <w:pPr>
        <w:spacing w:after="0" w:line="17"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to the Exhibit Indicated Below</w:t>
      </w:r>
    </w:p>
    <w:p>
      <w:pPr>
        <w:spacing w:after="0" w:line="13" w:lineRule="exact"/>
        <w:rPr>
          <w:sz w:val="20"/>
          <w:szCs w:val="20"/>
          <w:color w:val="auto"/>
        </w:rPr>
      </w:pPr>
    </w:p>
    <w:p>
      <w:pPr>
        <w:jc w:val="center"/>
        <w:ind w:left="6080"/>
        <w:spacing w:after="0"/>
        <w:rPr>
          <w:sz w:val="20"/>
          <w:szCs w:val="20"/>
          <w:color w:val="auto"/>
        </w:rPr>
      </w:pPr>
      <w:r>
        <w:rPr>
          <w:rFonts w:ascii="Arial" w:cs="Arial" w:eastAsia="Arial" w:hAnsi="Arial"/>
          <w:sz w:val="14"/>
          <w:szCs w:val="14"/>
          <w:b w:val="1"/>
          <w:bCs w:val="1"/>
          <w:color w:val="auto"/>
        </w:rPr>
        <w:t>and to the Filing with the</w:t>
      </w:r>
    </w:p>
    <w:p>
      <w:pPr>
        <w:spacing w:after="0" w:line="1"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Commission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12065</wp:posOffset>
            </wp:positionV>
            <wp:extent cx="1903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p>
      <w:pPr>
        <w:spacing w:after="0" w:line="2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Exhibit</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5314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3.1</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32.2</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101.INS</w:t>
      </w:r>
    </w:p>
    <w:p>
      <w:pPr>
        <w:ind w:left="100"/>
        <w:spacing w:after="0" w:line="219" w:lineRule="auto"/>
        <w:rPr>
          <w:sz w:val="20"/>
          <w:szCs w:val="20"/>
          <w:color w:val="auto"/>
        </w:rPr>
      </w:pPr>
      <w:r>
        <w:rPr>
          <w:rFonts w:ascii="Arial" w:cs="Arial" w:eastAsia="Arial" w:hAnsi="Arial"/>
          <w:sz w:val="18"/>
          <w:szCs w:val="18"/>
          <w:color w:val="auto"/>
        </w:rPr>
        <w:t>101.SCH</w:t>
      </w:r>
    </w:p>
    <w:p>
      <w:pPr>
        <w:ind w:left="80"/>
        <w:spacing w:after="0" w:line="219" w:lineRule="auto"/>
        <w:rPr>
          <w:sz w:val="20"/>
          <w:szCs w:val="20"/>
          <w:color w:val="auto"/>
        </w:rPr>
      </w:pPr>
      <w:r>
        <w:rPr>
          <w:rFonts w:ascii="Arial" w:cs="Arial" w:eastAsia="Arial" w:hAnsi="Arial"/>
          <w:sz w:val="18"/>
          <w:szCs w:val="18"/>
          <w:color w:val="auto"/>
        </w:rPr>
        <w:t>101.CAL</w:t>
      </w:r>
    </w:p>
    <w:p>
      <w:pPr>
        <w:ind w:left="100"/>
        <w:spacing w:after="0" w:line="219" w:lineRule="auto"/>
        <w:rPr>
          <w:sz w:val="20"/>
          <w:szCs w:val="20"/>
          <w:color w:val="auto"/>
        </w:rPr>
      </w:pPr>
      <w:r>
        <w:rPr>
          <w:rFonts w:ascii="Arial" w:cs="Arial" w:eastAsia="Arial" w:hAnsi="Arial"/>
          <w:sz w:val="18"/>
          <w:szCs w:val="18"/>
          <w:color w:val="auto"/>
        </w:rPr>
        <w:t>101.DEF</w:t>
      </w:r>
    </w:p>
    <w:p>
      <w:pPr>
        <w:ind w:left="80"/>
        <w:spacing w:after="0" w:line="219" w:lineRule="auto"/>
        <w:rPr>
          <w:sz w:val="20"/>
          <w:szCs w:val="20"/>
          <w:color w:val="auto"/>
        </w:rPr>
      </w:pPr>
      <w:r>
        <w:rPr>
          <w:rFonts w:ascii="Arial" w:cs="Arial" w:eastAsia="Arial" w:hAnsi="Arial"/>
          <w:sz w:val="18"/>
          <w:szCs w:val="18"/>
          <w:color w:val="auto"/>
        </w:rPr>
        <w:t>101.LAB</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15240</wp:posOffset>
            </wp:positionV>
            <wp:extent cx="2924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 w:lineRule="exact"/>
        <w:rPr>
          <w:sz w:val="20"/>
          <w:szCs w:val="20"/>
          <w:color w:val="auto"/>
        </w:rPr>
      </w:pPr>
    </w:p>
    <w:p>
      <w:pPr>
        <w:ind w:right="160"/>
        <w:spacing w:after="0" w:line="219" w:lineRule="auto"/>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Second Amended and Restated Certificate of Incorporation</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of the Registrant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Certificate of Amendment dated May 21, 1998</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Certificate of Amendment dated July 9, 2003</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Certificate of Amendment dated May 20, 2016</w:t>
        </w:r>
      </w:hyperlink>
    </w:p>
    <w:p>
      <w:pPr>
        <w:spacing w:after="0" w:line="157" w:lineRule="exact"/>
        <w:rPr>
          <w:sz w:val="20"/>
          <w:szCs w:val="20"/>
          <w:color w:val="auto"/>
        </w:rPr>
      </w:pPr>
    </w:p>
    <w:p>
      <w:pPr>
        <w:ind w:right="680"/>
        <w:spacing w:after="0" w:line="228" w:lineRule="auto"/>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Amended and Restated Bylaws of Comfort Systems</w:t>
        </w:r>
      </w:hyperlink>
      <w:r>
        <w:rPr>
          <w:rFonts w:ascii="Arial" w:cs="Arial" w:eastAsia="Arial" w:hAnsi="Arial"/>
          <w:sz w:val="18"/>
          <w:szCs w:val="18"/>
          <w:u w:val="single" w:color="auto"/>
          <w:color w:val="0000EE"/>
        </w:rPr>
        <w:t xml:space="preserve"> </w:t>
      </w:r>
      <w:hyperlink r:id="rId49">
        <w:r>
          <w:rPr>
            <w:rFonts w:ascii="Arial" w:cs="Arial" w:eastAsia="Arial" w:hAnsi="Arial"/>
            <w:sz w:val="18"/>
            <w:szCs w:val="18"/>
            <w:u w:val="single" w:color="auto"/>
            <w:color w:val="0000EE"/>
          </w:rPr>
          <w:t>USA, Inc.</w:t>
        </w:r>
      </w:hyperlink>
    </w:p>
    <w:p>
      <w:pPr>
        <w:spacing w:after="0" w:line="1" w:lineRule="exact"/>
        <w:rPr>
          <w:sz w:val="20"/>
          <w:szCs w:val="20"/>
          <w:color w:val="auto"/>
        </w:rPr>
      </w:pPr>
    </w:p>
    <w:p>
      <w:pPr>
        <w:ind w:right="120"/>
        <w:spacing w:after="0" w:line="189"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Amendment No. 5 to Second Amended and Restated Credit</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Agreement and Amendment to Other Loan Documents</w:t>
        </w:r>
      </w:hyperlink>
      <w:r>
        <w:rPr>
          <w:rFonts w:ascii="Arial" w:cs="Arial" w:eastAsia="Arial" w:hAnsi="Arial"/>
          <w:sz w:val="18"/>
          <w:szCs w:val="18"/>
          <w:u w:val="single" w:color="auto"/>
          <w:color w:val="0000EE"/>
        </w:rPr>
        <w:t xml:space="preserve"> </w:t>
      </w:r>
      <w:hyperlink w:anchor="page188">
        <w:r>
          <w:rPr>
            <w:rFonts w:ascii="Arial" w:cs="Arial" w:eastAsia="Arial" w:hAnsi="Arial"/>
            <w:sz w:val="18"/>
            <w:szCs w:val="18"/>
            <w:u w:val="single" w:color="auto"/>
            <w:color w:val="0000EE"/>
          </w:rPr>
          <w:t>Certification of Chief Executive Officer pursuant to</w:t>
        </w:r>
      </w:hyperlink>
      <w:r>
        <w:rPr>
          <w:rFonts w:ascii="Arial" w:cs="Arial" w:eastAsia="Arial" w:hAnsi="Arial"/>
          <w:sz w:val="18"/>
          <w:szCs w:val="18"/>
          <w:u w:val="single" w:color="auto"/>
          <w:color w:val="0000EE"/>
        </w:rPr>
        <w:t xml:space="preserve"> </w:t>
      </w:r>
      <w:hyperlink w:anchor="page188">
        <w:r>
          <w:rPr>
            <w:rFonts w:ascii="Arial" w:cs="Arial" w:eastAsia="Arial" w:hAnsi="Arial"/>
            <w:sz w:val="18"/>
            <w:szCs w:val="18"/>
            <w:u w:val="single" w:color="auto"/>
            <w:color w:val="0000EE"/>
          </w:rPr>
          <w:t>Section 302 of the Sarbanes</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Oxley Act of 2002</w:t>
        </w:r>
      </w:hyperlink>
      <w:r>
        <w:rPr>
          <w:rFonts w:ascii="Arial" w:cs="Arial" w:eastAsia="Arial" w:hAnsi="Arial"/>
          <w:sz w:val="18"/>
          <w:szCs w:val="18"/>
          <w:u w:val="single" w:color="auto"/>
          <w:color w:val="0000EE"/>
        </w:rPr>
        <w:t xml:space="preserve"> </w:t>
      </w:r>
      <w:hyperlink w:anchor="page189">
        <w:r>
          <w:rPr>
            <w:rFonts w:ascii="Arial" w:cs="Arial" w:eastAsia="Arial" w:hAnsi="Arial"/>
            <w:sz w:val="18"/>
            <w:szCs w:val="18"/>
            <w:u w:val="single" w:color="auto"/>
            <w:color w:val="0000EE"/>
          </w:rPr>
          <w:t>Certification of Chief Financial Officer pursuant to</w:t>
        </w:r>
      </w:hyperlink>
      <w:r>
        <w:rPr>
          <w:rFonts w:ascii="Arial" w:cs="Arial" w:eastAsia="Arial" w:hAnsi="Arial"/>
          <w:sz w:val="18"/>
          <w:szCs w:val="18"/>
          <w:u w:val="single" w:color="auto"/>
          <w:color w:val="0000EE"/>
        </w:rPr>
        <w:t xml:space="preserve"> </w:t>
      </w:r>
      <w:hyperlink w:anchor="page189">
        <w:r>
          <w:rPr>
            <w:rFonts w:ascii="Arial" w:cs="Arial" w:eastAsia="Arial" w:hAnsi="Arial"/>
            <w:sz w:val="18"/>
            <w:szCs w:val="18"/>
            <w:u w:val="single" w:color="auto"/>
            <w:color w:val="0000EE"/>
          </w:rPr>
          <w:t>Section 302 of the Sarbanes</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Oxley Act of 2002</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Certification of Chief Executive Officer pursuant to</w:t>
        </w:r>
      </w:hyperlink>
      <w:r>
        <w:rPr>
          <w:rFonts w:ascii="Arial" w:cs="Arial" w:eastAsia="Arial" w:hAnsi="Arial"/>
          <w:sz w:val="18"/>
          <w:szCs w:val="18"/>
          <w:u w:val="single" w:color="auto"/>
          <w:color w:val="0000EE"/>
        </w:rPr>
        <w:t xml:space="preserve"> </w:t>
      </w:r>
      <w:hyperlink w:anchor="page190">
        <w:r>
          <w:rPr>
            <w:rFonts w:ascii="Arial" w:cs="Arial" w:eastAsia="Arial" w:hAnsi="Arial"/>
            <w:sz w:val="18"/>
            <w:szCs w:val="18"/>
            <w:u w:val="single" w:color="auto"/>
            <w:color w:val="0000EE"/>
          </w:rPr>
          <w:t>Section 906 of the Sarbanes</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Oxley Act of 2002</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Certification of Chief Financial Officer pursuant to</w:t>
        </w:r>
      </w:hyperlink>
      <w:r>
        <w:rPr>
          <w:rFonts w:ascii="Arial" w:cs="Arial" w:eastAsia="Arial" w:hAnsi="Arial"/>
          <w:sz w:val="18"/>
          <w:szCs w:val="18"/>
          <w:u w:val="single" w:color="auto"/>
          <w:color w:val="0000EE"/>
        </w:rPr>
        <w:t xml:space="preserve"> </w:t>
      </w:r>
      <w:hyperlink w:anchor="page191">
        <w:r>
          <w:rPr>
            <w:rFonts w:ascii="Arial" w:cs="Arial" w:eastAsia="Arial" w:hAnsi="Arial"/>
            <w:sz w:val="18"/>
            <w:szCs w:val="18"/>
            <w:u w:val="single" w:color="auto"/>
            <w:color w:val="0000EE"/>
          </w:rPr>
          <w:t>Section 906 of the Sarbanes</w:t>
        </w:r>
        <w:r>
          <w:rPr>
            <w:rFonts w:ascii="MS PGothic" w:cs="MS PGothic" w:eastAsia="MS PGothic" w:hAnsi="MS PGothic"/>
            <w:sz w:val="18"/>
            <w:szCs w:val="18"/>
            <w:u w:val="single" w:color="auto"/>
            <w:color w:val="0000EE"/>
          </w:rPr>
          <w:t>‑</w:t>
        </w:r>
        <w:r>
          <w:rPr>
            <w:rFonts w:ascii="Arial" w:cs="Arial" w:eastAsia="Arial" w:hAnsi="Arial"/>
            <w:sz w:val="18"/>
            <w:szCs w:val="18"/>
            <w:u w:val="single" w:color="auto"/>
            <w:color w:val="0000EE"/>
          </w:rPr>
          <w:t>Oxley Act of 2002</w:t>
        </w:r>
      </w:hyperlink>
    </w:p>
    <w:p>
      <w:pPr>
        <w:spacing w:after="0" w:line="221" w:lineRule="auto"/>
        <w:rPr>
          <w:sz w:val="20"/>
          <w:szCs w:val="20"/>
          <w:color w:val="auto"/>
        </w:rPr>
      </w:pPr>
      <w:r>
        <w:rPr>
          <w:rFonts w:ascii="Arial" w:cs="Arial" w:eastAsia="Arial" w:hAnsi="Arial"/>
          <w:sz w:val="18"/>
          <w:szCs w:val="18"/>
          <w:color w:val="auto"/>
        </w:rPr>
        <w:t>XBRL Instance Document</w:t>
      </w:r>
    </w:p>
    <w:p>
      <w:pPr>
        <w:spacing w:after="0" w:line="219" w:lineRule="auto"/>
        <w:rPr>
          <w:sz w:val="20"/>
          <w:szCs w:val="20"/>
          <w:color w:val="auto"/>
        </w:rPr>
      </w:pPr>
      <w:r>
        <w:rPr>
          <w:rFonts w:ascii="Arial" w:cs="Arial" w:eastAsia="Arial" w:hAnsi="Arial"/>
          <w:sz w:val="18"/>
          <w:szCs w:val="18"/>
          <w:color w:val="auto"/>
        </w:rPr>
        <w:t>XBRL Taxonomy Extension Schema Document</w:t>
      </w:r>
    </w:p>
    <w:p>
      <w:pPr>
        <w:spacing w:after="0" w:line="1" w:lineRule="exact"/>
        <w:rPr>
          <w:rFonts w:ascii="Arial" w:cs="Arial" w:eastAsia="Arial" w:hAnsi="Arial"/>
          <w:sz w:val="18"/>
          <w:szCs w:val="18"/>
          <w:u w:val="single" w:color="auto"/>
          <w:color w:val="0000EE"/>
        </w:rPr>
      </w:pPr>
    </w:p>
    <w:p>
      <w:pPr>
        <w:spacing w:after="0" w:line="259" w:lineRule="auto"/>
        <w:rPr>
          <w:sz w:val="20"/>
          <w:szCs w:val="20"/>
          <w:color w:val="auto"/>
        </w:rPr>
      </w:pPr>
      <w:r>
        <w:rPr>
          <w:rFonts w:ascii="Arial" w:cs="Arial" w:eastAsia="Arial" w:hAnsi="Arial"/>
          <w:sz w:val="16"/>
          <w:szCs w:val="16"/>
          <w:color w:val="auto"/>
        </w:rPr>
        <w:t>XBRL Taxonomy Extension Calculation Linkbase Document XBRL Taxonomy Extension Definition Linkbase Document XBRL Taxonomy Extension Label Linkbase Document XBRL Taxonomy Extension Presentation Linkbase</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-772160</wp:posOffset>
            </wp:positionH>
            <wp:positionV relativeFrom="paragraph">
              <wp:posOffset>52070</wp:posOffset>
            </wp:positionV>
            <wp:extent cx="14408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8"/>
          <w:szCs w:val="18"/>
          <w:u w:val="single" w:color="auto"/>
          <w:color w:val="0000EE"/>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-45720</wp:posOffset>
            </wp:positionH>
            <wp:positionV relativeFrom="paragraph">
              <wp:posOffset>5080</wp:posOffset>
            </wp:positionV>
            <wp:extent cx="4286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3.1</w:t>
      </w:r>
    </w:p>
    <w:p>
      <w:pPr>
        <w:spacing w:after="0" w:line="16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3.2</w:t>
      </w:r>
    </w:p>
    <w:p>
      <w:pPr>
        <w:spacing w:after="0" w:line="23"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3.3</w:t>
      </w:r>
    </w:p>
    <w:p>
      <w:pPr>
        <w:spacing w:after="0" w:line="9"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3.1</w:t>
      </w:r>
    </w:p>
    <w:p>
      <w:pPr>
        <w:spacing w:after="0" w:line="157" w:lineRule="exact"/>
        <w:rPr>
          <w:rFonts w:ascii="Arial" w:cs="Arial" w:eastAsia="Arial" w:hAnsi="Arial"/>
          <w:sz w:val="18"/>
          <w:szCs w:val="18"/>
          <w:u w:val="single" w:color="auto"/>
          <w:color w:val="0000EE"/>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8"/>
          <w:szCs w:val="18"/>
          <w:u w:val="single" w:color="auto"/>
          <w:color w:val="0000EE"/>
        </w:rPr>
      </w:pPr>
    </w:p>
    <w:p>
      <w:pPr>
        <w:jc w:val="center"/>
        <w:ind w:right="259"/>
        <w:spacing w:after="0"/>
        <w:rPr>
          <w:sz w:val="20"/>
          <w:szCs w:val="20"/>
          <w:color w:val="auto"/>
        </w:rPr>
      </w:pPr>
      <w:r>
        <w:rPr>
          <w:rFonts w:ascii="Arial" w:cs="Arial" w:eastAsia="Arial" w:hAnsi="Arial"/>
          <w:sz w:val="14"/>
          <w:szCs w:val="14"/>
          <w:b w:val="1"/>
          <w:bCs w:val="1"/>
          <w:color w:val="auto"/>
        </w:rPr>
        <w:t>Filing or</w:t>
      </w:r>
    </w:p>
    <w:p>
      <w:pPr>
        <w:spacing w:after="0" w:line="6" w:lineRule="exact"/>
        <w:rPr>
          <w:rFonts w:ascii="Arial" w:cs="Arial" w:eastAsia="Arial" w:hAnsi="Arial"/>
          <w:sz w:val="18"/>
          <w:szCs w:val="18"/>
          <w:u w:val="single" w:color="auto"/>
          <w:color w:val="0000EE"/>
        </w:rPr>
      </w:pPr>
    </w:p>
    <w:p>
      <w:pPr>
        <w:jc w:val="center"/>
        <w:ind w:right="259"/>
        <w:spacing w:after="0"/>
        <w:rPr>
          <w:sz w:val="20"/>
          <w:szCs w:val="20"/>
          <w:color w:val="auto"/>
        </w:rPr>
      </w:pPr>
      <w:r>
        <w:rPr>
          <w:rFonts w:ascii="Arial" w:cs="Arial" w:eastAsia="Arial" w:hAnsi="Arial"/>
          <w:sz w:val="14"/>
          <w:szCs w:val="14"/>
          <w:b w:val="1"/>
          <w:bCs w:val="1"/>
          <w:color w:val="auto"/>
        </w:rPr>
        <w:t>File Number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-181610</wp:posOffset>
            </wp:positionH>
            <wp:positionV relativeFrom="paragraph">
              <wp:posOffset>5080</wp:posOffset>
            </wp:positionV>
            <wp:extent cx="1277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ind w:left="320"/>
        <w:spacing w:after="0" w:line="196"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24021</w:t>
      </w:r>
    </w:p>
    <w:p>
      <w:pPr>
        <w:spacing w:after="0" w:line="155" w:lineRule="exact"/>
        <w:rPr>
          <w:rFonts w:ascii="Arial" w:cs="Arial" w:eastAsia="Arial" w:hAnsi="Arial"/>
          <w:sz w:val="18"/>
          <w:szCs w:val="18"/>
          <w:u w:val="single" w:color="auto"/>
          <w:color w:val="0000EE"/>
        </w:rPr>
      </w:pPr>
    </w:p>
    <w:p>
      <w:pPr>
        <w:ind w:left="120"/>
        <w:spacing w:after="0" w:line="207" w:lineRule="exact"/>
        <w:rPr>
          <w:sz w:val="20"/>
          <w:szCs w:val="20"/>
          <w:color w:val="auto"/>
        </w:rPr>
      </w:pPr>
      <w:r>
        <w:rPr>
          <w:rFonts w:ascii="Arial" w:cs="Arial" w:eastAsia="Arial" w:hAnsi="Arial"/>
          <w:sz w:val="18"/>
          <w:szCs w:val="18"/>
          <w:color w:val="auto"/>
        </w:rPr>
        <w:t>1998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 w:lineRule="exact"/>
        <w:rPr>
          <w:rFonts w:ascii="Arial" w:cs="Arial" w:eastAsia="Arial" w:hAnsi="Arial"/>
          <w:sz w:val="18"/>
          <w:szCs w:val="18"/>
          <w:u w:val="single" w:color="auto"/>
          <w:color w:val="0000EE"/>
        </w:rPr>
      </w:pPr>
    </w:p>
    <w:p>
      <w:pPr>
        <w:ind w:left="120"/>
        <w:spacing w:after="0" w:line="207" w:lineRule="exact"/>
        <w:rPr>
          <w:sz w:val="20"/>
          <w:szCs w:val="20"/>
          <w:color w:val="auto"/>
        </w:rPr>
      </w:pPr>
      <w:r>
        <w:rPr>
          <w:rFonts w:ascii="Arial" w:cs="Arial" w:eastAsia="Arial" w:hAnsi="Arial"/>
          <w:sz w:val="18"/>
          <w:szCs w:val="18"/>
          <w:color w:val="auto"/>
        </w:rPr>
        <w:t>2003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ind w:left="220"/>
        <w:spacing w:after="0" w:line="231" w:lineRule="auto"/>
        <w:rPr>
          <w:sz w:val="20"/>
          <w:szCs w:val="20"/>
          <w:color w:val="auto"/>
        </w:rPr>
      </w:pPr>
      <w:r>
        <w:rPr>
          <w:rFonts w:ascii="Arial" w:cs="Arial" w:eastAsia="Arial" w:hAnsi="Arial"/>
          <w:sz w:val="18"/>
          <w:szCs w:val="18"/>
          <w:color w:val="auto"/>
        </w:rPr>
        <w:t>May 20, 2016</w:t>
      </w:r>
    </w:p>
    <w:p>
      <w:pPr>
        <w:jc w:val="center"/>
        <w:ind w:right="259"/>
        <w:spacing w:after="0" w:line="189"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8"/>
          <w:szCs w:val="18"/>
          <w:color w:val="auto"/>
        </w:rPr>
        <w:t>‑</w:t>
      </w:r>
      <w:r>
        <w:rPr>
          <w:rFonts w:ascii="Arial" w:cs="Arial" w:eastAsia="Arial" w:hAnsi="Arial"/>
          <w:sz w:val="18"/>
          <w:szCs w:val="18"/>
          <w:color w:val="auto"/>
        </w:rPr>
        <w:t>K</w:t>
      </w:r>
    </w:p>
    <w:p>
      <w:pPr>
        <w:jc w:val="center"/>
        <w:ind w:right="259"/>
        <w:spacing w:after="0" w:line="220" w:lineRule="auto"/>
        <w:rPr>
          <w:sz w:val="20"/>
          <w:szCs w:val="20"/>
          <w:color w:val="auto"/>
        </w:rPr>
      </w:pPr>
      <w:r>
        <w:rPr>
          <w:rFonts w:ascii="Arial" w:cs="Arial" w:eastAsia="Arial" w:hAnsi="Arial"/>
          <w:sz w:val="18"/>
          <w:szCs w:val="18"/>
          <w:color w:val="auto"/>
        </w:rPr>
        <w:t>March 25, 2016</w:t>
      </w:r>
    </w:p>
    <w:p>
      <w:pPr>
        <w:jc w:val="center"/>
        <w:ind w:right="259"/>
        <w:spacing w:after="0" w:line="189"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8"/>
          <w:szCs w:val="18"/>
          <w:color w:val="auto"/>
        </w:rPr>
        <w:t>‑</w:t>
      </w:r>
      <w:r>
        <w:rPr>
          <w:rFonts w:ascii="Arial" w:cs="Arial" w:eastAsia="Arial" w:hAnsi="Arial"/>
          <w:sz w:val="18"/>
          <w:szCs w:val="18"/>
          <w:color w:val="auto"/>
        </w:rPr>
        <w:t>K</w:t>
      </w:r>
    </w:p>
    <w:p>
      <w:pPr>
        <w:jc w:val="center"/>
        <w:ind w:right="259"/>
        <w:spacing w:after="0" w:line="503" w:lineRule="auto"/>
        <w:rPr>
          <w:sz w:val="20"/>
          <w:szCs w:val="20"/>
          <w:color w:val="auto"/>
        </w:rPr>
      </w:pPr>
      <w:r>
        <w:rPr>
          <w:rFonts w:ascii="Arial" w:cs="Arial" w:eastAsia="Arial" w:hAnsi="Arial"/>
          <w:sz w:val="16"/>
          <w:szCs w:val="16"/>
          <w:color w:val="auto"/>
        </w:rPr>
        <w:t>Filed Herewith Filed Herewith Filed Herewith Furnished Herewith Furnished Herewith</w:t>
      </w:r>
    </w:p>
    <w:p>
      <w:pPr>
        <w:spacing w:after="0" w:line="1335" w:lineRule="exact"/>
        <w:rPr>
          <w:rFonts w:ascii="Arial" w:cs="Arial" w:eastAsia="Arial" w:hAnsi="Arial"/>
          <w:sz w:val="18"/>
          <w:szCs w:val="18"/>
          <w:u w:val="single" w:color="auto"/>
          <w:color w:val="0000EE"/>
        </w:rPr>
      </w:pPr>
    </w:p>
    <w:p>
      <w:pPr>
        <w:sectPr>
          <w:pgSz w:w="11900" w:h="16838" w:orient="portrait"/>
          <w:cols w:equalWidth="0" w:num="4">
            <w:col w:w="840" w:space="380"/>
            <w:col w:w="4440" w:space="480"/>
            <w:col w:w="600" w:space="600"/>
            <w:col w:w="1699"/>
          </w:cols>
          <w:pgMar w:left="1420" w:top="125" w:right="1440" w:bottom="1440" w:gutter="0" w:footer="0" w:header="0"/>
          <w:type w:val="continuous"/>
        </w:sectPr>
      </w:pPr>
    </w:p>
    <w:p>
      <w:pPr>
        <w:spacing w:after="0" w:line="200" w:lineRule="exact"/>
        <w:rPr>
          <w:rFonts w:ascii="Arial" w:cs="Arial" w:eastAsia="Arial" w:hAnsi="Arial"/>
          <w:sz w:val="18"/>
          <w:szCs w:val="18"/>
          <w:u w:val="single" w:color="auto"/>
          <w:color w:val="0000EE"/>
        </w:rPr>
      </w:pPr>
    </w:p>
    <w:p>
      <w:pPr>
        <w:spacing w:after="0" w:line="221" w:lineRule="exact"/>
        <w:rPr>
          <w:rFonts w:ascii="Arial" w:cs="Arial" w:eastAsia="Arial" w:hAnsi="Arial"/>
          <w:sz w:val="18"/>
          <w:szCs w:val="18"/>
          <w:u w:val="single" w:color="auto"/>
          <w:color w:val="0000EE"/>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Comfort Systems USA, Inc.</w:t>
      </w:r>
    </w:p>
    <w:p>
      <w:pPr>
        <w:spacing w:after="0" w:line="171" w:lineRule="exact"/>
        <w:rPr>
          <w:sz w:val="20"/>
          <w:szCs w:val="20"/>
          <w:color w:val="auto"/>
        </w:rPr>
      </w:pPr>
    </w:p>
    <w:p>
      <w:pPr>
        <w:ind w:left="4360" w:right="1540" w:hanging="6391"/>
        <w:spacing w:after="0"/>
        <w:tabs>
          <w:tab w:leader="none" w:pos="434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8"/>
          <w:szCs w:val="18"/>
          <w:color w:val="auto"/>
        </w:rPr>
        <w:t>By: /s/ Brian E. Lane 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-7620</wp:posOffset>
            </wp:positionV>
            <wp:extent cx="2752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57"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155" w:lineRule="exact"/>
        <w:rPr>
          <w:sz w:val="20"/>
          <w:szCs w:val="20"/>
          <w:color w:val="auto"/>
        </w:rPr>
      </w:pPr>
    </w:p>
    <w:p>
      <w:pPr>
        <w:ind w:left="4360" w:right="1460" w:hanging="6316"/>
        <w:spacing w:after="0"/>
        <w:tabs>
          <w:tab w:leader="none" w:pos="434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8"/>
          <w:szCs w:val="18"/>
          <w:color w:val="auto"/>
        </w:rPr>
        <w:t>By: /s/ William George William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-7620</wp:posOffset>
            </wp:positionV>
            <wp:extent cx="2752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57" w:lineRule="exact"/>
        <w:rPr>
          <w:sz w:val="20"/>
          <w:szCs w:val="20"/>
          <w:color w:val="auto"/>
        </w:rPr>
      </w:pPr>
    </w:p>
    <w:p>
      <w:pPr>
        <w:ind w:left="4980"/>
        <w:spacing w:after="0"/>
        <w:rPr>
          <w:sz w:val="20"/>
          <w:szCs w:val="20"/>
          <w:color w:val="auto"/>
        </w:rPr>
      </w:pPr>
      <w:r>
        <w:rPr>
          <w:rFonts w:ascii="Arial" w:cs="Arial" w:eastAsia="Arial" w:hAnsi="Arial"/>
          <w:sz w:val="17"/>
          <w:szCs w:val="17"/>
          <w:i w:val="1"/>
          <w:iCs w:val="1"/>
          <w:color w:val="auto"/>
        </w:rPr>
        <w:t>Executive Vice President and Chief Financial Officer</w:t>
      </w:r>
    </w:p>
    <w:p>
      <w:pPr>
        <w:spacing w:after="0" w:line="167" w:lineRule="exact"/>
        <w:rPr>
          <w:sz w:val="20"/>
          <w:szCs w:val="20"/>
          <w:color w:val="auto"/>
        </w:rPr>
      </w:pPr>
    </w:p>
    <w:p>
      <w:pPr>
        <w:ind w:left="4360" w:right="1520" w:hanging="6373"/>
        <w:spacing w:after="0"/>
        <w:tabs>
          <w:tab w:leader="none" w:pos="4340" w:val="left"/>
        </w:tabs>
        <w:rPr>
          <w:sz w:val="20"/>
          <w:szCs w:val="20"/>
          <w:color w:val="auto"/>
        </w:rPr>
      </w:pPr>
      <w:r>
        <w:rPr>
          <w:rFonts w:ascii="Arial" w:cs="Arial" w:eastAsia="Arial" w:hAnsi="Arial"/>
          <w:sz w:val="18"/>
          <w:szCs w:val="18"/>
          <w:color w:val="auto"/>
        </w:rPr>
        <w:t>July 26, 2018</w:t>
      </w:r>
      <w:r>
        <w:rPr>
          <w:sz w:val="20"/>
          <w:szCs w:val="20"/>
          <w:color w:val="auto"/>
        </w:rPr>
        <w:tab/>
      </w:r>
      <w:r>
        <w:rPr>
          <w:rFonts w:ascii="Arial" w:cs="Arial" w:eastAsia="Arial" w:hAnsi="Arial"/>
          <w:sz w:val="18"/>
          <w:szCs w:val="18"/>
          <w:color w:val="auto"/>
        </w:rPr>
        <w:t>By: /s/ Julie S. Shaeff Julie S. Shaeff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-7620</wp:posOffset>
            </wp:positionV>
            <wp:extent cx="2752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57" w:lineRule="exact"/>
        <w:rPr>
          <w:sz w:val="20"/>
          <w:szCs w:val="20"/>
          <w:color w:val="auto"/>
        </w:rPr>
      </w:pPr>
    </w:p>
    <w:p>
      <w:pPr>
        <w:ind w:left="5040"/>
        <w:spacing w:after="0"/>
        <w:rPr>
          <w:sz w:val="20"/>
          <w:szCs w:val="20"/>
          <w:color w:val="auto"/>
        </w:rPr>
      </w:pPr>
      <w:r>
        <w:rPr>
          <w:rFonts w:ascii="Arial" w:cs="Arial" w:eastAsia="Arial" w:hAnsi="Arial"/>
          <w:sz w:val="17"/>
          <w:szCs w:val="17"/>
          <w:i w:val="1"/>
          <w:iCs w:val="1"/>
          <w:color w:val="auto"/>
        </w:rPr>
        <w:t>Senior Vice President and Chief Accounting Officer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10.1</w:t>
      </w:r>
    </w:p>
    <w:p>
      <w:pPr>
        <w:spacing w:after="0" w:line="24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5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CREDIT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OTHER LOAN DOCUMENTS</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AMENDMENT NO. 5 TO SECOND AMENDED AND RESTATED CREDIT AGREEMENT AND AMENDMENT TO OTHER LOAN DOCUMENTS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April 18, 2018, is among COMFORT SYSTEMS USA,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the other entities identified as Guarantors on the signature pages hereto (the “</w:t>
      </w:r>
      <w:r>
        <w:rPr>
          <w:rFonts w:ascii="Arial" w:cs="Arial" w:eastAsia="Arial" w:hAnsi="Arial"/>
          <w:sz w:val="22"/>
          <w:szCs w:val="22"/>
          <w:u w:val="single" w:color="auto"/>
          <w:color w:val="auto"/>
        </w:rPr>
        <w:t>Guarantors</w:t>
      </w:r>
      <w:r>
        <w:rPr>
          <w:rFonts w:ascii="Arial" w:cs="Arial" w:eastAsia="Arial" w:hAnsi="Arial"/>
          <w:sz w:val="22"/>
          <w:szCs w:val="22"/>
          <w:color w:val="auto"/>
        </w:rPr>
        <w:t>”), the several banks and other financial institutions signatories 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WELLS FARGO BANK, NATIONAL ASSOCIATION, a national banking association, as Agent for the Lenders (the “</w:t>
      </w:r>
      <w:r>
        <w:rPr>
          <w:rFonts w:ascii="Arial" w:cs="Arial" w:eastAsia="Arial" w:hAnsi="Arial"/>
          <w:sz w:val="22"/>
          <w:szCs w:val="22"/>
          <w:u w:val="single" w:color="auto"/>
          <w:color w:val="auto"/>
        </w:rPr>
        <w:t>Agent</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firstLine="648"/>
        <w:spacing w:after="0"/>
        <w:tabs>
          <w:tab w:leader="none" w:pos="146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Borrower, the Lenders and the Agent are parties to a Second Amended and Restated Credit Agreement dated as of July 16, 2010 (as amended, modified and supplemented prior to the date hereof, the “</w:t>
      </w:r>
      <w:r>
        <w:rPr>
          <w:rFonts w:ascii="Arial" w:cs="Arial" w:eastAsia="Arial" w:hAnsi="Arial"/>
          <w:sz w:val="22"/>
          <w:szCs w:val="22"/>
          <w:u w:val="single" w:color="auto"/>
          <w:color w:val="auto"/>
        </w:rPr>
        <w:t>Credit</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Agreemdent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48"/>
        <w:spacing w:after="0"/>
        <w:tabs>
          <w:tab w:leader="none" w:pos="162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Borrower, the Guarantors, and the Agent are parties to a Second Amended and Restated Security Agreement dated as of July 16, 2010 (as amended, modified and supplemented prior to the date hereof, the “</w:t>
      </w:r>
      <w:r>
        <w:rPr>
          <w:rFonts w:ascii="Arial" w:cs="Arial" w:eastAsia="Arial" w:hAnsi="Arial"/>
          <w:sz w:val="22"/>
          <w:szCs w:val="22"/>
          <w:u w:val="single" w:color="auto"/>
          <w:color w:val="auto"/>
        </w:rPr>
        <w:t>Security Agreement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48"/>
        <w:spacing w:after="0"/>
        <w:tabs>
          <w:tab w:leader="none" w:pos="139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Borrower, the Guarantors and the Agent are parties to a Second Amended and Restated Pledge Agreement dated as of July 16, 2010 (as amended, modified and supplemented prior to the date hereof, the “</w:t>
      </w:r>
      <w:r>
        <w:rPr>
          <w:rFonts w:ascii="Arial" w:cs="Arial" w:eastAsia="Arial" w:hAnsi="Arial"/>
          <w:sz w:val="22"/>
          <w:szCs w:val="22"/>
          <w:u w:val="single" w:color="auto"/>
          <w:color w:val="auto"/>
        </w:rPr>
        <w:t>Pledge</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48"/>
        <w:spacing w:after="0"/>
        <w:tabs>
          <w:tab w:leader="none" w:pos="159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Borrower, the Guarantors and the Agent are parties to a Second Amended and Restated Subsidiary Guaranty dated as of July 16, 2010 (as amended, modified and supplemented prior to the date hereof, the “</w:t>
      </w:r>
      <w:r>
        <w:rPr>
          <w:rFonts w:ascii="Arial" w:cs="Arial" w:eastAsia="Arial" w:hAnsi="Arial"/>
          <w:sz w:val="22"/>
          <w:szCs w:val="22"/>
          <w:u w:val="single" w:color="auto"/>
          <w:color w:val="auto"/>
        </w:rPr>
        <w:t>Guaranty</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firstLine="648"/>
        <w:spacing w:after="0"/>
        <w:tabs>
          <w:tab w:leader="none" w:pos="1554"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Borrower and the Guarantors have requested that the Lenders approve this Amendment to amend certain terms and provisions of the Credit Agreement, Security Agreement and Pledge Agreement, as set forth herein.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NOW, THEREFORE, in consideration of the foregoing and the mutual covenants set forth in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Amendment, the Borrower, the Guarantors, the Agent and the Lenders agree as follows:</w:t>
      </w:r>
    </w:p>
    <w:p>
      <w:pPr>
        <w:spacing w:after="0" w:line="182" w:lineRule="exact"/>
        <w:rPr>
          <w:sz w:val="20"/>
          <w:szCs w:val="20"/>
          <w:color w:val="auto"/>
        </w:rPr>
      </w:pPr>
    </w:p>
    <w:p>
      <w:pPr>
        <w:ind w:firstLine="648"/>
        <w:spacing w:after="0" w:line="256" w:lineRule="auto"/>
        <w:tabs>
          <w:tab w:leader="none" w:pos="1594"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Defined Terms</w:t>
      </w:r>
      <w:r>
        <w:rPr>
          <w:rFonts w:ascii="Arial" w:cs="Arial" w:eastAsia="Arial" w:hAnsi="Arial"/>
          <w:sz w:val="22"/>
          <w:szCs w:val="22"/>
          <w:color w:val="auto"/>
        </w:rPr>
        <w:t>. Unless otherwise defined in this Amendment, capitalized terms used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have the meanings assigned to those terms in the Credit Agreement.</w:t>
      </w:r>
    </w:p>
    <w:p>
      <w:pPr>
        <w:spacing w:after="0" w:line="162" w:lineRule="exact"/>
        <w:rPr>
          <w:rFonts w:ascii="Arial" w:cs="Arial" w:eastAsia="Arial" w:hAnsi="Arial"/>
          <w:sz w:val="22"/>
          <w:szCs w:val="22"/>
          <w:color w:val="auto"/>
        </w:rPr>
      </w:pPr>
    </w:p>
    <w:p>
      <w:pPr>
        <w:ind w:left="1300" w:hanging="652"/>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Credit Agreement</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296"/>
        <w:spacing w:after="0" w:line="251" w:lineRule="auto"/>
        <w:tabs>
          <w:tab w:leader="none" w:pos="2167"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Credit Agreement is hereby amended to read in its entirety as set forth on Annex I attached to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329565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35" w:name="page36"/>
    <w:bookmarkEnd w:id="35"/>
    <w:p>
      <w:pPr>
        <w:ind w:firstLine="1296"/>
        <w:spacing w:after="0" w:line="251" w:lineRule="auto"/>
        <w:tabs>
          <w:tab w:leader="none" w:pos="2159"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Pricing Schedule to the Credit Agreement is hereby replaced in its entirety with the Pricing Schedule attached to this Amendment.</w:t>
      </w:r>
    </w:p>
    <w:p>
      <w:pPr>
        <w:spacing w:after="0" w:line="173" w:lineRule="exact"/>
        <w:rPr>
          <w:rFonts w:ascii="Arial" w:cs="Arial" w:eastAsia="Arial" w:hAnsi="Arial"/>
          <w:sz w:val="22"/>
          <w:szCs w:val="22"/>
          <w:color w:val="auto"/>
        </w:rPr>
      </w:pPr>
    </w:p>
    <w:p>
      <w:pPr>
        <w:ind w:left="1960" w:hanging="664"/>
        <w:spacing w:after="0"/>
        <w:tabs>
          <w:tab w:leader="none" w:pos="19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Credit Agreement is hereby amended to add Exhibit 1.1 thereto with Exhibit 1.1 attached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this Amendment.</w:t>
      </w:r>
    </w:p>
    <w:p>
      <w:pPr>
        <w:spacing w:after="0" w:line="188" w:lineRule="exact"/>
        <w:rPr>
          <w:rFonts w:ascii="Arial" w:cs="Arial" w:eastAsia="Arial" w:hAnsi="Arial"/>
          <w:sz w:val="19"/>
          <w:szCs w:val="19"/>
          <w:color w:val="auto"/>
        </w:rPr>
      </w:pPr>
    </w:p>
    <w:p>
      <w:pPr>
        <w:jc w:val="both"/>
        <w:ind w:firstLine="1296"/>
        <w:spacing w:after="0"/>
        <w:tabs>
          <w:tab w:leader="none" w:pos="1999" w:val="left"/>
        </w:tabs>
        <w:numPr>
          <w:ilvl w:val="0"/>
          <w:numId w:val="8"/>
        </w:numPr>
        <w:rPr>
          <w:rFonts w:ascii="Arial" w:cs="Arial" w:eastAsia="Arial" w:hAnsi="Arial"/>
          <w:sz w:val="22"/>
          <w:szCs w:val="22"/>
          <w:color w:val="auto"/>
        </w:rPr>
      </w:pPr>
      <w:r>
        <w:rPr>
          <w:rFonts w:ascii="Arial" w:cs="Arial" w:eastAsia="Arial" w:hAnsi="Arial"/>
          <w:sz w:val="22"/>
          <w:szCs w:val="22"/>
          <w:color w:val="auto"/>
        </w:rPr>
        <w:t>Schedule 3.1 to the Credit Agreement and Sections 5.13 and 5.14 of Schedule 5 to the Credit Agreement are hereby replaced in their entirety with Schedule 3.1 and Sections 5.13 and 5.14 of Schedule 5 attached to this Amendment.</w:t>
      </w:r>
    </w:p>
    <w:p>
      <w:pPr>
        <w:sectPr>
          <w:pgSz w:w="11900" w:h="16838" w:orient="portrait"/>
          <w:cols w:equalWidth="0" w:num="1">
            <w:col w:w="10060"/>
          </w:cols>
          <w:pgMar w:left="920" w:top="118" w:right="919" w:bottom="1440" w:gutter="0" w:footer="0" w:header="0"/>
        </w:sectPr>
      </w:pPr>
    </w:p>
    <w:p>
      <w:pPr>
        <w:spacing w:after="0" w:line="180" w:lineRule="exact"/>
        <w:rPr>
          <w:sz w:val="20"/>
          <w:szCs w:val="20"/>
          <w:color w:val="auto"/>
        </w:rPr>
      </w:pPr>
    </w:p>
    <w:p>
      <w:pPr>
        <w:jc w:val="both"/>
        <w:ind w:firstLine="648"/>
        <w:spacing w:after="0" w:line="261" w:lineRule="auto"/>
        <w:tabs>
          <w:tab w:leader="none" w:pos="1459" w:val="left"/>
        </w:tabs>
        <w:numPr>
          <w:ilvl w:val="0"/>
          <w:numId w:val="9"/>
        </w:numPr>
        <w:rPr>
          <w:rFonts w:ascii="Arial" w:cs="Arial" w:eastAsia="Arial" w:hAnsi="Arial"/>
          <w:sz w:val="21"/>
          <w:szCs w:val="21"/>
          <w:color w:val="auto"/>
        </w:rPr>
      </w:pPr>
      <w:r>
        <w:rPr>
          <w:rFonts w:ascii="Arial" w:cs="Arial" w:eastAsia="Arial" w:hAnsi="Arial"/>
          <w:sz w:val="21"/>
          <w:szCs w:val="21"/>
          <w:b w:val="1"/>
          <w:bCs w:val="1"/>
          <w:u w:val="single" w:color="auto"/>
          <w:color w:val="auto"/>
        </w:rPr>
        <w:t>Amendment to Security Agreement</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replaced in their entirety with Schedules I and III to attached to this Amendment.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hanging="9"/>
        <w:spacing w:after="0" w:line="328" w:lineRule="auto"/>
        <w:rPr>
          <w:sz w:val="20"/>
          <w:szCs w:val="20"/>
          <w:color w:val="auto"/>
        </w:rPr>
      </w:pPr>
      <w:r>
        <w:rPr>
          <w:rFonts w:ascii="Arial" w:cs="Arial" w:eastAsia="Arial" w:hAnsi="Arial"/>
          <w:sz w:val="19"/>
          <w:szCs w:val="19"/>
          <w:color w:val="auto"/>
        </w:rPr>
        <w:t>Schedules I and III to the Security Agreement are hereby the Second Amended and Restated Security Agreement</w:t>
      </w:r>
    </w:p>
    <w:p>
      <w:pPr>
        <w:spacing w:after="0" w:line="342" w:lineRule="exact"/>
        <w:rPr>
          <w:sz w:val="20"/>
          <w:szCs w:val="20"/>
          <w:color w:val="auto"/>
        </w:rPr>
      </w:pPr>
    </w:p>
    <w:p>
      <w:pPr>
        <w:sectPr>
          <w:pgSz w:w="11900" w:h="16838" w:orient="portrait"/>
          <w:cols w:equalWidth="0" w:num="2">
            <w:col w:w="4880" w:space="100"/>
            <w:col w:w="5080"/>
          </w:cols>
          <w:pgMar w:left="920" w:top="118" w:right="919" w:bottom="1440" w:gutter="0" w:footer="0" w:header="0"/>
          <w:type w:val="continuous"/>
        </w:sectPr>
      </w:pPr>
    </w:p>
    <w:p>
      <w:pPr>
        <w:ind w:firstLine="648"/>
        <w:spacing w:after="0" w:line="335" w:lineRule="auto"/>
        <w:tabs>
          <w:tab w:leader="none" w:pos="1391" w:val="left"/>
        </w:tabs>
        <w:numPr>
          <w:ilvl w:val="0"/>
          <w:numId w:val="10"/>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to Pledge Agreement</w:t>
      </w:r>
      <w:r>
        <w:rPr>
          <w:rFonts w:ascii="Arial" w:cs="Arial" w:eastAsia="Arial" w:hAnsi="Arial"/>
          <w:sz w:val="19"/>
          <w:szCs w:val="19"/>
          <w:color w:val="auto"/>
        </w:rPr>
        <w:t>. Schedule I to the Pledge Agreement is hereby replaced in its</w:t>
      </w:r>
      <w:r>
        <w:rPr>
          <w:rFonts w:ascii="Arial" w:cs="Arial" w:eastAsia="Arial" w:hAnsi="Arial"/>
          <w:sz w:val="19"/>
          <w:szCs w:val="19"/>
          <w:b w:val="1"/>
          <w:bCs w:val="1"/>
          <w:color w:val="auto"/>
        </w:rPr>
        <w:t xml:space="preserve"> </w:t>
      </w:r>
      <w:r>
        <w:rPr>
          <w:rFonts w:ascii="Arial" w:cs="Arial" w:eastAsia="Arial" w:hAnsi="Arial"/>
          <w:sz w:val="19"/>
          <w:szCs w:val="19"/>
          <w:color w:val="auto"/>
        </w:rPr>
        <w:t>entirety with Schedule I to the Second Amended and Restated Pledge Agreement attached to this Amendment.</w:t>
      </w:r>
    </w:p>
    <w:p>
      <w:pPr>
        <w:spacing w:after="0" w:line="92" w:lineRule="exact"/>
        <w:rPr>
          <w:rFonts w:ascii="Arial" w:cs="Arial" w:eastAsia="Arial" w:hAnsi="Arial"/>
          <w:sz w:val="19"/>
          <w:szCs w:val="19"/>
          <w:color w:val="auto"/>
        </w:rPr>
      </w:pPr>
    </w:p>
    <w:p>
      <w:pPr>
        <w:ind w:firstLine="648"/>
        <w:spacing w:after="0" w:line="256" w:lineRule="auto"/>
        <w:tabs>
          <w:tab w:leader="none" w:pos="1364"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Joinder of New Subsidiaries</w:t>
      </w:r>
      <w:r>
        <w:rPr>
          <w:rFonts w:ascii="Arial" w:cs="Arial" w:eastAsia="Arial" w:hAnsi="Arial"/>
          <w:sz w:val="22"/>
          <w:szCs w:val="22"/>
          <w:color w:val="auto"/>
        </w:rPr>
        <w:t>. Each of (i) Advance Technology, Inc., a Maine corporation, and (ii)</w:t>
      </w:r>
      <w:r>
        <w:rPr>
          <w:rFonts w:ascii="Arial" w:cs="Arial" w:eastAsia="Arial" w:hAnsi="Arial"/>
          <w:sz w:val="22"/>
          <w:szCs w:val="22"/>
          <w:b w:val="1"/>
          <w:bCs w:val="1"/>
          <w:color w:val="auto"/>
        </w:rPr>
        <w:t xml:space="preserve"> </w:t>
      </w:r>
      <w:r>
        <w:rPr>
          <w:rFonts w:ascii="Arial" w:cs="Arial" w:eastAsia="Arial" w:hAnsi="Arial"/>
          <w:sz w:val="22"/>
          <w:szCs w:val="22"/>
          <w:color w:val="auto"/>
        </w:rPr>
        <w:t>Arstectum, Inc., a New Hampshire corporation (each a “</w:t>
      </w:r>
      <w:r>
        <w:rPr>
          <w:rFonts w:ascii="Arial" w:cs="Arial" w:eastAsia="Arial" w:hAnsi="Arial"/>
          <w:sz w:val="22"/>
          <w:szCs w:val="22"/>
          <w:u w:val="single" w:color="auto"/>
          <w:color w:val="auto"/>
        </w:rPr>
        <w:t>New Subsidiary</w:t>
      </w:r>
      <w:r>
        <w:rPr>
          <w:rFonts w:ascii="Arial" w:cs="Arial" w:eastAsia="Arial" w:hAnsi="Arial"/>
          <w:sz w:val="22"/>
          <w:szCs w:val="22"/>
          <w:color w:val="auto"/>
        </w:rPr>
        <w:t>”) hereby:</w:t>
      </w:r>
    </w:p>
    <w:p>
      <w:pPr>
        <w:spacing w:after="0" w:line="168" w:lineRule="exact"/>
        <w:rPr>
          <w:rFonts w:ascii="Arial" w:cs="Arial" w:eastAsia="Arial" w:hAnsi="Arial"/>
          <w:sz w:val="22"/>
          <w:szCs w:val="22"/>
          <w:color w:val="auto"/>
        </w:rPr>
      </w:pPr>
    </w:p>
    <w:p>
      <w:pPr>
        <w:jc w:val="both"/>
        <w:ind w:firstLine="1296"/>
        <w:spacing w:after="0" w:line="282" w:lineRule="auto"/>
        <w:tabs>
          <w:tab w:leader="none" w:pos="2003" w:val="left"/>
        </w:tabs>
        <w:numPr>
          <w:ilvl w:val="1"/>
          <w:numId w:val="10"/>
        </w:numPr>
        <w:rPr>
          <w:rFonts w:ascii="Arial" w:cs="Arial" w:eastAsia="Arial" w:hAnsi="Arial"/>
          <w:sz w:val="19"/>
          <w:szCs w:val="19"/>
          <w:color w:val="auto"/>
        </w:rPr>
      </w:pPr>
      <w:r>
        <w:rPr>
          <w:rFonts w:ascii="Arial" w:cs="Arial" w:eastAsia="Arial" w:hAnsi="Arial"/>
          <w:sz w:val="19"/>
          <w:szCs w:val="19"/>
          <w:color w:val="auto"/>
        </w:rPr>
        <w:t>(i) joins the Guaranty as a party thereto and assumes all of the obligations of a Guarantor (as defined in the Guaranty) under the Guaranty, (ii) agrees to be bound by the provisions of the Guaranty as if such New Subsidiary had been an original party to the Guaranty and (iii) confirms that, after joining the Guaranty as set forth herein, the representations and warranties sent forth in the Guaranty with respect to such New Subsidiary are true and correct in all material respects as of the date of this Amendment;</w:t>
      </w:r>
    </w:p>
    <w:p>
      <w:pPr>
        <w:spacing w:after="0" w:line="147" w:lineRule="exact"/>
        <w:rPr>
          <w:rFonts w:ascii="Arial" w:cs="Arial" w:eastAsia="Arial" w:hAnsi="Arial"/>
          <w:sz w:val="19"/>
          <w:szCs w:val="19"/>
          <w:color w:val="auto"/>
        </w:rPr>
      </w:pPr>
    </w:p>
    <w:p>
      <w:pPr>
        <w:jc w:val="both"/>
        <w:ind w:firstLine="1296"/>
        <w:spacing w:after="0" w:line="279" w:lineRule="auto"/>
        <w:tabs>
          <w:tab w:leader="none" w:pos="2116" w:val="left"/>
        </w:tabs>
        <w:numPr>
          <w:ilvl w:val="1"/>
          <w:numId w:val="10"/>
        </w:numPr>
        <w:rPr>
          <w:rFonts w:ascii="Arial" w:cs="Arial" w:eastAsia="Arial" w:hAnsi="Arial"/>
          <w:sz w:val="19"/>
          <w:szCs w:val="19"/>
          <w:color w:val="auto"/>
        </w:rPr>
      </w:pPr>
      <w:r>
        <w:rPr>
          <w:rFonts w:ascii="Arial" w:cs="Arial" w:eastAsia="Arial" w:hAnsi="Arial"/>
          <w:sz w:val="19"/>
          <w:szCs w:val="19"/>
          <w:color w:val="auto"/>
        </w:rPr>
        <w:t>(i) joins the Security Agreement as a party thereto and assumes all of the obligations of a Grantor (as defined in the Security Agreement) under the Security Agreement, (ii) grants the security interests described in and agrees to be bound by the provisions of the Security Agreement as if such New Subsidiary had been an original party to the Security Agreement and (iii) confirms that, after joining the Security Agreement as set forth herein, the representations and warranties sent forth in the Security Agreement with respect to such New Subsidiary are true and correct in all material respects as of the date of this Amendment; and</w:t>
      </w:r>
    </w:p>
    <w:p>
      <w:pPr>
        <w:spacing w:after="0" w:line="150" w:lineRule="exact"/>
        <w:rPr>
          <w:rFonts w:ascii="Arial" w:cs="Arial" w:eastAsia="Arial" w:hAnsi="Arial"/>
          <w:sz w:val="19"/>
          <w:szCs w:val="19"/>
          <w:color w:val="auto"/>
        </w:rPr>
      </w:pPr>
    </w:p>
    <w:p>
      <w:pPr>
        <w:jc w:val="both"/>
        <w:ind w:firstLine="1296"/>
        <w:spacing w:after="0" w:line="279" w:lineRule="auto"/>
        <w:tabs>
          <w:tab w:leader="none" w:pos="2149" w:val="left"/>
        </w:tabs>
        <w:numPr>
          <w:ilvl w:val="1"/>
          <w:numId w:val="10"/>
        </w:numPr>
        <w:rPr>
          <w:rFonts w:ascii="Arial" w:cs="Arial" w:eastAsia="Arial" w:hAnsi="Arial"/>
          <w:sz w:val="19"/>
          <w:szCs w:val="19"/>
          <w:color w:val="auto"/>
        </w:rPr>
      </w:pPr>
      <w:r>
        <w:rPr>
          <w:rFonts w:ascii="Arial" w:cs="Arial" w:eastAsia="Arial" w:hAnsi="Arial"/>
          <w:sz w:val="19"/>
          <w:szCs w:val="19"/>
          <w:color w:val="auto"/>
        </w:rPr>
        <w:t>(i) joins the Pledge Agreement as a party thereto and assumes all of the obligations of a Pledgor (as defined in the Pledge Agreement) under the Pledge Agreement, (ii) grants the security interests described in and agrees to be bound by the provisions of the Pledge Agreement as if such New Subsidiary had been an original party to the Pledge Agreement and (iii) confirms that, after joining the Pledge Agreement as set forth herein, the representations and warranties sent forth in the Pledge Agreement with respect to such New Subsidiary are true and correct in all material respects as of the date of this Amendment.</w:t>
      </w:r>
    </w:p>
    <w:p>
      <w:pPr>
        <w:spacing w:after="0" w:line="144" w:lineRule="exact"/>
        <w:rPr>
          <w:rFonts w:ascii="Arial" w:cs="Arial" w:eastAsia="Arial" w:hAnsi="Arial"/>
          <w:sz w:val="19"/>
          <w:szCs w:val="19"/>
          <w:color w:val="auto"/>
        </w:rPr>
      </w:pPr>
    </w:p>
    <w:p>
      <w:pPr>
        <w:ind w:firstLine="648"/>
        <w:spacing w:after="0" w:line="256" w:lineRule="auto"/>
        <w:tabs>
          <w:tab w:leader="none" w:pos="1324" w:val="left"/>
        </w:tabs>
        <w:numPr>
          <w:ilvl w:val="0"/>
          <w:numId w:val="10"/>
        </w:numPr>
        <w:rPr>
          <w:rFonts w:ascii="Arial" w:cs="Arial" w:eastAsia="Arial" w:hAnsi="Arial"/>
          <w:sz w:val="22"/>
          <w:szCs w:val="22"/>
          <w:color w:val="auto"/>
        </w:rPr>
      </w:pPr>
      <w:r>
        <w:rPr>
          <w:rFonts w:ascii="Arial" w:cs="Arial" w:eastAsia="Arial" w:hAnsi="Arial"/>
          <w:sz w:val="22"/>
          <w:szCs w:val="22"/>
          <w:b w:val="1"/>
          <w:bCs w:val="1"/>
          <w:u w:val="single" w:color="auto"/>
          <w:color w:val="auto"/>
        </w:rPr>
        <w:t>Conditions to Effectiveness</w:t>
      </w:r>
      <w:r>
        <w:rPr>
          <w:rFonts w:ascii="Arial" w:cs="Arial" w:eastAsia="Arial" w:hAnsi="Arial"/>
          <w:sz w:val="22"/>
          <w:szCs w:val="22"/>
          <w:color w:val="auto"/>
        </w:rPr>
        <w:t>. This Amendment will become effective on the date that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conditions have been satisfied or waived: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type w:val="continuous"/>
        </w:sectPr>
      </w:pPr>
    </w:p>
    <w:bookmarkStart w:id="36" w:name="page37"/>
    <w:bookmarkEnd w:id="36"/>
    <w:p>
      <w:pPr>
        <w:ind w:firstLine="1296"/>
        <w:spacing w:after="0" w:line="251" w:lineRule="auto"/>
        <w:tabs>
          <w:tab w:leader="none" w:pos="1969"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Agent shall have received counterparts of this Amendment, executed and delivered by the Borrower, the Guarantors, the Agent and the Lenders;</w:t>
      </w:r>
    </w:p>
    <w:p>
      <w:pPr>
        <w:spacing w:after="0" w:line="173" w:lineRule="exact"/>
        <w:rPr>
          <w:rFonts w:ascii="Arial" w:cs="Arial" w:eastAsia="Arial" w:hAnsi="Arial"/>
          <w:sz w:val="22"/>
          <w:szCs w:val="22"/>
          <w:color w:val="auto"/>
        </w:rPr>
      </w:pPr>
    </w:p>
    <w:p>
      <w:pPr>
        <w:jc w:val="both"/>
        <w:ind w:firstLine="1296"/>
        <w:spacing w:after="0"/>
        <w:tabs>
          <w:tab w:leader="none" w:pos="2084"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Agent shall have received a Revolving Note for each Lender that requests a Revolving Note substantially in the form of Exhibit 2.1 to the Credit Agreement in the principal amount of each such Lender’s Revolving Loan Commitment as set forth on Schedule 3.1 attached hereto;</w:t>
      </w:r>
    </w:p>
    <w:p>
      <w:pPr>
        <w:spacing w:after="0" w:line="186" w:lineRule="exact"/>
        <w:rPr>
          <w:rFonts w:ascii="Arial" w:cs="Arial" w:eastAsia="Arial" w:hAnsi="Arial"/>
          <w:sz w:val="22"/>
          <w:szCs w:val="22"/>
          <w:color w:val="auto"/>
        </w:rPr>
      </w:pPr>
    </w:p>
    <w:p>
      <w:pPr>
        <w:ind w:firstLine="1296"/>
        <w:spacing w:after="0" w:line="251" w:lineRule="auto"/>
        <w:tabs>
          <w:tab w:leader="none" w:pos="2086"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representations and warranties of the Borrower and the Guarantors in Section 7 of this Amendment shall be true and correct;</w:t>
      </w:r>
    </w:p>
    <w:p>
      <w:pPr>
        <w:spacing w:after="0" w:line="173" w:lineRule="exact"/>
        <w:rPr>
          <w:rFonts w:ascii="Arial" w:cs="Arial" w:eastAsia="Arial" w:hAnsi="Arial"/>
          <w:sz w:val="22"/>
          <w:szCs w:val="22"/>
          <w:color w:val="auto"/>
        </w:rPr>
      </w:pPr>
    </w:p>
    <w:p>
      <w:pPr>
        <w:jc w:val="both"/>
        <w:ind w:firstLine="1296"/>
        <w:spacing w:after="0"/>
        <w:tabs>
          <w:tab w:leader="none" w:pos="2069"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Agent shall have received, or shall concurrently receive, payment of all fees payable in connection with this Amendment including, without limitation, the fees payable to pursuant to that certain Fee Letter dated March 1, 2018;</w:t>
      </w:r>
    </w:p>
    <w:p>
      <w:pPr>
        <w:spacing w:after="0" w:line="186" w:lineRule="exact"/>
        <w:rPr>
          <w:rFonts w:ascii="Arial" w:cs="Arial" w:eastAsia="Arial" w:hAnsi="Arial"/>
          <w:sz w:val="22"/>
          <w:szCs w:val="22"/>
          <w:color w:val="auto"/>
        </w:rPr>
      </w:pPr>
    </w:p>
    <w:p>
      <w:pPr>
        <w:ind w:left="2020" w:hanging="724"/>
        <w:spacing w:after="0"/>
        <w:tabs>
          <w:tab w:leader="none" w:pos="20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Agent shall have received the following certificates of Borrower and, as appropriate,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Guarantors:</w:t>
      </w:r>
    </w:p>
    <w:p>
      <w:pPr>
        <w:spacing w:after="0" w:line="188" w:lineRule="exact"/>
        <w:rPr>
          <w:sz w:val="20"/>
          <w:szCs w:val="20"/>
          <w:color w:val="auto"/>
        </w:rPr>
      </w:pPr>
    </w:p>
    <w:p>
      <w:pPr>
        <w:jc w:val="both"/>
        <w:ind w:left="1940" w:hanging="644"/>
        <w:spacing w:after="0" w:line="273" w:lineRule="auto"/>
        <w:tabs>
          <w:tab w:leader="none" w:pos="2041"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 “Omnibus Certificate” of the Secretary or Assistant Secretary of the Borrower and each Guarantor, which shall (i) contain the names and signatures of the officers of the Borrower and each Guarantor authorized to execute Loan Documents, (ii) certify that there have been no changes to the charter documents or bylaws of the Borrower and each Guarantor previously delivered to the Agent (or, to the extent any such documents have changed, attach and certify to the truth, correctness and completeness of such documents) and (iii) attach and certify to the truth, correctness and completeness of a copy of resolutions duly adopted by the Board of Directors of the Borrower and each Guarantor and in full force and effect at the time this Amendment is entered into, authorizing the execution of this Amendment and the other Loan Documents delivered or to be delivered in connection herewith and the consummation of the transactions contemplated herein and therein; and</w:t>
      </w:r>
    </w:p>
    <w:p>
      <w:pPr>
        <w:spacing w:after="0" w:line="156" w:lineRule="exact"/>
        <w:rPr>
          <w:rFonts w:ascii="Arial" w:cs="Arial" w:eastAsia="Arial" w:hAnsi="Arial"/>
          <w:sz w:val="19"/>
          <w:szCs w:val="19"/>
          <w:color w:val="auto"/>
        </w:rPr>
      </w:pPr>
    </w:p>
    <w:p>
      <w:pPr>
        <w:jc w:val="both"/>
        <w:ind w:left="1940" w:hanging="644"/>
        <w:spacing w:after="0" w:line="235" w:lineRule="auto"/>
        <w:tabs>
          <w:tab w:leader="none" w:pos="2053" w:val="left"/>
        </w:tabs>
        <w:numPr>
          <w:ilvl w:val="0"/>
          <w:numId w:val="12"/>
        </w:numPr>
        <w:rPr>
          <w:rFonts w:ascii="Arial" w:cs="Arial" w:eastAsia="Arial" w:hAnsi="Arial"/>
          <w:sz w:val="22"/>
          <w:szCs w:val="22"/>
          <w:color w:val="auto"/>
        </w:rPr>
      </w:pPr>
      <w:r>
        <w:rPr>
          <w:rFonts w:ascii="Arial" w:cs="Arial" w:eastAsia="Arial" w:hAnsi="Arial"/>
          <w:sz w:val="22"/>
          <w:szCs w:val="22"/>
          <w:color w:val="auto"/>
        </w:rPr>
        <w:t>a “Closing Certificate” of the chief financial officer of the Borrower, as of the date of this Amendment, certifying that (A) the conditions set out in subsections (a) and (b) of Section 4.2 of the Credit Agreement have been satisfied and (B) the financial information of the Borrower most recently delivered to the Agent pursuant to Section 6.2(b) of the Credit Agreement fairly present the Consolidated financial position of the Borrower for the periods covered thereby;</w:t>
      </w:r>
    </w:p>
    <w:p>
      <w:pPr>
        <w:spacing w:after="0" w:line="188" w:lineRule="exact"/>
        <w:rPr>
          <w:sz w:val="20"/>
          <w:szCs w:val="20"/>
          <w:color w:val="auto"/>
        </w:rPr>
      </w:pPr>
    </w:p>
    <w:p>
      <w:pPr>
        <w:jc w:val="both"/>
        <w:ind w:firstLine="1296"/>
        <w:spacing w:after="0" w:line="297" w:lineRule="auto"/>
        <w:tabs>
          <w:tab w:leader="none" w:pos="1978"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certificate of existence and good standing for the Borrower issued by the Secretary of State of Delaware, a certificate of due qualification to do business for the Borrower issued by the Secretary of State of Texas and evidence that the Borrower’s authority to transact business in the State of Texas is active;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37" w:name="page38"/>
    <w:bookmarkEnd w:id="37"/>
    <w:p>
      <w:pPr>
        <w:jc w:val="both"/>
        <w:ind w:firstLine="1296"/>
        <w:spacing w:after="0" w:line="241" w:lineRule="auto"/>
        <w:tabs>
          <w:tab w:leader="none" w:pos="2253" w:val="left"/>
        </w:tabs>
        <w:numPr>
          <w:ilvl w:val="1"/>
          <w:numId w:val="14"/>
        </w:numPr>
        <w:rPr>
          <w:rFonts w:ascii="Arial" w:cs="Arial" w:eastAsia="Arial" w:hAnsi="Arial"/>
          <w:sz w:val="22"/>
          <w:szCs w:val="22"/>
          <w:color w:val="auto"/>
        </w:rPr>
      </w:pPr>
      <w:r>
        <w:rPr>
          <w:rFonts w:ascii="Arial" w:cs="Arial" w:eastAsia="Arial" w:hAnsi="Arial"/>
          <w:sz w:val="22"/>
          <w:szCs w:val="22"/>
          <w:color w:val="auto"/>
        </w:rPr>
        <w:t>a favorable opinion of (i) Bracewell LLP, counsel for Restricted Persons, in form and substance reasonably satisfactory to the Agent; and (ii) Trent McKenna, in-house counsel for Restricted Persons, in form and substance reasonably satisfactory to the Agent; and</w:t>
      </w:r>
    </w:p>
    <w:p>
      <w:pPr>
        <w:spacing w:after="0" w:line="183" w:lineRule="exact"/>
        <w:rPr>
          <w:rFonts w:ascii="Arial" w:cs="Arial" w:eastAsia="Arial" w:hAnsi="Arial"/>
          <w:sz w:val="22"/>
          <w:szCs w:val="22"/>
          <w:color w:val="auto"/>
        </w:rPr>
      </w:pPr>
    </w:p>
    <w:p>
      <w:pPr>
        <w:jc w:val="both"/>
        <w:ind w:firstLine="1296"/>
        <w:spacing w:after="0" w:line="297" w:lineRule="auto"/>
        <w:tabs>
          <w:tab w:leader="none" w:pos="2094"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Agent shall have received, in form and substance reasonably satisfactory to the Agent, projections prepared by management of balance sheets, income statements and cashflow statements of the Borrower and its Subsidiaries for the Fiscal Years ending December 31, 2018 through December 31, 2022.</w:t>
      </w:r>
    </w:p>
    <w:p>
      <w:pPr>
        <w:spacing w:after="0" w:line="128" w:lineRule="exact"/>
        <w:rPr>
          <w:rFonts w:ascii="Arial" w:cs="Arial" w:eastAsia="Arial" w:hAnsi="Arial"/>
          <w:sz w:val="19"/>
          <w:szCs w:val="19"/>
          <w:color w:val="auto"/>
        </w:rPr>
      </w:pPr>
    </w:p>
    <w:p>
      <w:pPr>
        <w:ind w:firstLine="648"/>
        <w:spacing w:after="0" w:line="256" w:lineRule="auto"/>
        <w:tabs>
          <w:tab w:leader="none" w:pos="1351"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Representations and Warranties</w:t>
      </w:r>
      <w:r>
        <w:rPr>
          <w:rFonts w:ascii="Arial" w:cs="Arial" w:eastAsia="Arial" w:hAnsi="Arial"/>
          <w:sz w:val="22"/>
          <w:szCs w:val="22"/>
          <w:color w:val="auto"/>
        </w:rPr>
        <w:t>. The Borrower and the Guarantors hereby represent and warrant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Agent and each of the Lenders as follows:</w:t>
      </w:r>
    </w:p>
    <w:p>
      <w:pPr>
        <w:spacing w:after="0" w:line="168" w:lineRule="exact"/>
        <w:rPr>
          <w:rFonts w:ascii="Arial" w:cs="Arial" w:eastAsia="Arial" w:hAnsi="Arial"/>
          <w:sz w:val="22"/>
          <w:szCs w:val="22"/>
          <w:color w:val="auto"/>
        </w:rPr>
      </w:pPr>
    </w:p>
    <w:p>
      <w:pPr>
        <w:ind w:firstLine="1296"/>
        <w:spacing w:after="0" w:line="251" w:lineRule="auto"/>
        <w:tabs>
          <w:tab w:leader="none" w:pos="2119" w:val="left"/>
        </w:tabs>
        <w:numPr>
          <w:ilvl w:val="1"/>
          <w:numId w:val="15"/>
        </w:numPr>
        <w:rPr>
          <w:rFonts w:ascii="Arial" w:cs="Arial" w:eastAsia="Arial" w:hAnsi="Arial"/>
          <w:sz w:val="22"/>
          <w:szCs w:val="22"/>
          <w:color w:val="auto"/>
        </w:rPr>
      </w:pPr>
      <w:r>
        <w:rPr>
          <w:rFonts w:ascii="Arial" w:cs="Arial" w:eastAsia="Arial" w:hAnsi="Arial"/>
          <w:sz w:val="22"/>
          <w:szCs w:val="22"/>
          <w:color w:val="auto"/>
        </w:rPr>
        <w:t>This Amendment has been duly authorized by all necessary corporate or other action and constitutes the binding obligation of the Borrower and the Guarantors.</w:t>
      </w:r>
    </w:p>
    <w:p>
      <w:pPr>
        <w:spacing w:after="0" w:line="173" w:lineRule="exact"/>
        <w:rPr>
          <w:rFonts w:ascii="Arial" w:cs="Arial" w:eastAsia="Arial" w:hAnsi="Arial"/>
          <w:sz w:val="22"/>
          <w:szCs w:val="22"/>
          <w:color w:val="auto"/>
        </w:rPr>
      </w:pPr>
    </w:p>
    <w:p>
      <w:pPr>
        <w:jc w:val="both"/>
        <w:ind w:firstLine="1296"/>
        <w:spacing w:after="0" w:line="236" w:lineRule="auto"/>
        <w:tabs>
          <w:tab w:leader="none" w:pos="2079" w:val="left"/>
        </w:tabs>
        <w:numPr>
          <w:ilvl w:val="1"/>
          <w:numId w:val="15"/>
        </w:numPr>
        <w:rPr>
          <w:rFonts w:ascii="Arial" w:cs="Arial" w:eastAsia="Arial" w:hAnsi="Arial"/>
          <w:sz w:val="22"/>
          <w:szCs w:val="22"/>
          <w:color w:val="auto"/>
        </w:rPr>
      </w:pPr>
      <w:r>
        <w:rPr>
          <w:rFonts w:ascii="Arial" w:cs="Arial" w:eastAsia="Arial" w:hAnsi="Arial"/>
          <w:sz w:val="22"/>
          <w:szCs w:val="22"/>
          <w:color w:val="auto"/>
        </w:rPr>
        <w:t>Each of the representations and warranties made by the Borrower and the Guarantors in or pursuant to the Credit Agreement and the other Loan Documents is true and correct in all material respects as of the date hereof, as if made (after giving effect to this Amendment) on and as of such date, except for any representations and warranties made as of a specified date, which were true and correct in all material respects as of such specified date.</w:t>
      </w:r>
    </w:p>
    <w:p>
      <w:pPr>
        <w:spacing w:after="0" w:line="187" w:lineRule="exact"/>
        <w:rPr>
          <w:rFonts w:ascii="Arial" w:cs="Arial" w:eastAsia="Arial" w:hAnsi="Arial"/>
          <w:sz w:val="22"/>
          <w:szCs w:val="22"/>
          <w:color w:val="auto"/>
        </w:rPr>
      </w:pPr>
    </w:p>
    <w:p>
      <w:pPr>
        <w:ind w:firstLine="1296"/>
        <w:spacing w:after="0" w:line="251" w:lineRule="auto"/>
        <w:tabs>
          <w:tab w:leader="none" w:pos="2069" w:val="left"/>
        </w:tabs>
        <w:numPr>
          <w:ilvl w:val="1"/>
          <w:numId w:val="15"/>
        </w:numPr>
        <w:rPr>
          <w:rFonts w:ascii="Arial" w:cs="Arial" w:eastAsia="Arial" w:hAnsi="Arial"/>
          <w:sz w:val="22"/>
          <w:szCs w:val="22"/>
          <w:color w:val="auto"/>
        </w:rPr>
      </w:pPr>
      <w:r>
        <w:rPr>
          <w:rFonts w:ascii="Arial" w:cs="Arial" w:eastAsia="Arial" w:hAnsi="Arial"/>
          <w:sz w:val="22"/>
          <w:szCs w:val="22"/>
          <w:color w:val="auto"/>
        </w:rPr>
        <w:t>After giving effect to this Amendment, no Default or Event of Default has occurred and is continuing as of the date hereof.</w:t>
      </w:r>
    </w:p>
    <w:p>
      <w:pPr>
        <w:spacing w:after="0" w:line="173" w:lineRule="exact"/>
        <w:rPr>
          <w:rFonts w:ascii="Arial" w:cs="Arial" w:eastAsia="Arial" w:hAnsi="Arial"/>
          <w:sz w:val="22"/>
          <w:szCs w:val="22"/>
          <w:color w:val="auto"/>
        </w:rPr>
      </w:pPr>
    </w:p>
    <w:p>
      <w:pPr>
        <w:ind w:left="1980" w:hanging="684"/>
        <w:spacing w:after="0"/>
        <w:tabs>
          <w:tab w:leader="none" w:pos="1980" w:val="left"/>
        </w:tabs>
        <w:numPr>
          <w:ilvl w:val="1"/>
          <w:numId w:val="15"/>
        </w:numPr>
        <w:rPr>
          <w:rFonts w:ascii="Arial" w:cs="Arial" w:eastAsia="Arial" w:hAnsi="Arial"/>
          <w:sz w:val="22"/>
          <w:szCs w:val="22"/>
          <w:color w:val="auto"/>
        </w:rPr>
      </w:pPr>
      <w:r>
        <w:rPr>
          <w:rFonts w:ascii="Arial" w:cs="Arial" w:eastAsia="Arial" w:hAnsi="Arial"/>
          <w:sz w:val="22"/>
          <w:szCs w:val="22"/>
          <w:color w:val="auto"/>
        </w:rPr>
        <w:t>Since December 31, 2017, there has occurred no Material Adverse Change.</w:t>
      </w:r>
    </w:p>
    <w:p>
      <w:pPr>
        <w:spacing w:after="0" w:line="200" w:lineRule="exact"/>
        <w:rPr>
          <w:rFonts w:ascii="Arial" w:cs="Arial" w:eastAsia="Arial" w:hAnsi="Arial"/>
          <w:sz w:val="22"/>
          <w:szCs w:val="22"/>
          <w:color w:val="auto"/>
        </w:rPr>
      </w:pPr>
    </w:p>
    <w:p>
      <w:pPr>
        <w:jc w:val="both"/>
        <w:ind w:firstLine="648"/>
        <w:spacing w:after="0" w:line="278" w:lineRule="auto"/>
        <w:tabs>
          <w:tab w:leader="none" w:pos="1324" w:val="left"/>
        </w:tabs>
        <w:numPr>
          <w:ilvl w:val="0"/>
          <w:numId w:val="15"/>
        </w:numPr>
        <w:rPr>
          <w:rFonts w:ascii="Arial" w:cs="Arial" w:eastAsia="Arial" w:hAnsi="Arial"/>
          <w:sz w:val="19"/>
          <w:szCs w:val="19"/>
          <w:color w:val="auto"/>
        </w:rPr>
      </w:pPr>
      <w:r>
        <w:rPr>
          <w:rFonts w:ascii="Arial" w:cs="Arial" w:eastAsia="Arial" w:hAnsi="Arial"/>
          <w:sz w:val="19"/>
          <w:szCs w:val="19"/>
          <w:b w:val="1"/>
          <w:bCs w:val="1"/>
          <w:u w:val="single" w:color="auto"/>
          <w:color w:val="auto"/>
        </w:rPr>
        <w:t>Continuing Effect of the Credit Agreement and Other Loan Documents</w:t>
      </w:r>
      <w:r>
        <w:rPr>
          <w:rFonts w:ascii="Arial" w:cs="Arial" w:eastAsia="Arial" w:hAnsi="Arial"/>
          <w:sz w:val="19"/>
          <w:szCs w:val="19"/>
          <w:color w:val="auto"/>
        </w:rPr>
        <w:t>. This Amendment does</w:t>
      </w:r>
      <w:r>
        <w:rPr>
          <w:rFonts w:ascii="Arial" w:cs="Arial" w:eastAsia="Arial" w:hAnsi="Arial"/>
          <w:sz w:val="19"/>
          <w:szCs w:val="19"/>
          <w:b w:val="1"/>
          <w:bCs w:val="1"/>
          <w:color w:val="auto"/>
        </w:rPr>
        <w:t xml:space="preserve"> </w:t>
      </w:r>
      <w:r>
        <w:rPr>
          <w:rFonts w:ascii="Arial" w:cs="Arial" w:eastAsia="Arial" w:hAnsi="Arial"/>
          <w:sz w:val="19"/>
          <w:szCs w:val="19"/>
          <w:color w:val="auto"/>
        </w:rPr>
        <w:t>not constitute a waiver of any provision of the Credit Agreement or any other Loan Document and, except as expressly provided herein, is not to be construed as a consent to any action on the part of the Borrower or the Guarantors that would require a waiver or consent of the Lenders or an amendment or modification to any term of the Loan Documents. The Borrower and the Guarantors hereby confirm and ratify the Credit Agreement as amended hereby and each of the other Loan Documents to which it is a party and acknowledges and agrees that the same continue in full force and effect as amended hereby (as applicable).</w:t>
      </w:r>
    </w:p>
    <w:p>
      <w:pPr>
        <w:spacing w:after="0" w:line="146" w:lineRule="exact"/>
        <w:rPr>
          <w:rFonts w:ascii="Arial" w:cs="Arial" w:eastAsia="Arial" w:hAnsi="Arial"/>
          <w:sz w:val="19"/>
          <w:szCs w:val="19"/>
          <w:color w:val="auto"/>
        </w:rPr>
      </w:pPr>
    </w:p>
    <w:p>
      <w:pPr>
        <w:jc w:val="both"/>
        <w:ind w:firstLine="648"/>
        <w:spacing w:after="0" w:line="237" w:lineRule="auto"/>
        <w:tabs>
          <w:tab w:leader="none" w:pos="1567"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Reference to the Credit Agreement, Security Agreement or Pledge Agreement</w:t>
      </w:r>
      <w:r>
        <w:rPr>
          <w:rFonts w:ascii="Arial" w:cs="Arial" w:eastAsia="Arial" w:hAnsi="Arial"/>
          <w:sz w:val="22"/>
          <w:szCs w:val="22"/>
          <w:color w:val="auto"/>
        </w:rPr>
        <w:t>. Upon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effectiveness of this Amendment, each reference in the Credit Agreement, Security Agreement or Pledge Agreement to “this Agreement”, “this Security Agreement”, “this Pledge Agreement”, “hereunder”, “herein” or words of like import refer to the Credit Agreement, Security Agreement or Pledge Agreement, as applicable, as amended and affected hereby.</w:t>
      </w:r>
    </w:p>
    <w:p>
      <w:pPr>
        <w:spacing w:after="0" w:line="182" w:lineRule="exact"/>
        <w:rPr>
          <w:rFonts w:ascii="Arial" w:cs="Arial" w:eastAsia="Arial" w:hAnsi="Arial"/>
          <w:sz w:val="22"/>
          <w:szCs w:val="22"/>
          <w:color w:val="auto"/>
        </w:rPr>
      </w:pPr>
    </w:p>
    <w:p>
      <w:pPr>
        <w:ind w:left="1300" w:hanging="652"/>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Designation as Loan Document</w:t>
      </w:r>
      <w:r>
        <w:rPr>
          <w:rFonts w:ascii="Arial" w:cs="Arial" w:eastAsia="Arial" w:hAnsi="Arial"/>
          <w:sz w:val="22"/>
          <w:szCs w:val="22"/>
          <w:color w:val="auto"/>
        </w:rPr>
        <w:t>. This Amendment is a Loan Document.</w:t>
      </w:r>
    </w:p>
    <w:p>
      <w:pPr>
        <w:spacing w:after="0" w:line="206" w:lineRule="exact"/>
        <w:rPr>
          <w:rFonts w:ascii="Arial" w:cs="Arial" w:eastAsia="Arial" w:hAnsi="Arial"/>
          <w:sz w:val="22"/>
          <w:szCs w:val="22"/>
          <w:color w:val="auto"/>
        </w:rPr>
      </w:pPr>
    </w:p>
    <w:p>
      <w:pPr>
        <w:jc w:val="both"/>
        <w:ind w:firstLine="648"/>
        <w:spacing w:after="0" w:line="243" w:lineRule="auto"/>
        <w:tabs>
          <w:tab w:leader="none" w:pos="1383" w:val="left"/>
        </w:tabs>
        <w:numPr>
          <w:ilvl w:val="0"/>
          <w:numId w:val="15"/>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all parties hereto in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each of which may be delivered in original, facsimile or other electronic (e.g., “pdf”) form and all of such counterparts taken together constitute one instrument.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38" w:name="page39"/>
    <w:bookmarkEnd w:id="38"/>
    <w:p>
      <w:pPr>
        <w:jc w:val="both"/>
        <w:ind w:firstLine="648"/>
        <w:spacing w:after="0" w:line="254" w:lineRule="auto"/>
        <w:tabs>
          <w:tab w:leader="none" w:pos="1378" w:val="left"/>
        </w:tabs>
        <w:numPr>
          <w:ilvl w:val="0"/>
          <w:numId w:val="16"/>
        </w:numPr>
        <w:rPr>
          <w:rFonts w:ascii="Arial" w:cs="Arial" w:eastAsia="Arial" w:hAnsi="Arial"/>
          <w:sz w:val="21"/>
          <w:szCs w:val="21"/>
          <w:color w:val="auto"/>
        </w:rPr>
      </w:pPr>
      <w:r>
        <w:rPr>
          <w:rFonts w:ascii="Arial" w:cs="Arial" w:eastAsia="Arial" w:hAnsi="Arial"/>
          <w:sz w:val="21"/>
          <w:szCs w:val="21"/>
          <w:b w:val="1"/>
          <w:bCs w:val="1"/>
          <w:u w:val="single" w:color="auto"/>
          <w:color w:val="auto"/>
        </w:rPr>
        <w:t>References</w:t>
      </w:r>
      <w:r>
        <w:rPr>
          <w:rFonts w:ascii="Arial" w:cs="Arial" w:eastAsia="Arial" w:hAnsi="Arial"/>
          <w:sz w:val="21"/>
          <w:szCs w:val="21"/>
          <w:color w:val="auto"/>
        </w:rPr>
        <w:t>. The words “hereby,” “herein,” “hereinabove,” “hereinafter,” “hereinbelow,” “hereof,”</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and words of similar import when used in this Amendment refer to this Amendment as a whole and not to any particular article, section or provision of this Amendment. References in this Amendment to a section number are to such sections of the Credit Agreement unless otherwise specified.</w:t>
      </w:r>
    </w:p>
    <w:p>
      <w:pPr>
        <w:spacing w:after="0" w:line="166" w:lineRule="exact"/>
        <w:rPr>
          <w:rFonts w:ascii="Arial" w:cs="Arial" w:eastAsia="Arial" w:hAnsi="Arial"/>
          <w:sz w:val="21"/>
          <w:szCs w:val="21"/>
          <w:color w:val="auto"/>
        </w:rPr>
      </w:pPr>
    </w:p>
    <w:p>
      <w:pPr>
        <w:ind w:firstLine="648"/>
        <w:spacing w:after="0" w:line="335" w:lineRule="auto"/>
        <w:tabs>
          <w:tab w:leader="none" w:pos="1432" w:val="left"/>
        </w:tabs>
        <w:numPr>
          <w:ilvl w:val="0"/>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Headings Descriptive</w:t>
      </w:r>
      <w:r>
        <w:rPr>
          <w:rFonts w:ascii="Arial" w:cs="Arial" w:eastAsia="Arial" w:hAnsi="Arial"/>
          <w:sz w:val="19"/>
          <w:szCs w:val="19"/>
          <w:color w:val="auto"/>
        </w:rPr>
        <w:t>. The headings of the several sections of this Amendment are inserted for</w:t>
      </w:r>
      <w:r>
        <w:rPr>
          <w:rFonts w:ascii="Arial" w:cs="Arial" w:eastAsia="Arial" w:hAnsi="Arial"/>
          <w:sz w:val="19"/>
          <w:szCs w:val="19"/>
          <w:b w:val="1"/>
          <w:bCs w:val="1"/>
          <w:color w:val="auto"/>
        </w:rPr>
        <w:t xml:space="preserve"> </w:t>
      </w:r>
      <w:r>
        <w:rPr>
          <w:rFonts w:ascii="Arial" w:cs="Arial" w:eastAsia="Arial" w:hAnsi="Arial"/>
          <w:sz w:val="19"/>
          <w:szCs w:val="19"/>
          <w:color w:val="auto"/>
        </w:rPr>
        <w:t>convenience only and do not in any way affect the meaning or construction of any provision of this Amendment.</w:t>
      </w:r>
    </w:p>
    <w:p>
      <w:pPr>
        <w:spacing w:after="0" w:line="92" w:lineRule="exact"/>
        <w:rPr>
          <w:rFonts w:ascii="Arial" w:cs="Arial" w:eastAsia="Arial" w:hAnsi="Arial"/>
          <w:sz w:val="19"/>
          <w:szCs w:val="19"/>
          <w:color w:val="auto"/>
        </w:rPr>
      </w:pPr>
    </w:p>
    <w:p>
      <w:pPr>
        <w:ind w:firstLine="648"/>
        <w:spacing w:after="0" w:line="256" w:lineRule="auto"/>
        <w:tabs>
          <w:tab w:leader="none" w:pos="1310"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Amendment is governed by and will be construed in accordance with the law</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Texas.</w:t>
      </w:r>
    </w:p>
    <w:p>
      <w:pPr>
        <w:spacing w:after="0" w:line="162" w:lineRule="exact"/>
        <w:rPr>
          <w:rFonts w:ascii="Arial" w:cs="Arial" w:eastAsia="Arial" w:hAnsi="Arial"/>
          <w:sz w:val="22"/>
          <w:szCs w:val="22"/>
          <w:color w:val="auto"/>
        </w:rPr>
      </w:pPr>
    </w:p>
    <w:p>
      <w:pPr>
        <w:jc w:val="both"/>
        <w:ind w:firstLine="648"/>
        <w:spacing w:after="0" w:line="239" w:lineRule="auto"/>
        <w:tabs>
          <w:tab w:leader="none" w:pos="1324"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Payment of Expenses</w:t>
      </w:r>
      <w:r>
        <w:rPr>
          <w:rFonts w:ascii="Arial" w:cs="Arial" w:eastAsia="Arial" w:hAnsi="Arial"/>
          <w:sz w:val="22"/>
          <w:szCs w:val="22"/>
          <w:color w:val="auto"/>
        </w:rPr>
        <w:t>. The Borrower shall pay or reimburse the Agent for all of its reasonable out-of-pocket costs and reasonable expenses incurred in connection with this Amendment, any other documents prepared in connection herewith and the transactions contemplated hereby, including, without limitation, the reasonable fees and disbursements of counsel to the Agent.</w:t>
      </w:r>
    </w:p>
    <w:p>
      <w:pPr>
        <w:spacing w:after="0" w:line="180" w:lineRule="exact"/>
        <w:rPr>
          <w:rFonts w:ascii="Arial" w:cs="Arial" w:eastAsia="Arial" w:hAnsi="Arial"/>
          <w:sz w:val="22"/>
          <w:szCs w:val="22"/>
          <w:color w:val="auto"/>
        </w:rPr>
      </w:pPr>
    </w:p>
    <w:p>
      <w:pPr>
        <w:jc w:val="both"/>
        <w:ind w:firstLine="648"/>
        <w:spacing w:after="0" w:line="237" w:lineRule="auto"/>
        <w:tabs>
          <w:tab w:leader="none" w:pos="1337" w:val="left"/>
        </w:tabs>
        <w:numPr>
          <w:ilvl w:val="0"/>
          <w:numId w:val="16"/>
        </w:numPr>
        <w:rPr>
          <w:rFonts w:ascii="Arial" w:cs="Arial" w:eastAsia="Arial" w:hAnsi="Arial"/>
          <w:sz w:val="22"/>
          <w:szCs w:val="22"/>
          <w:color w:val="auto"/>
        </w:rPr>
      </w:pPr>
      <w:r>
        <w:rPr>
          <w:rFonts w:ascii="Arial" w:cs="Arial" w:eastAsia="Arial" w:hAnsi="Arial"/>
          <w:sz w:val="22"/>
          <w:szCs w:val="22"/>
          <w:b w:val="1"/>
          <w:bCs w:val="1"/>
          <w:u w:val="single" w:color="auto"/>
          <w:color w:val="auto"/>
        </w:rPr>
        <w:t>Final Agreement of the Parties</w:t>
      </w:r>
      <w:r>
        <w:rPr>
          <w:rFonts w:ascii="Arial" w:cs="Arial" w:eastAsia="Arial" w:hAnsi="Arial"/>
          <w:sz w:val="22"/>
          <w:szCs w:val="22"/>
          <w:color w:val="auto"/>
        </w:rPr>
        <w:t>. THIS AMENDMENT, THE CREDIT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LOAN DOCUMENTS REPRESENT THE FINAL AGREEMENT AMONG THE PARTIES AND MAY NOT BE CONTRADICTED BY EVIDENCE OF PRIOR, CONTEMPORANEOUS OR SUBSEQUENT ORAL AGREEMENTS OF THE PARTIES. THERE ARE NO UNWRITTEN ORAL AGREEMENTS AMONG THE PARTIES.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39" w:name="page40"/>
    <w:bookmarkEnd w:id="39"/>
    <w:p>
      <w:pPr>
        <w:ind w:left="120"/>
        <w:spacing w:after="0"/>
        <w:rPr>
          <w:sz w:val="20"/>
          <w:szCs w:val="20"/>
          <w:color w:val="auto"/>
        </w:rPr>
      </w:pPr>
      <w:r>
        <w:rPr>
          <w:rFonts w:ascii="Arial" w:cs="Arial" w:eastAsia="Arial" w:hAnsi="Arial"/>
          <w:sz w:val="19"/>
          <w:szCs w:val="19"/>
          <w:color w:val="auto"/>
        </w:rPr>
        <w:t>IN WITNESS WHEREOF, the parties are signing this Amendment as of the date first above written.</w:t>
      </w:r>
    </w:p>
    <w:p>
      <w:pPr>
        <w:spacing w:after="0" w:line="249"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COMFORT SYSTEMS USA, INC.</w:t>
      </w:r>
      <w:r>
        <w:rPr>
          <w:rFonts w:ascii="Arial" w:cs="Arial" w:eastAsia="Arial" w:hAnsi="Arial"/>
          <w:sz w:val="22"/>
          <w:szCs w:val="22"/>
          <w:color w:val="auto"/>
        </w:rPr>
        <w:t>,</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Borrower</w:t>
      </w:r>
    </w:p>
    <w:p>
      <w:pPr>
        <w:spacing w:after="0" w:line="200" w:lineRule="exact"/>
        <w:rPr>
          <w:sz w:val="20"/>
          <w:szCs w:val="20"/>
          <w:color w:val="auto"/>
        </w:rPr>
      </w:pPr>
    </w:p>
    <w:p>
      <w:pPr>
        <w:spacing w:after="0" w:line="20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By: /s/ William George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7620</wp:posOffset>
            </wp:positionV>
            <wp:extent cx="28644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2"/>
          <w:szCs w:val="22"/>
          <w:color w:val="auto"/>
        </w:rPr>
        <w:t>William George III</w:t>
      </w:r>
    </w:p>
    <w:p>
      <w:pPr>
        <w:ind w:left="5040"/>
        <w:spacing w:after="0" w:line="230" w:lineRule="auto"/>
        <w:rPr>
          <w:sz w:val="20"/>
          <w:szCs w:val="20"/>
          <w:color w:val="auto"/>
        </w:rPr>
      </w:pPr>
      <w:r>
        <w:rPr>
          <w:rFonts w:ascii="Arial" w:cs="Arial" w:eastAsia="Arial" w:hAnsi="Arial"/>
          <w:sz w:val="22"/>
          <w:szCs w:val="22"/>
          <w:color w:val="auto"/>
        </w:rPr>
        <w:t>Executive Vice President,</w:t>
      </w:r>
    </w:p>
    <w:p>
      <w:pPr>
        <w:ind w:left="5040"/>
        <w:spacing w:after="0" w:line="231" w:lineRule="auto"/>
        <w:rPr>
          <w:sz w:val="20"/>
          <w:szCs w:val="20"/>
          <w:color w:val="auto"/>
        </w:rPr>
      </w:pPr>
      <w:r>
        <w:rPr>
          <w:rFonts w:ascii="Arial" w:cs="Arial" w:eastAsia="Arial" w:hAnsi="Arial"/>
          <w:sz w:val="22"/>
          <w:szCs w:val="22"/>
          <w:color w:val="auto"/>
        </w:rPr>
        <w:t>Chief Financial Officer</w:t>
      </w:r>
    </w:p>
    <w:p>
      <w:pPr>
        <w:ind w:left="5040"/>
        <w:spacing w:after="0"/>
        <w:rPr>
          <w:sz w:val="20"/>
          <w:szCs w:val="20"/>
          <w:color w:val="auto"/>
        </w:rPr>
      </w:pPr>
      <w:r>
        <w:rPr>
          <w:rFonts w:ascii="Arial" w:cs="Arial" w:eastAsia="Arial" w:hAnsi="Arial"/>
          <w:sz w:val="22"/>
          <w:szCs w:val="22"/>
          <w:color w:val="auto"/>
        </w:rPr>
        <w:t>and Assistant Secretary</w:t>
      </w:r>
    </w:p>
    <w:p>
      <w:pPr>
        <w:spacing w:after="0" w:line="200" w:lineRule="exact"/>
        <w:rPr>
          <w:sz w:val="20"/>
          <w:szCs w:val="20"/>
          <w:color w:val="auto"/>
        </w:rPr>
      </w:pPr>
    </w:p>
    <w:p>
      <w:pPr>
        <w:spacing w:after="0" w:line="20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Comfort Systems USA, Inc.</w:t>
      </w:r>
    </w:p>
    <w:p>
      <w:pPr>
        <w:ind w:left="4600"/>
        <w:spacing w:after="0" w:line="238" w:lineRule="auto"/>
        <w:rPr>
          <w:sz w:val="20"/>
          <w:szCs w:val="20"/>
          <w:color w:val="auto"/>
        </w:rPr>
      </w:pPr>
      <w:r>
        <w:rPr>
          <w:rFonts w:ascii="Arial" w:cs="Arial" w:eastAsia="Arial" w:hAnsi="Arial"/>
          <w:sz w:val="22"/>
          <w:szCs w:val="22"/>
          <w:color w:val="auto"/>
        </w:rPr>
        <w:t>675 Bering, Suite 400</w:t>
      </w:r>
    </w:p>
    <w:p>
      <w:pPr>
        <w:ind w:left="4600"/>
        <w:spacing w:after="0" w:line="230" w:lineRule="auto"/>
        <w:rPr>
          <w:sz w:val="20"/>
          <w:szCs w:val="20"/>
          <w:color w:val="auto"/>
        </w:rPr>
      </w:pPr>
      <w:r>
        <w:rPr>
          <w:rFonts w:ascii="Arial" w:cs="Arial" w:eastAsia="Arial" w:hAnsi="Arial"/>
          <w:sz w:val="22"/>
          <w:szCs w:val="22"/>
          <w:color w:val="auto"/>
        </w:rPr>
        <w:t>Houston, Texas 77057</w:t>
      </w:r>
    </w:p>
    <w:p>
      <w:pPr>
        <w:ind w:left="4600"/>
        <w:spacing w:after="0" w:line="231" w:lineRule="auto"/>
        <w:rPr>
          <w:sz w:val="20"/>
          <w:szCs w:val="20"/>
          <w:color w:val="auto"/>
        </w:rPr>
      </w:pPr>
      <w:r>
        <w:rPr>
          <w:rFonts w:ascii="Arial" w:cs="Arial" w:eastAsia="Arial" w:hAnsi="Arial"/>
          <w:sz w:val="22"/>
          <w:szCs w:val="22"/>
          <w:color w:val="auto"/>
        </w:rPr>
        <w:t>Attention: William George III</w:t>
      </w:r>
    </w:p>
    <w:p>
      <w:pPr>
        <w:ind w:left="4600"/>
        <w:spacing w:after="0" w:line="231" w:lineRule="auto"/>
        <w:rPr>
          <w:sz w:val="20"/>
          <w:szCs w:val="20"/>
          <w:color w:val="auto"/>
        </w:rPr>
      </w:pPr>
      <w:r>
        <w:rPr>
          <w:rFonts w:ascii="Arial" w:cs="Arial" w:eastAsia="Arial" w:hAnsi="Arial"/>
          <w:sz w:val="22"/>
          <w:szCs w:val="22"/>
          <w:color w:val="auto"/>
        </w:rPr>
        <w:t>Telephone: (713) 830-9650</w:t>
      </w:r>
    </w:p>
    <w:p>
      <w:pPr>
        <w:ind w:left="4600"/>
        <w:spacing w:after="0"/>
        <w:rPr>
          <w:sz w:val="20"/>
          <w:szCs w:val="20"/>
          <w:color w:val="auto"/>
        </w:rPr>
      </w:pPr>
      <w:r>
        <w:rPr>
          <w:rFonts w:ascii="Arial" w:cs="Arial" w:eastAsia="Arial" w:hAnsi="Arial"/>
          <w:sz w:val="22"/>
          <w:szCs w:val="22"/>
          <w:color w:val="auto"/>
        </w:rPr>
        <w:t>Fax: (713) 830-9659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ACKNOWLEDGMENT OF GUARANTORS</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Each of the undersigned Guarantors hereby executes this Amendment to evidence its agreement to the modification of the Loan Documents to which it is a party and to confirm that each Loan Document (as the same may be amended or amended and restated, as the case may be, pursuant to and in connection with this Amendment) to which it is a party or otherwise bound remains in full force and effect and that all Collateral encumbered thereby will continue to secure, to the fullest extent possible, the payment and performance of all “Obligations”, “Secured Obligations” and “Guaranteed Obligations” (in each case as such term is defined in the applicable Loan Document), including without limitation the payment and performance of all such “Obligations”, “Secured Obligations” and “Guaranteed Obligations” in respect of the Obligations now or hereafter existing under or in respect of the Credit Agreement and the other Loan Documents. The Guarantors specifically reaffirm and extend their obligations under each of their applicable Guaranties to cover all indebtedness evidenced by the Credit Agreement as same has been created, amended and/or restated by or in connection with this Amendment. The Guaranties and all the terms thereof shall remain in full force and effect and the Guarantors hereby acknowledge and agree that same are valid and existing and that each of the Guarantors’ obligations thereunder shall not be impaired or limited by the execution or effectiveness of this Amendment, except as expressly provided herein. Each Guarantor hereby represents and warrants that all representations and warranties contained in this Amendment and the other Loan Documents to which it is a party or otherwise bound are true, correct and complete in all material respects on and as of the dated of this Amendment, except to the extent such representations and warranties specifically relate to an earlier date, in which case they were true, correct and complete in all material respects on and as of such earlier date. The Agent on behalf of the Lenders hereby preserves all its rights against each Guarantor under its applicable Guaranty and the other Loan Documents to which each applicable Guarantor is a party.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Each Guarantor acknowledges and agrees that (i) notwithstanding the conditions to the effectiveness set forth in this Amendment, such Guarantor is not required by the terms of the Credit Agreement, this Amendment or any other Loan Document to consent to the amendments of the Credit Agreement effected pursuant to this Amendment; and (ii) nothing in the Credit Agreement, this Amendment or any other Loan Document shall be deemed to require the consent of such Guarantor to any future amendments to the Credit Agreement.</w:t>
      </w:r>
    </w:p>
    <w:p>
      <w:pPr>
        <w:spacing w:after="0" w:line="16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ACCU-TEMP GP, INC.</w:t>
      </w:r>
    </w:p>
    <w:p>
      <w:pPr>
        <w:ind w:left="4360"/>
        <w:spacing w:after="0" w:line="238" w:lineRule="auto"/>
        <w:rPr>
          <w:sz w:val="20"/>
          <w:szCs w:val="20"/>
          <w:color w:val="auto"/>
        </w:rPr>
      </w:pPr>
      <w:r>
        <w:rPr>
          <w:rFonts w:ascii="Arial" w:cs="Arial" w:eastAsia="Arial" w:hAnsi="Arial"/>
          <w:sz w:val="22"/>
          <w:szCs w:val="22"/>
          <w:color w:val="auto"/>
        </w:rPr>
        <w:t>ACCU-TEMP LP, INC.</w:t>
      </w:r>
    </w:p>
    <w:p>
      <w:pPr>
        <w:ind w:left="4360"/>
        <w:spacing w:after="0" w:line="230" w:lineRule="auto"/>
        <w:rPr>
          <w:sz w:val="20"/>
          <w:szCs w:val="20"/>
          <w:color w:val="auto"/>
        </w:rPr>
      </w:pPr>
      <w:r>
        <w:rPr>
          <w:rFonts w:ascii="Arial" w:cs="Arial" w:eastAsia="Arial" w:hAnsi="Arial"/>
          <w:sz w:val="22"/>
          <w:szCs w:val="22"/>
          <w:color w:val="auto"/>
        </w:rPr>
        <w:t>ACI MECHANICAL, INC.</w:t>
      </w:r>
    </w:p>
    <w:p>
      <w:pPr>
        <w:ind w:left="4360"/>
        <w:spacing w:after="0" w:line="231" w:lineRule="auto"/>
        <w:rPr>
          <w:sz w:val="20"/>
          <w:szCs w:val="20"/>
          <w:color w:val="auto"/>
        </w:rPr>
      </w:pPr>
      <w:r>
        <w:rPr>
          <w:rFonts w:ascii="Arial" w:cs="Arial" w:eastAsia="Arial" w:hAnsi="Arial"/>
          <w:sz w:val="22"/>
          <w:szCs w:val="22"/>
          <w:color w:val="auto"/>
        </w:rPr>
        <w:t>ACORN INDUSTRIAL, LLC, by Comfort Systems USA</w:t>
      </w:r>
    </w:p>
    <w:p>
      <w:pPr>
        <w:ind w:left="4680"/>
        <w:spacing w:after="0" w:line="231" w:lineRule="auto"/>
        <w:rPr>
          <w:sz w:val="20"/>
          <w:szCs w:val="20"/>
          <w:color w:val="auto"/>
        </w:rPr>
      </w:pPr>
      <w:r>
        <w:rPr>
          <w:rFonts w:ascii="Arial" w:cs="Arial" w:eastAsia="Arial" w:hAnsi="Arial"/>
          <w:sz w:val="22"/>
          <w:szCs w:val="22"/>
          <w:color w:val="auto"/>
        </w:rPr>
        <w:t>(MidAtlantic), LLC, as Sole Managing Member</w:t>
      </w:r>
    </w:p>
    <w:p>
      <w:pPr>
        <w:ind w:left="4360"/>
        <w:spacing w:after="0" w:line="230" w:lineRule="auto"/>
        <w:rPr>
          <w:sz w:val="20"/>
          <w:szCs w:val="20"/>
          <w:color w:val="auto"/>
        </w:rPr>
      </w:pPr>
      <w:r>
        <w:rPr>
          <w:rFonts w:ascii="Arial" w:cs="Arial" w:eastAsia="Arial" w:hAnsi="Arial"/>
          <w:sz w:val="22"/>
          <w:szCs w:val="22"/>
          <w:color w:val="auto"/>
        </w:rPr>
        <w:t>AIR SYSTEMS ENGINEERING, INC.</w:t>
      </w:r>
    </w:p>
    <w:p>
      <w:pPr>
        <w:ind w:left="4360"/>
        <w:spacing w:after="0" w:line="231" w:lineRule="auto"/>
        <w:rPr>
          <w:sz w:val="20"/>
          <w:szCs w:val="20"/>
          <w:color w:val="auto"/>
        </w:rPr>
      </w:pPr>
      <w:r>
        <w:rPr>
          <w:rFonts w:ascii="Arial" w:cs="Arial" w:eastAsia="Arial" w:hAnsi="Arial"/>
          <w:sz w:val="22"/>
          <w:szCs w:val="22"/>
          <w:color w:val="auto"/>
        </w:rPr>
        <w:t>AIRTEMP, INC.</w:t>
      </w:r>
    </w:p>
    <w:p>
      <w:pPr>
        <w:ind w:left="4360"/>
        <w:spacing w:after="0" w:line="231" w:lineRule="auto"/>
        <w:rPr>
          <w:sz w:val="20"/>
          <w:szCs w:val="20"/>
          <w:color w:val="auto"/>
        </w:rPr>
      </w:pPr>
      <w:r>
        <w:rPr>
          <w:rFonts w:ascii="Arial" w:cs="Arial" w:eastAsia="Arial" w:hAnsi="Arial"/>
          <w:sz w:val="22"/>
          <w:szCs w:val="22"/>
          <w:color w:val="auto"/>
        </w:rPr>
        <w:t>ARC COMFORT SYSTEMS USA, INC.</w:t>
      </w:r>
    </w:p>
    <w:p>
      <w:pPr>
        <w:ind w:left="4360"/>
        <w:spacing w:after="0" w:line="230" w:lineRule="auto"/>
        <w:rPr>
          <w:sz w:val="20"/>
          <w:szCs w:val="20"/>
          <w:color w:val="auto"/>
        </w:rPr>
      </w:pPr>
      <w:r>
        <w:rPr>
          <w:rFonts w:ascii="Arial" w:cs="Arial" w:eastAsia="Arial" w:hAnsi="Arial"/>
          <w:sz w:val="22"/>
          <w:szCs w:val="22"/>
          <w:color w:val="auto"/>
        </w:rPr>
        <w:t>ATLAS-ACCURATE HOLDINGS, L.L.C., by CS53</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Acquisition Corp., as Sole Managing Member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41" w:name="page42"/>
    <w:bookmarkEnd w:id="41"/>
    <w:p>
      <w:pPr>
        <w:ind w:left="4160" w:right="20" w:hanging="323"/>
        <w:spacing w:after="0" w:line="236" w:lineRule="auto"/>
        <w:rPr>
          <w:sz w:val="20"/>
          <w:szCs w:val="20"/>
          <w:color w:val="auto"/>
        </w:rPr>
      </w:pPr>
      <w:r>
        <w:rPr>
          <w:rFonts w:ascii="Arial" w:cs="Arial" w:eastAsia="Arial" w:hAnsi="Arial"/>
          <w:sz w:val="22"/>
          <w:szCs w:val="22"/>
          <w:color w:val="auto"/>
        </w:rPr>
        <w:t>BATCHELOR’S MECHANICAL CONTRACTORS, LLC, by Comfort Systems USA (Mid South), Inc., as Sole Managing Member</w:t>
      </w:r>
    </w:p>
    <w:p>
      <w:pPr>
        <w:ind w:left="3840"/>
        <w:spacing w:after="0" w:line="231" w:lineRule="auto"/>
        <w:rPr>
          <w:sz w:val="20"/>
          <w:szCs w:val="20"/>
          <w:color w:val="auto"/>
        </w:rPr>
      </w:pPr>
      <w:r>
        <w:rPr>
          <w:rFonts w:ascii="Arial" w:cs="Arial" w:eastAsia="Arial" w:hAnsi="Arial"/>
          <w:sz w:val="22"/>
          <w:szCs w:val="22"/>
          <w:color w:val="auto"/>
        </w:rPr>
        <w:t>BCH HOLDINGS, INC.</w:t>
      </w:r>
    </w:p>
    <w:p>
      <w:pPr>
        <w:spacing w:after="0" w:line="1" w:lineRule="exact"/>
        <w:rPr>
          <w:sz w:val="20"/>
          <w:szCs w:val="20"/>
          <w:color w:val="auto"/>
        </w:rPr>
      </w:pPr>
    </w:p>
    <w:p>
      <w:pPr>
        <w:ind w:left="4160" w:right="680" w:hanging="323"/>
        <w:spacing w:after="0" w:line="230" w:lineRule="auto"/>
        <w:rPr>
          <w:sz w:val="20"/>
          <w:szCs w:val="20"/>
          <w:color w:val="auto"/>
        </w:rPr>
      </w:pPr>
      <w:r>
        <w:rPr>
          <w:rFonts w:ascii="Arial" w:cs="Arial" w:eastAsia="Arial" w:hAnsi="Arial"/>
          <w:sz w:val="22"/>
          <w:szCs w:val="22"/>
          <w:color w:val="auto"/>
        </w:rPr>
        <w:t>BCH LEASING, LLC, by BCH Holdings, Inc., as Sole Managing Member</w:t>
      </w:r>
    </w:p>
    <w:p>
      <w:pPr>
        <w:spacing w:after="0" w:line="1" w:lineRule="exact"/>
        <w:rPr>
          <w:sz w:val="20"/>
          <w:szCs w:val="20"/>
          <w:color w:val="auto"/>
        </w:rPr>
      </w:pPr>
    </w:p>
    <w:p>
      <w:pPr>
        <w:ind w:left="4160" w:hanging="323"/>
        <w:spacing w:after="0" w:line="230" w:lineRule="auto"/>
        <w:rPr>
          <w:sz w:val="20"/>
          <w:szCs w:val="20"/>
          <w:color w:val="auto"/>
        </w:rPr>
      </w:pPr>
      <w:r>
        <w:rPr>
          <w:rFonts w:ascii="Arial" w:cs="Arial" w:eastAsia="Arial" w:hAnsi="Arial"/>
          <w:sz w:val="22"/>
          <w:szCs w:val="22"/>
          <w:color w:val="auto"/>
        </w:rPr>
        <w:t>BCH MECHANICAL, L.L.C., by BCH Holdings, Inc., as Sole Managing Member</w:t>
      </w:r>
    </w:p>
    <w:p>
      <w:pPr>
        <w:spacing w:after="0" w:line="1" w:lineRule="exact"/>
        <w:rPr>
          <w:sz w:val="20"/>
          <w:szCs w:val="20"/>
          <w:color w:val="auto"/>
        </w:rPr>
      </w:pPr>
    </w:p>
    <w:p>
      <w:pPr>
        <w:ind w:left="3840" w:right="160"/>
        <w:spacing w:after="0" w:line="230" w:lineRule="auto"/>
        <w:rPr>
          <w:sz w:val="20"/>
          <w:szCs w:val="20"/>
          <w:color w:val="auto"/>
        </w:rPr>
      </w:pPr>
      <w:r>
        <w:rPr>
          <w:rFonts w:ascii="Arial" w:cs="Arial" w:eastAsia="Arial" w:hAnsi="Arial"/>
          <w:sz w:val="22"/>
          <w:szCs w:val="22"/>
          <w:color w:val="auto"/>
        </w:rPr>
        <w:t>BCM CONTROLS CORPORATION CALIFORNIA COMFORT SYSTEMS USA, INC. CENTURY MECHANICAL SOLUTIONS, INC. COLONIALWEBB CONTRACTORS COMPANY COMFORT SYSTEMS USA (ARKANSAS), INC. COMFORT SYSTEMS USA (BALTIMORE), LLC, by Hess</w:t>
      </w:r>
    </w:p>
    <w:p>
      <w:pPr>
        <w:ind w:left="4160"/>
        <w:spacing w:after="0" w:line="234" w:lineRule="auto"/>
        <w:rPr>
          <w:sz w:val="20"/>
          <w:szCs w:val="20"/>
          <w:color w:val="auto"/>
        </w:rPr>
      </w:pPr>
      <w:r>
        <w:rPr>
          <w:rFonts w:ascii="Arial" w:cs="Arial" w:eastAsia="Arial" w:hAnsi="Arial"/>
          <w:sz w:val="22"/>
          <w:szCs w:val="22"/>
          <w:color w:val="auto"/>
        </w:rPr>
        <w:t>Mechanical, LLC as Sole Managing Member</w:t>
      </w:r>
    </w:p>
    <w:p>
      <w:pPr>
        <w:ind w:left="3840"/>
        <w:spacing w:after="0" w:line="231" w:lineRule="auto"/>
        <w:rPr>
          <w:sz w:val="20"/>
          <w:szCs w:val="20"/>
          <w:color w:val="auto"/>
        </w:rPr>
      </w:pPr>
      <w:r>
        <w:rPr>
          <w:rFonts w:ascii="Arial" w:cs="Arial" w:eastAsia="Arial" w:hAnsi="Arial"/>
          <w:sz w:val="22"/>
          <w:szCs w:val="22"/>
          <w:color w:val="auto"/>
        </w:rPr>
        <w:t>COMFORT SYSTEMS USA (BRISTOL), INC.</w:t>
      </w:r>
    </w:p>
    <w:p>
      <w:pPr>
        <w:ind w:left="3840"/>
        <w:spacing w:after="0"/>
        <w:rPr>
          <w:sz w:val="20"/>
          <w:szCs w:val="20"/>
          <w:color w:val="auto"/>
        </w:rPr>
      </w:pPr>
      <w:r>
        <w:rPr>
          <w:rFonts w:ascii="Arial" w:cs="Arial" w:eastAsia="Arial" w:hAnsi="Arial"/>
          <w:sz w:val="21"/>
          <w:szCs w:val="21"/>
          <w:color w:val="auto"/>
        </w:rPr>
        <w:t>COMFORT SYSTEMS USA ENERGY SERVICES, INC.</w:t>
      </w:r>
    </w:p>
    <w:p>
      <w:pPr>
        <w:ind w:left="3840"/>
        <w:spacing w:after="0" w:line="232" w:lineRule="auto"/>
        <w:rPr>
          <w:sz w:val="20"/>
          <w:szCs w:val="20"/>
          <w:color w:val="auto"/>
        </w:rPr>
      </w:pPr>
      <w:r>
        <w:rPr>
          <w:rFonts w:ascii="Arial" w:cs="Arial" w:eastAsia="Arial" w:hAnsi="Arial"/>
          <w:sz w:val="22"/>
          <w:szCs w:val="22"/>
          <w:color w:val="auto"/>
        </w:rPr>
        <w:t>COMFORT SYSTEMS USA G.P., INC.</w:t>
      </w:r>
    </w:p>
    <w:p>
      <w:pPr>
        <w:jc w:val="both"/>
        <w:ind w:left="4160" w:right="60" w:hanging="323"/>
        <w:spacing w:after="0" w:line="230" w:lineRule="auto"/>
        <w:rPr>
          <w:sz w:val="20"/>
          <w:szCs w:val="20"/>
          <w:color w:val="auto"/>
        </w:rPr>
      </w:pPr>
      <w:r>
        <w:rPr>
          <w:rFonts w:ascii="Arial" w:cs="Arial" w:eastAsia="Arial" w:hAnsi="Arial"/>
          <w:sz w:val="22"/>
          <w:szCs w:val="22"/>
          <w:color w:val="auto"/>
        </w:rPr>
        <w:t>COMFORT SYSTEMS USA (INDIANA), LLC, by Comfort Systems USA Strategic Accounts, LLC, as Sole Managing Member</w:t>
      </w:r>
    </w:p>
    <w:p>
      <w:pPr>
        <w:spacing w:after="0" w:line="2" w:lineRule="exact"/>
        <w:rPr>
          <w:sz w:val="20"/>
          <w:szCs w:val="20"/>
          <w:color w:val="auto"/>
        </w:rPr>
      </w:pPr>
    </w:p>
    <w:p>
      <w:pPr>
        <w:ind w:left="3840" w:right="380"/>
        <w:spacing w:after="0" w:line="241" w:lineRule="auto"/>
        <w:rPr>
          <w:sz w:val="20"/>
          <w:szCs w:val="20"/>
          <w:color w:val="auto"/>
        </w:rPr>
      </w:pPr>
      <w:r>
        <w:rPr>
          <w:rFonts w:ascii="Arial" w:cs="Arial" w:eastAsia="Arial" w:hAnsi="Arial"/>
          <w:sz w:val="21"/>
          <w:szCs w:val="21"/>
          <w:color w:val="auto"/>
        </w:rPr>
        <w:t>COMFORT SYSTEMS USA (INTERMOUNTAIN), INC. COMFORT SYSTEMS USA (KENTUCKY), INC. COMFORT SYSTEMS USA (MIDATLANTIC), LLC, by</w:t>
      </w:r>
    </w:p>
    <w:p>
      <w:pPr>
        <w:spacing w:after="0" w:line="2" w:lineRule="exact"/>
        <w:rPr>
          <w:sz w:val="20"/>
          <w:szCs w:val="20"/>
          <w:color w:val="auto"/>
        </w:rPr>
      </w:pPr>
    </w:p>
    <w:p>
      <w:pPr>
        <w:ind w:left="3840" w:right="340" w:firstLine="324"/>
        <w:spacing w:after="0" w:line="267" w:lineRule="auto"/>
        <w:rPr>
          <w:sz w:val="20"/>
          <w:szCs w:val="20"/>
          <w:color w:val="auto"/>
        </w:rPr>
      </w:pPr>
      <w:r>
        <w:rPr>
          <w:rFonts w:ascii="Arial" w:cs="Arial" w:eastAsia="Arial" w:hAnsi="Arial"/>
          <w:sz w:val="19"/>
          <w:szCs w:val="19"/>
          <w:color w:val="auto"/>
        </w:rPr>
        <w:t>Riddleberger Brothers, Inc., as Sole Managing Member COMFORT SYSTEMS USA (MIDWEST), LLC, by ACI</w:t>
      </w:r>
    </w:p>
    <w:p>
      <w:pPr>
        <w:ind w:left="3840" w:right="420" w:firstLine="324"/>
        <w:spacing w:after="0" w:line="267" w:lineRule="auto"/>
        <w:rPr>
          <w:sz w:val="20"/>
          <w:szCs w:val="20"/>
          <w:color w:val="auto"/>
        </w:rPr>
      </w:pPr>
      <w:r>
        <w:rPr>
          <w:rFonts w:ascii="Arial" w:cs="Arial" w:eastAsia="Arial" w:hAnsi="Arial"/>
          <w:sz w:val="19"/>
          <w:szCs w:val="19"/>
          <w:color w:val="auto"/>
        </w:rPr>
        <w:t>Mechanical, Inc., as Sole Managing Member COMFORT SYSTEMS USA (MID SOUTH), INC. COMFORT SYSTEMS USA (NORTHWEST), INC. COMFORT SYSTEMS USA (OHIO), INC. COMFORT SYSTEMS USA PUERTO RICO, INC. COMFORT SYSTEMS USA (SOUTH CENTRAL), INC. COMFORT SYSTEMS USA (SOUTHEAST), INC. COMFORT SYSTEMS USA (SOUTHWEST), INC. COMFORT SYSTEMS USA STRATEGIC ACCOUNTS,</w:t>
      </w:r>
    </w:p>
    <w:p>
      <w:pPr>
        <w:ind w:left="3840" w:right="460" w:firstLine="324"/>
        <w:spacing w:after="0" w:line="267" w:lineRule="auto"/>
        <w:rPr>
          <w:sz w:val="20"/>
          <w:szCs w:val="20"/>
          <w:color w:val="auto"/>
        </w:rPr>
      </w:pPr>
      <w:r>
        <w:rPr>
          <w:rFonts w:ascii="Arial" w:cs="Arial" w:eastAsia="Arial" w:hAnsi="Arial"/>
          <w:sz w:val="19"/>
          <w:szCs w:val="19"/>
          <w:color w:val="auto"/>
        </w:rPr>
        <w:t>LLC, by Accu-Temp LP, Inc., as Managing Member COMFORT SYSTEMS USA (SYRACUSE), INC. COMFORT SYSTEMS USA (TEXAS), L.P., by Comfort</w:t>
      </w:r>
    </w:p>
    <w:p>
      <w:pPr>
        <w:ind w:left="4160"/>
        <w:spacing w:after="0" w:line="230" w:lineRule="auto"/>
        <w:rPr>
          <w:sz w:val="20"/>
          <w:szCs w:val="20"/>
          <w:color w:val="auto"/>
        </w:rPr>
      </w:pPr>
      <w:r>
        <w:rPr>
          <w:rFonts w:ascii="Arial" w:cs="Arial" w:eastAsia="Arial" w:hAnsi="Arial"/>
          <w:sz w:val="22"/>
          <w:szCs w:val="22"/>
          <w:color w:val="auto"/>
        </w:rPr>
        <w:t>Systems USA G.P., Inc., as general partner</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19"/>
          <w:szCs w:val="19"/>
          <w:color w:val="auto"/>
        </w:rPr>
        <w:t>CONSERV BUILDING SERVICES, LLC, by BCH Holdings,</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Inc., as Sole Managing Member</w:t>
      </w:r>
    </w:p>
    <w:p>
      <w:pPr>
        <w:ind w:left="4160" w:hanging="323"/>
        <w:spacing w:after="0" w:line="230" w:lineRule="auto"/>
        <w:rPr>
          <w:sz w:val="20"/>
          <w:szCs w:val="20"/>
          <w:color w:val="auto"/>
        </w:rPr>
      </w:pPr>
      <w:r>
        <w:rPr>
          <w:rFonts w:ascii="Arial" w:cs="Arial" w:eastAsia="Arial" w:hAnsi="Arial"/>
          <w:sz w:val="22"/>
          <w:szCs w:val="22"/>
          <w:color w:val="auto"/>
        </w:rPr>
        <w:t>CONSERV BUILDING SERVICES OF ALABAMA, LLC, by BCH Holdings, Inc., as Sole Managing Member</w:t>
      </w:r>
    </w:p>
    <w:p>
      <w:pPr>
        <w:spacing w:after="0" w:line="1" w:lineRule="exact"/>
        <w:rPr>
          <w:sz w:val="20"/>
          <w:szCs w:val="20"/>
          <w:color w:val="auto"/>
        </w:rPr>
      </w:pPr>
    </w:p>
    <w:p>
      <w:pPr>
        <w:ind w:left="4160" w:right="120" w:hanging="323"/>
        <w:spacing w:after="0" w:line="256" w:lineRule="auto"/>
        <w:rPr>
          <w:sz w:val="20"/>
          <w:szCs w:val="20"/>
          <w:color w:val="auto"/>
        </w:rPr>
      </w:pPr>
      <w:r>
        <w:rPr>
          <w:rFonts w:ascii="Arial" w:cs="Arial" w:eastAsia="Arial" w:hAnsi="Arial"/>
          <w:sz w:val="21"/>
          <w:szCs w:val="21"/>
          <w:color w:val="auto"/>
        </w:rPr>
        <w:t>CONSERV BUILDING SERVICES OF GEORGIA, LLC, by BCH Holdings, Inc., as Sole Managing Member</w:t>
      </w:r>
    </w:p>
    <w:p>
      <w:pPr>
        <w:spacing w:after="0" w:line="200" w:lineRule="exact"/>
        <w:rPr>
          <w:sz w:val="20"/>
          <w:szCs w:val="20"/>
          <w:color w:val="auto"/>
        </w:rPr>
      </w:pPr>
    </w:p>
    <w:p>
      <w:pPr>
        <w:spacing w:after="0" w:line="20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97790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300"/>
          </w:cols>
          <w:pgMar w:left="1440" w:top="159" w:right="1159" w:bottom="1440" w:gutter="0" w:footer="0" w:header="0"/>
        </w:sectPr>
      </w:pPr>
    </w:p>
    <w:bookmarkStart w:id="42" w:name="page43"/>
    <w:bookmarkEnd w:id="42"/>
    <w:p>
      <w:pPr>
        <w:ind w:left="4160" w:right="680" w:hanging="323"/>
        <w:spacing w:after="0" w:line="236" w:lineRule="auto"/>
        <w:rPr>
          <w:sz w:val="20"/>
          <w:szCs w:val="20"/>
          <w:color w:val="auto"/>
        </w:rPr>
      </w:pPr>
      <w:r>
        <w:rPr>
          <w:rFonts w:ascii="Arial" w:cs="Arial" w:eastAsia="Arial" w:hAnsi="Arial"/>
          <w:sz w:val="22"/>
          <w:szCs w:val="22"/>
          <w:color w:val="auto"/>
        </w:rPr>
        <w:t>CONSERV BUILDING SERVICES OF NORTH CAROLINA, LLC, by BCH Holdings, Inc., as Sole Managing Member</w:t>
      </w:r>
    </w:p>
    <w:p>
      <w:pPr>
        <w:spacing w:after="0" w:line="1" w:lineRule="exact"/>
        <w:rPr>
          <w:sz w:val="20"/>
          <w:szCs w:val="20"/>
          <w:color w:val="auto"/>
        </w:rPr>
      </w:pPr>
    </w:p>
    <w:p>
      <w:pPr>
        <w:ind w:left="4160" w:right="160" w:hanging="323"/>
        <w:spacing w:after="0" w:line="267" w:lineRule="auto"/>
        <w:rPr>
          <w:sz w:val="20"/>
          <w:szCs w:val="20"/>
          <w:color w:val="auto"/>
        </w:rPr>
      </w:pPr>
      <w:r>
        <w:rPr>
          <w:rFonts w:ascii="Arial" w:cs="Arial" w:eastAsia="Arial" w:hAnsi="Arial"/>
          <w:sz w:val="19"/>
          <w:szCs w:val="19"/>
          <w:color w:val="auto"/>
        </w:rPr>
        <w:t>CONSERV BUILDING SERVICES OF TENNESSEE, LLC, by BCH Holdings, Inc., as Sole Managing Member</w:t>
      </w:r>
    </w:p>
    <w:p>
      <w:pPr>
        <w:ind w:left="4160" w:right="420" w:hanging="323"/>
        <w:spacing w:after="0" w:line="241" w:lineRule="auto"/>
        <w:rPr>
          <w:sz w:val="20"/>
          <w:szCs w:val="20"/>
          <w:color w:val="auto"/>
        </w:rPr>
      </w:pPr>
      <w:r>
        <w:rPr>
          <w:rFonts w:ascii="Arial" w:cs="Arial" w:eastAsia="Arial" w:hAnsi="Arial"/>
          <w:sz w:val="21"/>
          <w:szCs w:val="21"/>
          <w:color w:val="auto"/>
        </w:rPr>
        <w:t>CONSERV BUILDING SERVICES OF TEXAS, LLC, by BCH Holdings, Inc., as Sole Managing Member</w:t>
      </w:r>
    </w:p>
    <w:p>
      <w:pPr>
        <w:spacing w:after="0" w:line="1" w:lineRule="exact"/>
        <w:rPr>
          <w:sz w:val="20"/>
          <w:szCs w:val="20"/>
          <w:color w:val="auto"/>
        </w:rPr>
      </w:pPr>
    </w:p>
    <w:p>
      <w:pPr>
        <w:ind w:left="4160" w:right="420" w:hanging="323"/>
        <w:spacing w:after="0" w:line="241" w:lineRule="auto"/>
        <w:rPr>
          <w:sz w:val="20"/>
          <w:szCs w:val="20"/>
          <w:color w:val="auto"/>
        </w:rPr>
      </w:pPr>
      <w:r>
        <w:rPr>
          <w:rFonts w:ascii="Arial" w:cs="Arial" w:eastAsia="Arial" w:hAnsi="Arial"/>
          <w:sz w:val="21"/>
          <w:szCs w:val="21"/>
          <w:color w:val="auto"/>
        </w:rPr>
        <w:t>CONTROL CONCEPTS, LLC, by Comfort Systems USA (Southeast), Inc., as Sole Managing Member</w:t>
      </w:r>
    </w:p>
    <w:p>
      <w:pPr>
        <w:spacing w:after="0" w:line="1" w:lineRule="exact"/>
        <w:rPr>
          <w:sz w:val="20"/>
          <w:szCs w:val="20"/>
          <w:color w:val="auto"/>
        </w:rPr>
      </w:pPr>
    </w:p>
    <w:p>
      <w:pPr>
        <w:ind w:left="4160" w:right="180" w:hanging="323"/>
        <w:spacing w:after="0" w:line="230" w:lineRule="auto"/>
        <w:rPr>
          <w:sz w:val="20"/>
          <w:szCs w:val="20"/>
          <w:color w:val="auto"/>
        </w:rPr>
      </w:pPr>
      <w:r>
        <w:rPr>
          <w:rFonts w:ascii="Arial" w:cs="Arial" w:eastAsia="Arial" w:hAnsi="Arial"/>
          <w:sz w:val="22"/>
          <w:szCs w:val="22"/>
          <w:color w:val="auto"/>
        </w:rPr>
        <w:t>CONTROL CONCEPTS MECHANICAL SERVICES, LLC, by Comfort Systems USA (Southeast), Inc., as Sole Managing Member</w:t>
      </w:r>
    </w:p>
    <w:p>
      <w:pPr>
        <w:spacing w:after="0" w:line="2" w:lineRule="exact"/>
        <w:rPr>
          <w:sz w:val="20"/>
          <w:szCs w:val="20"/>
          <w:color w:val="auto"/>
        </w:rPr>
      </w:pPr>
    </w:p>
    <w:p>
      <w:pPr>
        <w:ind w:left="4160" w:right="320" w:hanging="323"/>
        <w:spacing w:after="0" w:line="230" w:lineRule="auto"/>
        <w:rPr>
          <w:sz w:val="20"/>
          <w:szCs w:val="20"/>
          <w:color w:val="auto"/>
        </w:rPr>
      </w:pPr>
      <w:r>
        <w:rPr>
          <w:rFonts w:ascii="Arial" w:cs="Arial" w:eastAsia="Arial" w:hAnsi="Arial"/>
          <w:sz w:val="22"/>
          <w:szCs w:val="22"/>
          <w:color w:val="auto"/>
        </w:rPr>
        <w:t>CSUSA (10), LLC, by Comfort Systems USA, Inc., as Sole Managing Member</w:t>
      </w:r>
    </w:p>
    <w:p>
      <w:pPr>
        <w:ind w:left="3840"/>
        <w:spacing w:after="0" w:line="231" w:lineRule="auto"/>
        <w:rPr>
          <w:sz w:val="20"/>
          <w:szCs w:val="20"/>
          <w:color w:val="auto"/>
        </w:rPr>
      </w:pPr>
      <w:r>
        <w:rPr>
          <w:rFonts w:ascii="Arial" w:cs="Arial" w:eastAsia="Arial" w:hAnsi="Arial"/>
          <w:sz w:val="22"/>
          <w:szCs w:val="22"/>
          <w:color w:val="auto"/>
        </w:rPr>
        <w:t>CS53 ACQUISITION CORP.</w:t>
      </w:r>
    </w:p>
    <w:p>
      <w:pPr>
        <w:spacing w:after="0" w:line="1" w:lineRule="exact"/>
        <w:rPr>
          <w:sz w:val="20"/>
          <w:szCs w:val="20"/>
          <w:color w:val="auto"/>
        </w:rPr>
      </w:pPr>
    </w:p>
    <w:p>
      <w:pPr>
        <w:ind w:left="4160" w:right="220" w:hanging="323"/>
        <w:spacing w:after="0" w:line="230" w:lineRule="auto"/>
        <w:rPr>
          <w:sz w:val="20"/>
          <w:szCs w:val="20"/>
          <w:color w:val="auto"/>
        </w:rPr>
      </w:pPr>
      <w:r>
        <w:rPr>
          <w:rFonts w:ascii="Arial" w:cs="Arial" w:eastAsia="Arial" w:hAnsi="Arial"/>
          <w:sz w:val="22"/>
          <w:szCs w:val="22"/>
          <w:color w:val="auto"/>
        </w:rPr>
        <w:t>DELCARD ASSOCIATES, LLC, by Seasonair, Inc., as Sole Managing Member</w:t>
      </w:r>
    </w:p>
    <w:p>
      <w:pPr>
        <w:ind w:left="3840"/>
        <w:spacing w:after="0" w:line="231" w:lineRule="auto"/>
        <w:rPr>
          <w:sz w:val="20"/>
          <w:szCs w:val="20"/>
          <w:color w:val="auto"/>
        </w:rPr>
      </w:pPr>
      <w:r>
        <w:rPr>
          <w:rFonts w:ascii="Arial" w:cs="Arial" w:eastAsia="Arial" w:hAnsi="Arial"/>
          <w:sz w:val="22"/>
          <w:szCs w:val="22"/>
          <w:color w:val="auto"/>
        </w:rPr>
        <w:t>DESIGN MECHANICAL INCORPORATED</w:t>
      </w:r>
    </w:p>
    <w:p>
      <w:pPr>
        <w:ind w:left="3840"/>
        <w:spacing w:after="0" w:line="231" w:lineRule="auto"/>
        <w:rPr>
          <w:sz w:val="20"/>
          <w:szCs w:val="20"/>
          <w:color w:val="auto"/>
        </w:rPr>
      </w:pPr>
      <w:r>
        <w:rPr>
          <w:rFonts w:ascii="Arial" w:cs="Arial" w:eastAsia="Arial" w:hAnsi="Arial"/>
          <w:sz w:val="22"/>
          <w:szCs w:val="22"/>
          <w:color w:val="auto"/>
        </w:rPr>
        <w:t>DYNA TEN CORPORATION</w:t>
      </w:r>
    </w:p>
    <w:p>
      <w:pPr>
        <w:spacing w:after="0" w:line="1" w:lineRule="exact"/>
        <w:rPr>
          <w:sz w:val="20"/>
          <w:szCs w:val="20"/>
          <w:color w:val="auto"/>
        </w:rPr>
      </w:pPr>
    </w:p>
    <w:p>
      <w:pPr>
        <w:ind w:left="3840" w:right="120"/>
        <w:spacing w:after="0" w:line="230" w:lineRule="auto"/>
        <w:rPr>
          <w:sz w:val="20"/>
          <w:szCs w:val="20"/>
          <w:color w:val="auto"/>
        </w:rPr>
      </w:pPr>
      <w:r>
        <w:rPr>
          <w:rFonts w:ascii="Arial" w:cs="Arial" w:eastAsia="Arial" w:hAnsi="Arial"/>
          <w:sz w:val="22"/>
          <w:szCs w:val="22"/>
          <w:color w:val="auto"/>
        </w:rPr>
        <w:t>DYNA TEN MAINTENANCE SERVICES, LLC EASTERN HEATING &amp; COOLING, INC. EASTERN REFRIGERATION CO., INC. ENVIRONMENTAL AIR SYSTEMS, LLC, by CSUSA (10),</w:t>
      </w:r>
    </w:p>
    <w:p>
      <w:pPr>
        <w:ind w:left="4160"/>
        <w:spacing w:after="0" w:line="233" w:lineRule="auto"/>
        <w:rPr>
          <w:sz w:val="20"/>
          <w:szCs w:val="20"/>
          <w:color w:val="auto"/>
        </w:rPr>
      </w:pPr>
      <w:r>
        <w:rPr>
          <w:rFonts w:ascii="Arial" w:cs="Arial" w:eastAsia="Arial" w:hAnsi="Arial"/>
          <w:sz w:val="22"/>
          <w:szCs w:val="22"/>
          <w:color w:val="auto"/>
        </w:rPr>
        <w:t>LLC, as Sole Managing Member</w:t>
      </w:r>
    </w:p>
    <w:p>
      <w:pPr>
        <w:ind w:left="4160" w:hanging="323"/>
        <w:spacing w:after="0" w:line="230" w:lineRule="auto"/>
        <w:rPr>
          <w:sz w:val="20"/>
          <w:szCs w:val="20"/>
          <w:color w:val="auto"/>
        </w:rPr>
      </w:pPr>
      <w:r>
        <w:rPr>
          <w:rFonts w:ascii="Arial" w:cs="Arial" w:eastAsia="Arial" w:hAnsi="Arial"/>
          <w:sz w:val="22"/>
          <w:szCs w:val="22"/>
          <w:color w:val="auto"/>
        </w:rPr>
        <w:t>ENVIROTROL, LLC, by Environmental Air Systems, LLC, as Sole Managing Member</w:t>
      </w:r>
    </w:p>
    <w:p>
      <w:pPr>
        <w:spacing w:after="0" w:line="1" w:lineRule="exact"/>
        <w:rPr>
          <w:sz w:val="20"/>
          <w:szCs w:val="20"/>
          <w:color w:val="auto"/>
        </w:rPr>
      </w:pPr>
    </w:p>
    <w:p>
      <w:pPr>
        <w:ind w:left="3840" w:right="620"/>
        <w:spacing w:after="0" w:line="241" w:lineRule="auto"/>
        <w:rPr>
          <w:sz w:val="20"/>
          <w:szCs w:val="20"/>
          <w:color w:val="auto"/>
        </w:rPr>
      </w:pPr>
      <w:r>
        <w:rPr>
          <w:rFonts w:ascii="Arial" w:cs="Arial" w:eastAsia="Arial" w:hAnsi="Arial"/>
          <w:sz w:val="21"/>
          <w:szCs w:val="21"/>
          <w:color w:val="auto"/>
        </w:rPr>
        <w:t>GRANITE STATE HOLDINGS COMPANY, INC. GRANITE STATE PLUMBING &amp; HEATING, LLC, by</w:t>
      </w:r>
    </w:p>
    <w:p>
      <w:pPr>
        <w:spacing w:after="0" w:line="1" w:lineRule="exact"/>
        <w:rPr>
          <w:sz w:val="20"/>
          <w:szCs w:val="20"/>
          <w:color w:val="auto"/>
        </w:rPr>
      </w:pPr>
    </w:p>
    <w:p>
      <w:pPr>
        <w:ind w:left="4160" w:right="200"/>
        <w:spacing w:after="0" w:line="230" w:lineRule="auto"/>
        <w:rPr>
          <w:sz w:val="20"/>
          <w:szCs w:val="20"/>
          <w:color w:val="auto"/>
        </w:rPr>
      </w:pPr>
      <w:r>
        <w:rPr>
          <w:rFonts w:ascii="Arial" w:cs="Arial" w:eastAsia="Arial" w:hAnsi="Arial"/>
          <w:sz w:val="22"/>
          <w:szCs w:val="22"/>
          <w:color w:val="auto"/>
        </w:rPr>
        <w:t>Granite State Holdings Company, Inc., as Sole Managing Member</w:t>
      </w:r>
    </w:p>
    <w:p>
      <w:pPr>
        <w:ind w:left="3840"/>
        <w:spacing w:after="0" w:line="231" w:lineRule="auto"/>
        <w:rPr>
          <w:sz w:val="20"/>
          <w:szCs w:val="20"/>
          <w:color w:val="auto"/>
        </w:rPr>
      </w:pPr>
      <w:r>
        <w:rPr>
          <w:rFonts w:ascii="Arial" w:cs="Arial" w:eastAsia="Arial" w:hAnsi="Arial"/>
          <w:sz w:val="22"/>
          <w:szCs w:val="22"/>
          <w:color w:val="auto"/>
        </w:rPr>
        <w:t>HELM CORPORATION</w:t>
      </w:r>
    </w:p>
    <w:p>
      <w:pPr>
        <w:spacing w:after="0" w:line="1" w:lineRule="exact"/>
        <w:rPr>
          <w:sz w:val="20"/>
          <w:szCs w:val="20"/>
          <w:color w:val="auto"/>
        </w:rPr>
      </w:pPr>
    </w:p>
    <w:p>
      <w:pPr>
        <w:ind w:left="4160" w:right="460" w:hanging="323"/>
        <w:spacing w:after="0" w:line="230" w:lineRule="auto"/>
        <w:rPr>
          <w:sz w:val="20"/>
          <w:szCs w:val="20"/>
          <w:color w:val="auto"/>
        </w:rPr>
      </w:pPr>
      <w:r>
        <w:rPr>
          <w:rFonts w:ascii="Arial" w:cs="Arial" w:eastAsia="Arial" w:hAnsi="Arial"/>
          <w:sz w:val="22"/>
          <w:szCs w:val="22"/>
          <w:color w:val="auto"/>
        </w:rPr>
        <w:t>HESS MECHANICAL, LLC, by Seasonaire, Inc., as Sole Managing Member</w:t>
      </w:r>
    </w:p>
    <w:p>
      <w:pPr>
        <w:ind w:left="3840"/>
        <w:spacing w:after="0" w:line="231" w:lineRule="auto"/>
        <w:rPr>
          <w:sz w:val="20"/>
          <w:szCs w:val="20"/>
          <w:color w:val="auto"/>
        </w:rPr>
      </w:pPr>
      <w:r>
        <w:rPr>
          <w:rFonts w:ascii="Arial" w:cs="Arial" w:eastAsia="Arial" w:hAnsi="Arial"/>
          <w:sz w:val="22"/>
          <w:szCs w:val="22"/>
          <w:color w:val="auto"/>
        </w:rPr>
        <w:t>MECHANICAL TECHNICAL SERVICES, INC.</w:t>
      </w:r>
    </w:p>
    <w:p>
      <w:pPr>
        <w:ind w:left="3840"/>
        <w:spacing w:after="0" w:line="231" w:lineRule="auto"/>
        <w:rPr>
          <w:sz w:val="20"/>
          <w:szCs w:val="20"/>
          <w:color w:val="auto"/>
        </w:rPr>
      </w:pPr>
      <w:r>
        <w:rPr>
          <w:rFonts w:ascii="Arial" w:cs="Arial" w:eastAsia="Arial" w:hAnsi="Arial"/>
          <w:sz w:val="22"/>
          <w:szCs w:val="22"/>
          <w:color w:val="auto"/>
        </w:rPr>
        <w:t>MJ MECHANICAL SERVICES, INC.</w:t>
      </w:r>
    </w:p>
    <w:p>
      <w:pPr>
        <w:ind w:left="3840"/>
        <w:spacing w:after="0" w:line="231" w:lineRule="auto"/>
        <w:rPr>
          <w:sz w:val="20"/>
          <w:szCs w:val="20"/>
          <w:color w:val="auto"/>
        </w:rPr>
      </w:pPr>
      <w:r>
        <w:rPr>
          <w:rFonts w:ascii="Arial" w:cs="Arial" w:eastAsia="Arial" w:hAnsi="Arial"/>
          <w:sz w:val="22"/>
          <w:szCs w:val="22"/>
          <w:color w:val="auto"/>
        </w:rPr>
        <w:t>NORTH AMERICAN MECHANICAL, INC.</w:t>
      </w:r>
    </w:p>
    <w:p>
      <w:pPr>
        <w:ind w:left="3840"/>
        <w:spacing w:after="0" w:line="230" w:lineRule="auto"/>
        <w:rPr>
          <w:sz w:val="20"/>
          <w:szCs w:val="20"/>
          <w:color w:val="auto"/>
        </w:rPr>
      </w:pPr>
      <w:r>
        <w:rPr>
          <w:rFonts w:ascii="Arial" w:cs="Arial" w:eastAsia="Arial" w:hAnsi="Arial"/>
          <w:sz w:val="22"/>
          <w:szCs w:val="22"/>
          <w:color w:val="auto"/>
        </w:rPr>
        <w:t>QUALITY AIR HEATING &amp; COOLING, INC.</w:t>
      </w:r>
    </w:p>
    <w:p>
      <w:pPr>
        <w:ind w:left="3840"/>
        <w:spacing w:after="0" w:line="231" w:lineRule="auto"/>
        <w:rPr>
          <w:sz w:val="20"/>
          <w:szCs w:val="20"/>
          <w:color w:val="auto"/>
        </w:rPr>
      </w:pPr>
      <w:r>
        <w:rPr>
          <w:rFonts w:ascii="Arial" w:cs="Arial" w:eastAsia="Arial" w:hAnsi="Arial"/>
          <w:sz w:val="22"/>
          <w:szCs w:val="22"/>
          <w:color w:val="auto"/>
        </w:rPr>
        <w:t>RIDDLEBERGER BROTHERS, INC.</w:t>
      </w:r>
    </w:p>
    <w:p>
      <w:pPr>
        <w:ind w:left="4160" w:right="180" w:hanging="323"/>
        <w:spacing w:after="0" w:line="230" w:lineRule="auto"/>
        <w:rPr>
          <w:sz w:val="20"/>
          <w:szCs w:val="20"/>
          <w:color w:val="auto"/>
        </w:rPr>
      </w:pPr>
      <w:r>
        <w:rPr>
          <w:rFonts w:ascii="Arial" w:cs="Arial" w:eastAsia="Arial" w:hAnsi="Arial"/>
          <w:sz w:val="22"/>
          <w:szCs w:val="22"/>
          <w:color w:val="auto"/>
        </w:rPr>
        <w:t>ROYALAIRE HOLDINGS, LLC, by BCH Holdings, Inc., as Sole Managing Member</w:t>
      </w:r>
    </w:p>
    <w:p>
      <w:pPr>
        <w:spacing w:after="0" w:line="1" w:lineRule="exact"/>
        <w:rPr>
          <w:sz w:val="20"/>
          <w:szCs w:val="20"/>
          <w:color w:val="auto"/>
        </w:rPr>
      </w:pPr>
    </w:p>
    <w:p>
      <w:pPr>
        <w:ind w:left="4160" w:right="360" w:hanging="323"/>
        <w:spacing w:after="0" w:line="230" w:lineRule="auto"/>
        <w:rPr>
          <w:sz w:val="20"/>
          <w:szCs w:val="20"/>
          <w:color w:val="auto"/>
        </w:rPr>
      </w:pPr>
      <w:r>
        <w:rPr>
          <w:rFonts w:ascii="Arial" w:cs="Arial" w:eastAsia="Arial" w:hAnsi="Arial"/>
          <w:sz w:val="22"/>
          <w:szCs w:val="22"/>
          <w:color w:val="auto"/>
        </w:rPr>
        <w:t>ROYALAIRE MECHANICAL SERVICES, LLC, by BCH Holdings, Inc., as Sole Managing Member</w:t>
      </w:r>
    </w:p>
    <w:p>
      <w:pPr>
        <w:spacing w:after="0" w:line="1" w:lineRule="exact"/>
        <w:rPr>
          <w:sz w:val="20"/>
          <w:szCs w:val="20"/>
          <w:color w:val="auto"/>
        </w:rPr>
      </w:pPr>
    </w:p>
    <w:p>
      <w:pPr>
        <w:ind w:left="4160" w:right="160" w:hanging="323"/>
        <w:spacing w:after="0" w:line="230" w:lineRule="auto"/>
        <w:rPr>
          <w:sz w:val="20"/>
          <w:szCs w:val="20"/>
          <w:color w:val="auto"/>
        </w:rPr>
      </w:pPr>
      <w:r>
        <w:rPr>
          <w:rFonts w:ascii="Arial" w:cs="Arial" w:eastAsia="Arial" w:hAnsi="Arial"/>
          <w:sz w:val="22"/>
          <w:szCs w:val="22"/>
          <w:color w:val="auto"/>
        </w:rPr>
        <w:t>ROYALAIRE MECHANICAL SERVICES II, LLC, by BCH Holdings, Inc., as Sole Managing Member</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S.I. GOLDMAN COMPANY,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97790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320"/>
          </w:cols>
          <w:pgMar w:left="1440" w:top="159" w:right="1139" w:bottom="1440" w:gutter="0" w:footer="0" w:header="0"/>
        </w:sectPr>
      </w:pPr>
    </w:p>
    <w:bookmarkStart w:id="43" w:name="page44"/>
    <w:bookmarkEnd w:id="43"/>
    <w:p>
      <w:pPr>
        <w:ind w:left="4280"/>
        <w:spacing w:after="0"/>
        <w:rPr>
          <w:sz w:val="20"/>
          <w:szCs w:val="20"/>
          <w:color w:val="auto"/>
        </w:rPr>
      </w:pPr>
      <w:r>
        <w:rPr>
          <w:rFonts w:ascii="Arial" w:cs="Arial" w:eastAsia="Arial" w:hAnsi="Arial"/>
          <w:sz w:val="22"/>
          <w:szCs w:val="22"/>
          <w:color w:val="auto"/>
        </w:rPr>
        <w:t>S.M. LAWRENCE COMPANY, INC.</w:t>
      </w:r>
    </w:p>
    <w:p>
      <w:pPr>
        <w:ind w:left="4280"/>
        <w:spacing w:after="0" w:line="238" w:lineRule="auto"/>
        <w:rPr>
          <w:sz w:val="20"/>
          <w:szCs w:val="20"/>
          <w:color w:val="auto"/>
        </w:rPr>
      </w:pPr>
      <w:r>
        <w:rPr>
          <w:rFonts w:ascii="Arial" w:cs="Arial" w:eastAsia="Arial" w:hAnsi="Arial"/>
          <w:sz w:val="22"/>
          <w:szCs w:val="22"/>
          <w:color w:val="auto"/>
        </w:rPr>
        <w:t>SEASONAIR, INC.</w:t>
      </w:r>
    </w:p>
    <w:p>
      <w:pPr>
        <w:ind w:left="4280"/>
        <w:spacing w:after="0" w:line="230" w:lineRule="auto"/>
        <w:rPr>
          <w:sz w:val="20"/>
          <w:szCs w:val="20"/>
          <w:color w:val="auto"/>
        </w:rPr>
      </w:pPr>
      <w:r>
        <w:rPr>
          <w:rFonts w:ascii="Arial" w:cs="Arial" w:eastAsia="Arial" w:hAnsi="Arial"/>
          <w:sz w:val="22"/>
          <w:szCs w:val="22"/>
          <w:color w:val="auto"/>
        </w:rPr>
        <w:t>SHOFFNERKALTHOFF MES, INC.</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TEMP RIGHT SERVICE,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20"/>
        <w:spacing w:after="0"/>
        <w:tabs>
          <w:tab w:leader="none" w:pos="5300" w:val="left"/>
        </w:tabs>
        <w:rPr>
          <w:sz w:val="20"/>
          <w:szCs w:val="20"/>
          <w:color w:val="auto"/>
        </w:rPr>
      </w:pPr>
      <w:r>
        <w:rPr>
          <w:rFonts w:ascii="Arial" w:cs="Arial" w:eastAsia="Arial" w:hAnsi="Arial"/>
          <w:sz w:val="22"/>
          <w:szCs w:val="22"/>
          <w:color w:val="auto"/>
        </w:rPr>
        <w:t>By:</w:t>
        <w:tab/>
        <w:t>/s/ William George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7620</wp:posOffset>
            </wp:positionV>
            <wp:extent cx="2675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5320"/>
        <w:spacing w:after="0"/>
        <w:rPr>
          <w:sz w:val="20"/>
          <w:szCs w:val="20"/>
          <w:color w:val="auto"/>
        </w:rPr>
      </w:pPr>
      <w:r>
        <w:rPr>
          <w:rFonts w:ascii="Arial" w:cs="Arial" w:eastAsia="Arial" w:hAnsi="Arial"/>
          <w:sz w:val="22"/>
          <w:szCs w:val="22"/>
          <w:color w:val="auto"/>
        </w:rPr>
        <w:t>William George III</w:t>
      </w:r>
    </w:p>
    <w:p>
      <w:pPr>
        <w:jc w:val="right"/>
        <w:ind w:right="359"/>
        <w:spacing w:after="0"/>
        <w:rPr>
          <w:sz w:val="20"/>
          <w:szCs w:val="20"/>
          <w:color w:val="auto"/>
        </w:rPr>
      </w:pPr>
      <w:r>
        <w:rPr>
          <w:rFonts w:ascii="Arial" w:cs="Arial" w:eastAsia="Arial" w:hAnsi="Arial"/>
          <w:sz w:val="22"/>
          <w:szCs w:val="22"/>
          <w:color w:val="auto"/>
        </w:rPr>
        <w:t>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ADVANCE TECHNOLOGY, INC.</w:t>
      </w:r>
    </w:p>
    <w:p>
      <w:pPr>
        <w:spacing w:after="0" w:line="8"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ARSTECTUM, INC.</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20"/>
        <w:spacing w:after="0"/>
        <w:tabs>
          <w:tab w:leader="none" w:pos="5300" w:val="left"/>
        </w:tabs>
        <w:rPr>
          <w:sz w:val="20"/>
          <w:szCs w:val="20"/>
          <w:color w:val="auto"/>
        </w:rPr>
      </w:pPr>
      <w:r>
        <w:rPr>
          <w:rFonts w:ascii="Arial" w:cs="Arial" w:eastAsia="Arial" w:hAnsi="Arial"/>
          <w:sz w:val="22"/>
          <w:szCs w:val="22"/>
          <w:color w:val="auto"/>
        </w:rPr>
        <w:t>By:</w:t>
        <w:tab/>
        <w:t>/s/ Trent T. McKenna</w:t>
      </w:r>
    </w:p>
    <w:p>
      <w:pPr>
        <w:spacing w:after="0" w:line="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Name: Trent T.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-158115</wp:posOffset>
            </wp:positionV>
            <wp:extent cx="2675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4445</wp:posOffset>
            </wp:positionV>
            <wp:extent cx="2675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-158115</wp:posOffset>
            </wp:positionV>
            <wp:extent cx="2675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97790</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44" w:name="page45"/>
    <w:bookmarkEnd w:id="44"/>
    <w:p>
      <w:pPr>
        <w:ind w:left="4260"/>
        <w:spacing w:after="0" w:line="256" w:lineRule="auto"/>
        <w:rPr>
          <w:sz w:val="20"/>
          <w:szCs w:val="20"/>
          <w:color w:val="auto"/>
        </w:rPr>
      </w:pP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Agent and a Lender</w:t>
      </w:r>
    </w:p>
    <w:p>
      <w:pPr>
        <w:spacing w:after="0" w:line="385" w:lineRule="exact"/>
        <w:rPr>
          <w:sz w:val="20"/>
          <w:szCs w:val="20"/>
          <w:color w:val="auto"/>
        </w:rPr>
      </w:pPr>
    </w:p>
    <w:p>
      <w:pPr>
        <w:ind w:left="4260"/>
        <w:spacing w:after="0"/>
        <w:tabs>
          <w:tab w:leader="none" w:pos="47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Chad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7620</wp:posOffset>
            </wp:positionV>
            <wp:extent cx="30187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22"/>
          <w:szCs w:val="22"/>
          <w:color w:val="auto"/>
        </w:rPr>
        <w:t>Chad D. Johnson</w:t>
      </w:r>
    </w:p>
    <w:p>
      <w:pPr>
        <w:ind w:left="4780"/>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line="204"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Address:</w:t>
      </w:r>
    </w:p>
    <w:p>
      <w:pPr>
        <w:spacing w:after="0" w:line="233"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Wells Fargo Bank, National Association</w:t>
      </w:r>
    </w:p>
    <w:p>
      <w:pPr>
        <w:ind w:left="4260"/>
        <w:spacing w:after="0" w:line="238" w:lineRule="auto"/>
        <w:rPr>
          <w:sz w:val="20"/>
          <w:szCs w:val="20"/>
          <w:color w:val="auto"/>
        </w:rPr>
      </w:pPr>
      <w:r>
        <w:rPr>
          <w:rFonts w:ascii="Arial" w:cs="Arial" w:eastAsia="Arial" w:hAnsi="Arial"/>
          <w:sz w:val="22"/>
          <w:szCs w:val="22"/>
          <w:color w:val="auto"/>
        </w:rPr>
        <w:t>1000 Louisiana, 10th Floor</w:t>
      </w:r>
    </w:p>
    <w:p>
      <w:pPr>
        <w:ind w:left="4260"/>
        <w:spacing w:after="0" w:line="230" w:lineRule="auto"/>
        <w:rPr>
          <w:sz w:val="20"/>
          <w:szCs w:val="20"/>
          <w:color w:val="auto"/>
        </w:rPr>
      </w:pPr>
      <w:r>
        <w:rPr>
          <w:rFonts w:ascii="Arial" w:cs="Arial" w:eastAsia="Arial" w:hAnsi="Arial"/>
          <w:sz w:val="22"/>
          <w:szCs w:val="22"/>
          <w:color w:val="auto"/>
        </w:rPr>
        <w:t>Houston, Texas 77002</w:t>
      </w:r>
    </w:p>
    <w:p>
      <w:pPr>
        <w:ind w:left="4260"/>
        <w:spacing w:after="0" w:line="231" w:lineRule="auto"/>
        <w:tabs>
          <w:tab w:leader="none" w:pos="5380" w:val="left"/>
        </w:tabs>
        <w:rPr>
          <w:sz w:val="20"/>
          <w:szCs w:val="20"/>
          <w:color w:val="auto"/>
        </w:rPr>
      </w:pPr>
      <w:r>
        <w:rPr>
          <w:rFonts w:ascii="Arial" w:cs="Arial" w:eastAsia="Arial" w:hAnsi="Arial"/>
          <w:sz w:val="22"/>
          <w:szCs w:val="22"/>
          <w:color w:val="auto"/>
        </w:rPr>
        <w:t>Attention:</w:t>
        <w:tab/>
        <w:t>Chad D. Johnson</w:t>
      </w:r>
    </w:p>
    <w:p>
      <w:pPr>
        <w:ind w:left="4260"/>
        <w:spacing w:after="0" w:line="231" w:lineRule="auto"/>
        <w:rPr>
          <w:sz w:val="20"/>
          <w:szCs w:val="20"/>
          <w:color w:val="auto"/>
        </w:rPr>
      </w:pPr>
      <w:r>
        <w:rPr>
          <w:rFonts w:ascii="Arial" w:cs="Arial" w:eastAsia="Arial" w:hAnsi="Arial"/>
          <w:sz w:val="22"/>
          <w:szCs w:val="22"/>
          <w:color w:val="auto"/>
        </w:rPr>
        <w:t>Telephone:  713-319-1332</w:t>
      </w:r>
    </w:p>
    <w:p>
      <w:pPr>
        <w:ind w:left="4260"/>
        <w:spacing w:after="0"/>
        <w:tabs>
          <w:tab w:leader="none" w:pos="53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713-739-1086</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380"/>
          </w:cols>
          <w:pgMar w:left="1440" w:top="153" w:right="1079" w:bottom="1440" w:gutter="0" w:footer="0" w:header="0"/>
        </w:sectPr>
      </w:pPr>
    </w:p>
    <w:bookmarkStart w:id="45" w:name="page46"/>
    <w:bookmarkEnd w:id="45"/>
    <w:p>
      <w:pPr>
        <w:ind w:left="4240"/>
        <w:spacing w:after="0"/>
        <w:rPr>
          <w:sz w:val="20"/>
          <w:szCs w:val="20"/>
          <w:color w:val="auto"/>
        </w:rPr>
      </w:pPr>
      <w:r>
        <w:rPr>
          <w:rFonts w:ascii="Arial" w:cs="Arial" w:eastAsia="Arial" w:hAnsi="Arial"/>
          <w:sz w:val="22"/>
          <w:szCs w:val="22"/>
          <w:b w:val="1"/>
          <w:bCs w:val="1"/>
          <w:color w:val="auto"/>
        </w:rPr>
        <w:t>BOKF, NA dba Bank of Texas</w:t>
      </w:r>
      <w:r>
        <w:rPr>
          <w:rFonts w:ascii="Arial" w:cs="Arial" w:eastAsia="Arial" w:hAnsi="Arial"/>
          <w:sz w:val="22"/>
          <w:szCs w:val="22"/>
          <w:color w:val="auto"/>
        </w:rPr>
        <w:t>,</w:t>
      </w:r>
    </w:p>
    <w:p>
      <w:pPr>
        <w:spacing w:after="0" w:line="14"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Lender</w:t>
      </w:r>
    </w:p>
    <w:p>
      <w:pPr>
        <w:spacing w:after="0" w:line="394" w:lineRule="exact"/>
        <w:rPr>
          <w:sz w:val="20"/>
          <w:szCs w:val="20"/>
          <w:color w:val="auto"/>
        </w:rPr>
      </w:pPr>
    </w:p>
    <w:tbl>
      <w:tblPr>
        <w:tblLayout w:type="fixed"/>
        <w:tblInd w:w="42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Pr>
          <w:p>
            <w:pPr>
              <w:spacing w:after="0"/>
              <w:rPr>
                <w:sz w:val="20"/>
                <w:szCs w:val="20"/>
                <w:color w:val="auto"/>
              </w:rPr>
            </w:pPr>
            <w:r>
              <w:rPr>
                <w:rFonts w:ascii="Arial" w:cs="Arial" w:eastAsia="Arial" w:hAnsi="Arial"/>
                <w:sz w:val="22"/>
                <w:szCs w:val="22"/>
                <w:color w:val="auto"/>
              </w:rPr>
              <w:t>/s/ Faith Allen</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4560" w:type="dxa"/>
            <w:vAlign w:val="bottom"/>
          </w:tcPr>
          <w:p>
            <w:pPr>
              <w:spacing w:after="0" w:line="216" w:lineRule="exact"/>
              <w:rPr>
                <w:sz w:val="20"/>
                <w:szCs w:val="20"/>
                <w:color w:val="auto"/>
              </w:rPr>
            </w:pPr>
            <w:r>
              <w:rPr>
                <w:rFonts w:ascii="Arial" w:cs="Arial" w:eastAsia="Arial" w:hAnsi="Arial"/>
                <w:sz w:val="22"/>
                <w:szCs w:val="22"/>
                <w:color w:val="auto"/>
              </w:rPr>
              <w:t>Faith Allen</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5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BOKF, NA dba Bank of Texas</w:t>
      </w:r>
    </w:p>
    <w:p>
      <w:pPr>
        <w:ind w:left="4240"/>
        <w:spacing w:after="0" w:line="238" w:lineRule="auto"/>
        <w:rPr>
          <w:sz w:val="20"/>
          <w:szCs w:val="20"/>
          <w:color w:val="auto"/>
        </w:rPr>
      </w:pPr>
      <w:r>
        <w:rPr>
          <w:rFonts w:ascii="Arial" w:cs="Arial" w:eastAsia="Arial" w:hAnsi="Arial"/>
          <w:sz w:val="22"/>
          <w:szCs w:val="22"/>
          <w:color w:val="auto"/>
        </w:rPr>
        <w:t>5 Houston Center</w:t>
      </w:r>
    </w:p>
    <w:p>
      <w:pPr>
        <w:ind w:left="4240"/>
        <w:spacing w:after="0" w:line="230" w:lineRule="auto"/>
        <w:rPr>
          <w:sz w:val="20"/>
          <w:szCs w:val="20"/>
          <w:color w:val="auto"/>
        </w:rPr>
      </w:pPr>
      <w:r>
        <w:rPr>
          <w:rFonts w:ascii="Arial" w:cs="Arial" w:eastAsia="Arial" w:hAnsi="Arial"/>
          <w:sz w:val="22"/>
          <w:szCs w:val="22"/>
          <w:color w:val="auto"/>
        </w:rPr>
        <w:t>1401 McKinney, Suite 1000</w:t>
      </w:r>
    </w:p>
    <w:p>
      <w:pPr>
        <w:ind w:left="4240"/>
        <w:spacing w:after="0" w:line="231" w:lineRule="auto"/>
        <w:rPr>
          <w:sz w:val="20"/>
          <w:szCs w:val="20"/>
          <w:color w:val="auto"/>
        </w:rPr>
      </w:pPr>
      <w:r>
        <w:rPr>
          <w:rFonts w:ascii="Arial" w:cs="Arial" w:eastAsia="Arial" w:hAnsi="Arial"/>
          <w:sz w:val="22"/>
          <w:szCs w:val="22"/>
          <w:color w:val="auto"/>
        </w:rPr>
        <w:t>Houston, Texas 77010</w:t>
      </w:r>
    </w:p>
    <w:p>
      <w:pPr>
        <w:ind w:left="4240"/>
        <w:spacing w:after="0" w:line="231" w:lineRule="auto"/>
        <w:tabs>
          <w:tab w:leader="none" w:pos="5380" w:val="left"/>
        </w:tabs>
        <w:rPr>
          <w:sz w:val="20"/>
          <w:szCs w:val="20"/>
          <w:color w:val="auto"/>
        </w:rPr>
      </w:pPr>
      <w:r>
        <w:rPr>
          <w:rFonts w:ascii="Arial" w:cs="Arial" w:eastAsia="Arial" w:hAnsi="Arial"/>
          <w:sz w:val="22"/>
          <w:szCs w:val="22"/>
          <w:color w:val="auto"/>
        </w:rPr>
        <w:t>Attention:</w:t>
        <w:tab/>
        <w:t>Faith Allen</w:t>
      </w:r>
    </w:p>
    <w:p>
      <w:pPr>
        <w:ind w:left="4240"/>
        <w:spacing w:after="0" w:line="230" w:lineRule="auto"/>
        <w:rPr>
          <w:sz w:val="20"/>
          <w:szCs w:val="20"/>
          <w:color w:val="auto"/>
        </w:rPr>
      </w:pPr>
      <w:r>
        <w:rPr>
          <w:rFonts w:ascii="Arial" w:cs="Arial" w:eastAsia="Arial" w:hAnsi="Arial"/>
          <w:sz w:val="22"/>
          <w:szCs w:val="22"/>
          <w:color w:val="auto"/>
        </w:rPr>
        <w:t>Telephone:  713-289-5875</w:t>
      </w:r>
    </w:p>
    <w:p>
      <w:pPr>
        <w:spacing w:after="0" w:line="1" w:lineRule="exact"/>
        <w:rPr>
          <w:sz w:val="20"/>
          <w:szCs w:val="20"/>
          <w:color w:val="auto"/>
        </w:rPr>
      </w:pPr>
    </w:p>
    <w:p>
      <w:pPr>
        <w:ind w:left="4240"/>
        <w:spacing w:after="0"/>
        <w:tabs>
          <w:tab w:leader="none" w:pos="53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713-289-5825</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53" w:right="919" w:bottom="1440" w:gutter="0" w:footer="0" w:header="0"/>
        </w:sectPr>
      </w:pPr>
    </w:p>
    <w:bookmarkStart w:id="46" w:name="page47"/>
    <w:bookmarkEnd w:id="46"/>
    <w:p>
      <w:pPr>
        <w:ind w:left="4240"/>
        <w:spacing w:after="0"/>
        <w:rPr>
          <w:sz w:val="20"/>
          <w:szCs w:val="20"/>
          <w:color w:val="auto"/>
        </w:rPr>
      </w:pPr>
      <w:r>
        <w:rPr>
          <w:rFonts w:ascii="Arial" w:cs="Arial" w:eastAsia="Arial" w:hAnsi="Arial"/>
          <w:sz w:val="22"/>
          <w:szCs w:val="22"/>
          <w:b w:val="1"/>
          <w:bCs w:val="1"/>
          <w:color w:val="auto"/>
        </w:rPr>
        <w:t>CAPITAL ONE, N.A.</w:t>
      </w:r>
      <w:r>
        <w:rPr>
          <w:rFonts w:ascii="Arial" w:cs="Arial" w:eastAsia="Arial" w:hAnsi="Arial"/>
          <w:sz w:val="22"/>
          <w:szCs w:val="22"/>
          <w:color w:val="auto"/>
        </w:rPr>
        <w:t>,</w:t>
      </w:r>
    </w:p>
    <w:p>
      <w:pPr>
        <w:spacing w:after="0" w:line="14"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Lender</w:t>
      </w:r>
    </w:p>
    <w:p>
      <w:pPr>
        <w:spacing w:after="0" w:line="394" w:lineRule="exact"/>
        <w:rPr>
          <w:sz w:val="20"/>
          <w:szCs w:val="20"/>
          <w:color w:val="auto"/>
        </w:rPr>
      </w:pPr>
    </w:p>
    <w:tbl>
      <w:tblPr>
        <w:tblLayout w:type="fixed"/>
        <w:tblInd w:w="42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Pr>
          <w:p>
            <w:pPr>
              <w:spacing w:after="0"/>
              <w:rPr>
                <w:sz w:val="20"/>
                <w:szCs w:val="20"/>
                <w:color w:val="auto"/>
              </w:rPr>
            </w:pPr>
            <w:r>
              <w:rPr>
                <w:rFonts w:ascii="Arial" w:cs="Arial" w:eastAsia="Arial" w:hAnsi="Arial"/>
                <w:sz w:val="22"/>
                <w:szCs w:val="22"/>
                <w:color w:val="auto"/>
              </w:rPr>
              <w:t>/s/ Sallye Cielencki</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4560" w:type="dxa"/>
            <w:vAlign w:val="bottom"/>
          </w:tcPr>
          <w:p>
            <w:pPr>
              <w:spacing w:after="0" w:line="216" w:lineRule="exact"/>
              <w:rPr>
                <w:sz w:val="20"/>
                <w:szCs w:val="20"/>
                <w:color w:val="auto"/>
              </w:rPr>
            </w:pPr>
            <w:r>
              <w:rPr>
                <w:rFonts w:ascii="Arial" w:cs="Arial" w:eastAsia="Arial" w:hAnsi="Arial"/>
                <w:sz w:val="22"/>
                <w:szCs w:val="22"/>
                <w:color w:val="auto"/>
              </w:rPr>
              <w:t>Sallye Cielencki</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5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Capital One, N.A.</w:t>
      </w:r>
    </w:p>
    <w:p>
      <w:pPr>
        <w:ind w:left="4240"/>
        <w:spacing w:after="0" w:line="238" w:lineRule="auto"/>
        <w:rPr>
          <w:sz w:val="20"/>
          <w:szCs w:val="20"/>
          <w:color w:val="auto"/>
        </w:rPr>
      </w:pPr>
      <w:r>
        <w:rPr>
          <w:rFonts w:ascii="Arial" w:cs="Arial" w:eastAsia="Arial" w:hAnsi="Arial"/>
          <w:sz w:val="22"/>
          <w:szCs w:val="22"/>
          <w:color w:val="auto"/>
        </w:rPr>
        <w:t>5444 Westheimer, Suite 700</w:t>
      </w:r>
    </w:p>
    <w:p>
      <w:pPr>
        <w:ind w:left="4240"/>
        <w:spacing w:after="0" w:line="230" w:lineRule="auto"/>
        <w:rPr>
          <w:sz w:val="20"/>
          <w:szCs w:val="20"/>
          <w:color w:val="auto"/>
        </w:rPr>
      </w:pPr>
      <w:r>
        <w:rPr>
          <w:rFonts w:ascii="Arial" w:cs="Arial" w:eastAsia="Arial" w:hAnsi="Arial"/>
          <w:sz w:val="22"/>
          <w:szCs w:val="22"/>
          <w:color w:val="auto"/>
        </w:rPr>
        <w:t>Houston, Texas 77056</w:t>
      </w:r>
    </w:p>
    <w:p>
      <w:pPr>
        <w:ind w:left="4240"/>
        <w:spacing w:after="0" w:line="231" w:lineRule="auto"/>
        <w:tabs>
          <w:tab w:leader="none" w:pos="5360" w:val="left"/>
        </w:tabs>
        <w:rPr>
          <w:sz w:val="20"/>
          <w:szCs w:val="20"/>
          <w:color w:val="auto"/>
        </w:rPr>
      </w:pPr>
      <w:r>
        <w:rPr>
          <w:rFonts w:ascii="Arial" w:cs="Arial" w:eastAsia="Arial" w:hAnsi="Arial"/>
          <w:sz w:val="22"/>
          <w:szCs w:val="22"/>
          <w:color w:val="auto"/>
        </w:rPr>
        <w:t>Attention:</w:t>
        <w:tab/>
        <w:t>Yasmin Huebinger</w:t>
      </w:r>
    </w:p>
    <w:p>
      <w:pPr>
        <w:ind w:left="4240"/>
        <w:spacing w:after="0" w:line="231" w:lineRule="auto"/>
        <w:rPr>
          <w:sz w:val="20"/>
          <w:szCs w:val="20"/>
          <w:color w:val="auto"/>
        </w:rPr>
      </w:pPr>
      <w:r>
        <w:rPr>
          <w:rFonts w:ascii="Arial" w:cs="Arial" w:eastAsia="Arial" w:hAnsi="Arial"/>
          <w:sz w:val="22"/>
          <w:szCs w:val="22"/>
          <w:color w:val="auto"/>
        </w:rPr>
        <w:t>Telephone:  713-212-5285</w:t>
      </w:r>
    </w:p>
    <w:p>
      <w:pPr>
        <w:ind w:left="4240"/>
        <w:spacing w:after="0"/>
        <w:tabs>
          <w:tab w:leader="none" w:pos="53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855-735-8388</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53" w:right="919" w:bottom="1440" w:gutter="0" w:footer="0" w:header="0"/>
        </w:sectPr>
      </w:pPr>
    </w:p>
    <w:bookmarkStart w:id="47" w:name="page48"/>
    <w:bookmarkEnd w:id="47"/>
    <w:p>
      <w:pPr>
        <w:ind w:left="4240"/>
        <w:spacing w:after="0"/>
        <w:rPr>
          <w:sz w:val="20"/>
          <w:szCs w:val="20"/>
          <w:color w:val="auto"/>
        </w:rPr>
      </w:pPr>
      <w:r>
        <w:rPr>
          <w:rFonts w:ascii="Arial" w:cs="Arial" w:eastAsia="Arial" w:hAnsi="Arial"/>
          <w:sz w:val="22"/>
          <w:szCs w:val="22"/>
          <w:b w:val="1"/>
          <w:bCs w:val="1"/>
          <w:color w:val="auto"/>
        </w:rPr>
        <w:t>BRANCH BANK AND TRUST COMPANY</w:t>
      </w:r>
      <w:r>
        <w:rPr>
          <w:rFonts w:ascii="Arial" w:cs="Arial" w:eastAsia="Arial" w:hAnsi="Arial"/>
          <w:sz w:val="22"/>
          <w:szCs w:val="22"/>
          <w:color w:val="auto"/>
        </w:rPr>
        <w:t>,</w:t>
      </w:r>
    </w:p>
    <w:p>
      <w:pPr>
        <w:spacing w:after="0" w:line="14"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Lender</w:t>
      </w:r>
    </w:p>
    <w:p>
      <w:pPr>
        <w:spacing w:after="0" w:line="394" w:lineRule="exact"/>
        <w:rPr>
          <w:sz w:val="20"/>
          <w:szCs w:val="20"/>
          <w:color w:val="auto"/>
        </w:rPr>
      </w:pPr>
    </w:p>
    <w:tbl>
      <w:tblPr>
        <w:tblLayout w:type="fixed"/>
        <w:tblInd w:w="42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560" w:type="dxa"/>
            <w:vAlign w:val="bottom"/>
          </w:tcPr>
          <w:p>
            <w:pPr>
              <w:spacing w:after="0"/>
              <w:rPr>
                <w:sz w:val="20"/>
                <w:szCs w:val="20"/>
                <w:color w:val="auto"/>
              </w:rPr>
            </w:pPr>
            <w:r>
              <w:rPr>
                <w:rFonts w:ascii="Arial" w:cs="Arial" w:eastAsia="Arial" w:hAnsi="Arial"/>
                <w:sz w:val="22"/>
                <w:szCs w:val="22"/>
                <w:color w:val="auto"/>
              </w:rPr>
              <w:t>/s/ Matt McCain</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4560" w:type="dxa"/>
            <w:vAlign w:val="bottom"/>
          </w:tcPr>
          <w:p>
            <w:pPr>
              <w:spacing w:after="0" w:line="216" w:lineRule="exact"/>
              <w:rPr>
                <w:sz w:val="20"/>
                <w:szCs w:val="20"/>
                <w:color w:val="auto"/>
              </w:rPr>
            </w:pPr>
            <w:r>
              <w:rPr>
                <w:rFonts w:ascii="Arial" w:cs="Arial" w:eastAsia="Arial" w:hAnsi="Arial"/>
                <w:sz w:val="22"/>
                <w:szCs w:val="22"/>
                <w:color w:val="auto"/>
              </w:rPr>
              <w:t>Matt McCain</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56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Senior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Address:</w:t>
      </w:r>
    </w:p>
    <w:p>
      <w:pPr>
        <w:spacing w:after="0" w:line="233"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Branch Bank and Trust Company</w:t>
      </w:r>
    </w:p>
    <w:p>
      <w:pPr>
        <w:ind w:left="4240"/>
        <w:spacing w:after="0" w:line="238" w:lineRule="auto"/>
        <w:rPr>
          <w:sz w:val="20"/>
          <w:szCs w:val="20"/>
          <w:color w:val="auto"/>
        </w:rPr>
      </w:pPr>
      <w:r>
        <w:rPr>
          <w:rFonts w:ascii="Arial" w:cs="Arial" w:eastAsia="Arial" w:hAnsi="Arial"/>
          <w:sz w:val="22"/>
          <w:szCs w:val="22"/>
          <w:color w:val="auto"/>
        </w:rPr>
        <w:t>333 Clay Street, Ste. 4495</w:t>
      </w:r>
    </w:p>
    <w:p>
      <w:pPr>
        <w:ind w:left="4240"/>
        <w:spacing w:after="0" w:line="230" w:lineRule="auto"/>
        <w:rPr>
          <w:sz w:val="20"/>
          <w:szCs w:val="20"/>
          <w:color w:val="auto"/>
        </w:rPr>
      </w:pPr>
      <w:r>
        <w:rPr>
          <w:rFonts w:ascii="Arial" w:cs="Arial" w:eastAsia="Arial" w:hAnsi="Arial"/>
          <w:sz w:val="22"/>
          <w:szCs w:val="22"/>
          <w:color w:val="auto"/>
        </w:rPr>
        <w:t>Houston, Texas 77002</w:t>
      </w:r>
    </w:p>
    <w:p>
      <w:pPr>
        <w:ind w:left="4240"/>
        <w:spacing w:after="0" w:line="231" w:lineRule="auto"/>
        <w:tabs>
          <w:tab w:leader="none" w:pos="5380" w:val="left"/>
        </w:tabs>
        <w:rPr>
          <w:sz w:val="20"/>
          <w:szCs w:val="20"/>
          <w:color w:val="auto"/>
        </w:rPr>
      </w:pPr>
      <w:r>
        <w:rPr>
          <w:rFonts w:ascii="Arial" w:cs="Arial" w:eastAsia="Arial" w:hAnsi="Arial"/>
          <w:sz w:val="22"/>
          <w:szCs w:val="22"/>
          <w:color w:val="auto"/>
        </w:rPr>
        <w:t>Attention:</w:t>
        <w:tab/>
        <w:t>Matt McCain</w:t>
      </w:r>
    </w:p>
    <w:p>
      <w:pPr>
        <w:ind w:left="4240"/>
        <w:spacing w:after="0" w:line="231" w:lineRule="auto"/>
        <w:rPr>
          <w:sz w:val="20"/>
          <w:szCs w:val="20"/>
          <w:color w:val="auto"/>
        </w:rPr>
      </w:pPr>
      <w:r>
        <w:rPr>
          <w:rFonts w:ascii="Arial" w:cs="Arial" w:eastAsia="Arial" w:hAnsi="Arial"/>
          <w:sz w:val="22"/>
          <w:szCs w:val="22"/>
          <w:color w:val="auto"/>
        </w:rPr>
        <w:t>Telephone:  713-797-2147</w:t>
      </w:r>
    </w:p>
    <w:p>
      <w:pPr>
        <w:ind w:left="4240"/>
        <w:spacing w:after="0"/>
        <w:tabs>
          <w:tab w:leader="none" w:pos="53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713-652-0753</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53" w:right="919" w:bottom="1440" w:gutter="0" w:footer="0" w:header="0"/>
        </w:sectPr>
      </w:pPr>
    </w:p>
    <w:bookmarkStart w:id="48" w:name="page49"/>
    <w:bookmarkEnd w:id="48"/>
    <w:p>
      <w:pPr>
        <w:ind w:left="4220"/>
        <w:spacing w:after="0"/>
        <w:rPr>
          <w:sz w:val="20"/>
          <w:szCs w:val="20"/>
          <w:color w:val="auto"/>
        </w:rPr>
      </w:pPr>
      <w:r>
        <w:rPr>
          <w:rFonts w:ascii="Arial" w:cs="Arial" w:eastAsia="Arial" w:hAnsi="Arial"/>
          <w:sz w:val="22"/>
          <w:szCs w:val="22"/>
          <w:b w:val="1"/>
          <w:bCs w:val="1"/>
          <w:color w:val="auto"/>
        </w:rPr>
        <w:t>REGIONS BANK</w:t>
      </w:r>
      <w:r>
        <w:rPr>
          <w:rFonts w:ascii="Arial" w:cs="Arial" w:eastAsia="Arial" w:hAnsi="Arial"/>
          <w:sz w:val="22"/>
          <w:szCs w:val="22"/>
          <w:color w:val="auto"/>
        </w:rPr>
        <w:t>,</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Lender</w:t>
      </w:r>
    </w:p>
    <w:p>
      <w:pPr>
        <w:spacing w:after="0" w:line="394"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spacing w:after="0"/>
              <w:rPr>
                <w:sz w:val="20"/>
                <w:szCs w:val="20"/>
                <w:color w:val="auto"/>
              </w:rPr>
            </w:pPr>
            <w:r>
              <w:rPr>
                <w:rFonts w:ascii="Arial" w:cs="Arial" w:eastAsia="Arial" w:hAnsi="Arial"/>
                <w:sz w:val="22"/>
                <w:szCs w:val="22"/>
                <w:color w:val="auto"/>
              </w:rPr>
              <w:t>/s/ Joey Powell</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22"/>
                <w:szCs w:val="22"/>
                <w:color w:val="auto"/>
              </w:rPr>
              <w:t>Joey Powell</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Regions Bank</w:t>
      </w:r>
    </w:p>
    <w:p>
      <w:pPr>
        <w:ind w:left="4220"/>
        <w:spacing w:after="0" w:line="238" w:lineRule="auto"/>
        <w:rPr>
          <w:sz w:val="20"/>
          <w:szCs w:val="20"/>
          <w:color w:val="auto"/>
        </w:rPr>
      </w:pPr>
      <w:r>
        <w:rPr>
          <w:rFonts w:ascii="Arial" w:cs="Arial" w:eastAsia="Arial" w:hAnsi="Arial"/>
          <w:sz w:val="22"/>
          <w:szCs w:val="22"/>
          <w:color w:val="auto"/>
        </w:rPr>
        <w:t>5005 Woodway Drive, Suite 110</w:t>
      </w:r>
    </w:p>
    <w:p>
      <w:pPr>
        <w:ind w:left="4220"/>
        <w:spacing w:after="0" w:line="230" w:lineRule="auto"/>
        <w:rPr>
          <w:sz w:val="20"/>
          <w:szCs w:val="20"/>
          <w:color w:val="auto"/>
        </w:rPr>
      </w:pPr>
      <w:r>
        <w:rPr>
          <w:rFonts w:ascii="Arial" w:cs="Arial" w:eastAsia="Arial" w:hAnsi="Arial"/>
          <w:sz w:val="22"/>
          <w:szCs w:val="22"/>
          <w:color w:val="auto"/>
        </w:rPr>
        <w:t>Houston, Texas 77479</w:t>
      </w:r>
    </w:p>
    <w:p>
      <w:pPr>
        <w:ind w:left="4220"/>
        <w:spacing w:after="0" w:line="231" w:lineRule="auto"/>
        <w:tabs>
          <w:tab w:leader="none" w:pos="5340" w:val="left"/>
        </w:tabs>
        <w:rPr>
          <w:sz w:val="20"/>
          <w:szCs w:val="20"/>
          <w:color w:val="auto"/>
        </w:rPr>
      </w:pPr>
      <w:r>
        <w:rPr>
          <w:rFonts w:ascii="Arial" w:cs="Arial" w:eastAsia="Arial" w:hAnsi="Arial"/>
          <w:sz w:val="22"/>
          <w:szCs w:val="22"/>
          <w:color w:val="auto"/>
        </w:rPr>
        <w:t>Attention:</w:t>
        <w:tab/>
        <w:t>Joey Powell</w:t>
      </w:r>
    </w:p>
    <w:p>
      <w:pPr>
        <w:ind w:left="4220"/>
        <w:spacing w:after="0" w:line="231" w:lineRule="auto"/>
        <w:rPr>
          <w:sz w:val="20"/>
          <w:szCs w:val="20"/>
          <w:color w:val="auto"/>
        </w:rPr>
      </w:pPr>
      <w:r>
        <w:rPr>
          <w:rFonts w:ascii="Arial" w:cs="Arial" w:eastAsia="Arial" w:hAnsi="Arial"/>
          <w:sz w:val="22"/>
          <w:szCs w:val="22"/>
          <w:color w:val="auto"/>
        </w:rPr>
        <w:t>Telephone:  832-730-5695</w:t>
      </w:r>
    </w:p>
    <w:p>
      <w:pPr>
        <w:ind w:left="4220"/>
        <w:spacing w:after="0"/>
        <w:tabs>
          <w:tab w:leader="none" w:pos="534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832-532-1891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53" w:right="919" w:bottom="1440" w:gutter="0" w:footer="0" w:header="0"/>
        </w:sectPr>
      </w:pPr>
    </w:p>
    <w:bookmarkStart w:id="49" w:name="page50"/>
    <w:bookmarkEnd w:id="49"/>
    <w:p>
      <w:pPr>
        <w:ind w:left="4240"/>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w:t>
      </w:r>
    </w:p>
    <w:p>
      <w:pPr>
        <w:spacing w:after="0" w:line="14"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Lender</w:t>
      </w:r>
    </w:p>
    <w:p>
      <w:pPr>
        <w:spacing w:after="0" w:line="394" w:lineRule="exact"/>
        <w:rPr>
          <w:sz w:val="20"/>
          <w:szCs w:val="20"/>
          <w:color w:val="auto"/>
        </w:rPr>
      </w:pPr>
    </w:p>
    <w:tbl>
      <w:tblPr>
        <w:tblLayout w:type="fixed"/>
        <w:tblInd w:w="424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spacing w:after="0"/>
              <w:rPr>
                <w:sz w:val="20"/>
                <w:szCs w:val="20"/>
                <w:color w:val="auto"/>
              </w:rPr>
            </w:pPr>
            <w:r>
              <w:rPr>
                <w:rFonts w:ascii="Arial" w:cs="Arial" w:eastAsia="Arial" w:hAnsi="Arial"/>
                <w:sz w:val="22"/>
                <w:szCs w:val="22"/>
                <w:color w:val="auto"/>
              </w:rPr>
              <w:t>/s/ Paul F. Johnson</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00" w:type="dxa"/>
            <w:vAlign w:val="bottom"/>
            <w:vMerge w:val="continue"/>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22"/>
                <w:szCs w:val="22"/>
                <w:color w:val="auto"/>
              </w:rPr>
              <w:t>Paul F. Johnson</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 w:type="dxa"/>
            <w:vAlign w:val="bottom"/>
            <w:vMerge w:val="continue"/>
          </w:tcPr>
          <w:p>
            <w:pPr>
              <w:spacing w:after="0"/>
              <w:rPr>
                <w:sz w:val="20"/>
                <w:szCs w:val="20"/>
                <w:color w:val="auto"/>
              </w:rPr>
            </w:pPr>
          </w:p>
        </w:tc>
        <w:tc>
          <w:tcPr>
            <w:tcW w:w="4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U.S. Bank National Association</w:t>
      </w:r>
    </w:p>
    <w:p>
      <w:pPr>
        <w:ind w:left="4240"/>
        <w:spacing w:after="0" w:line="238" w:lineRule="auto"/>
        <w:rPr>
          <w:sz w:val="20"/>
          <w:szCs w:val="20"/>
          <w:color w:val="auto"/>
        </w:rPr>
      </w:pPr>
      <w:r>
        <w:rPr>
          <w:rFonts w:ascii="Arial" w:cs="Arial" w:eastAsia="Arial" w:hAnsi="Arial"/>
          <w:sz w:val="22"/>
          <w:szCs w:val="22"/>
          <w:color w:val="auto"/>
        </w:rPr>
        <w:t>425 Walnut St.</w:t>
      </w:r>
    </w:p>
    <w:p>
      <w:pPr>
        <w:ind w:left="4240"/>
        <w:spacing w:after="0" w:line="230" w:lineRule="auto"/>
        <w:rPr>
          <w:sz w:val="20"/>
          <w:szCs w:val="20"/>
          <w:color w:val="auto"/>
        </w:rPr>
      </w:pPr>
      <w:r>
        <w:rPr>
          <w:rFonts w:ascii="Arial" w:cs="Arial" w:eastAsia="Arial" w:hAnsi="Arial"/>
          <w:sz w:val="22"/>
          <w:szCs w:val="22"/>
          <w:color w:val="auto"/>
        </w:rPr>
        <w:t>CN-OH-W8</w:t>
      </w:r>
    </w:p>
    <w:p>
      <w:pPr>
        <w:ind w:left="4240"/>
        <w:spacing w:after="0" w:line="231" w:lineRule="auto"/>
        <w:rPr>
          <w:sz w:val="20"/>
          <w:szCs w:val="20"/>
          <w:color w:val="auto"/>
        </w:rPr>
      </w:pPr>
      <w:r>
        <w:rPr>
          <w:rFonts w:ascii="Arial" w:cs="Arial" w:eastAsia="Arial" w:hAnsi="Arial"/>
          <w:sz w:val="22"/>
          <w:szCs w:val="22"/>
          <w:color w:val="auto"/>
        </w:rPr>
        <w:t>Cincinnati, Ohio 45202</w:t>
      </w:r>
    </w:p>
    <w:p>
      <w:pPr>
        <w:ind w:left="4240"/>
        <w:spacing w:after="0" w:line="231" w:lineRule="auto"/>
        <w:tabs>
          <w:tab w:leader="none" w:pos="5360" w:val="left"/>
        </w:tabs>
        <w:rPr>
          <w:sz w:val="20"/>
          <w:szCs w:val="20"/>
          <w:color w:val="auto"/>
        </w:rPr>
      </w:pPr>
      <w:r>
        <w:rPr>
          <w:rFonts w:ascii="Arial" w:cs="Arial" w:eastAsia="Arial" w:hAnsi="Arial"/>
          <w:sz w:val="22"/>
          <w:szCs w:val="22"/>
          <w:color w:val="auto"/>
        </w:rPr>
        <w:t>Attention:</w:t>
        <w:tab/>
        <w:t>Paul Johnson</w:t>
      </w:r>
    </w:p>
    <w:p>
      <w:pPr>
        <w:ind w:left="4240"/>
        <w:spacing w:after="0" w:line="230" w:lineRule="auto"/>
        <w:rPr>
          <w:sz w:val="20"/>
          <w:szCs w:val="20"/>
          <w:color w:val="auto"/>
        </w:rPr>
      </w:pPr>
      <w:r>
        <w:rPr>
          <w:rFonts w:ascii="Arial" w:cs="Arial" w:eastAsia="Arial" w:hAnsi="Arial"/>
          <w:sz w:val="22"/>
          <w:szCs w:val="22"/>
          <w:color w:val="auto"/>
        </w:rPr>
        <w:t>Telephone:  513-632-3913</w:t>
      </w:r>
    </w:p>
    <w:p>
      <w:pPr>
        <w:spacing w:after="0" w:line="1" w:lineRule="exact"/>
        <w:rPr>
          <w:sz w:val="20"/>
          <w:szCs w:val="20"/>
          <w:color w:val="auto"/>
        </w:rPr>
      </w:pPr>
    </w:p>
    <w:p>
      <w:pPr>
        <w:ind w:left="4240"/>
        <w:spacing w:after="0"/>
        <w:tabs>
          <w:tab w:leader="none" w:pos="53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513-632-4894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53" w:right="919" w:bottom="1440" w:gutter="0" w:footer="0" w:header="0"/>
        </w:sectPr>
      </w:pPr>
    </w:p>
    <w:bookmarkStart w:id="50" w:name="page51"/>
    <w:bookmarkEnd w:id="50"/>
    <w:p>
      <w:pPr>
        <w:ind w:left="4220"/>
        <w:spacing w:after="0"/>
        <w:rPr>
          <w:sz w:val="20"/>
          <w:szCs w:val="20"/>
          <w:color w:val="auto"/>
        </w:rPr>
      </w:pPr>
      <w:r>
        <w:rPr>
          <w:rFonts w:ascii="Arial" w:cs="Arial" w:eastAsia="Arial" w:hAnsi="Arial"/>
          <w:sz w:val="22"/>
          <w:szCs w:val="22"/>
          <w:b w:val="1"/>
          <w:bCs w:val="1"/>
          <w:color w:val="auto"/>
        </w:rPr>
        <w:t>SUNTRUST BANK</w:t>
      </w:r>
      <w:r>
        <w:rPr>
          <w:rFonts w:ascii="Arial" w:cs="Arial" w:eastAsia="Arial" w:hAnsi="Arial"/>
          <w:sz w:val="22"/>
          <w:szCs w:val="22"/>
          <w:color w:val="auto"/>
        </w:rPr>
        <w:t>,</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Lender</w:t>
      </w:r>
    </w:p>
    <w:p>
      <w:pPr>
        <w:spacing w:after="0" w:line="394"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spacing w:after="0"/>
              <w:rPr>
                <w:sz w:val="20"/>
                <w:szCs w:val="20"/>
                <w:color w:val="auto"/>
              </w:rPr>
            </w:pPr>
            <w:r>
              <w:rPr>
                <w:rFonts w:ascii="Arial" w:cs="Arial" w:eastAsia="Arial" w:hAnsi="Arial"/>
                <w:sz w:val="22"/>
                <w:szCs w:val="22"/>
                <w:color w:val="auto"/>
              </w:rPr>
              <w:t>/s/ Yann Pirio</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22"/>
                <w:szCs w:val="22"/>
                <w:color w:val="auto"/>
              </w:rPr>
              <w:t>Yann Pirio</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jc w:val="right"/>
        <w:ind w:right="2680"/>
        <w:spacing w:after="0"/>
        <w:rPr>
          <w:sz w:val="20"/>
          <w:szCs w:val="20"/>
          <w:color w:val="auto"/>
        </w:rPr>
      </w:pPr>
      <w:r>
        <w:rPr>
          <w:rFonts w:ascii="Arial" w:cs="Arial" w:eastAsia="Arial" w:hAnsi="Arial"/>
          <w:sz w:val="22"/>
          <w:szCs w:val="22"/>
          <w:color w:val="auto"/>
        </w:rPr>
        <w:t>SunTrust Robinson Humphrey</w:t>
      </w:r>
    </w:p>
    <w:p>
      <w:pPr>
        <w:ind w:left="4220"/>
        <w:spacing w:after="0" w:line="238" w:lineRule="auto"/>
        <w:rPr>
          <w:sz w:val="20"/>
          <w:szCs w:val="20"/>
          <w:color w:val="auto"/>
        </w:rPr>
      </w:pPr>
      <w:r>
        <w:rPr>
          <w:rFonts w:ascii="Arial" w:cs="Arial" w:eastAsia="Arial" w:hAnsi="Arial"/>
          <w:sz w:val="22"/>
          <w:szCs w:val="22"/>
          <w:color w:val="auto"/>
        </w:rPr>
        <w:t>200 Crescent Court, Suite 850</w:t>
      </w:r>
    </w:p>
    <w:p>
      <w:pPr>
        <w:ind w:left="4220"/>
        <w:spacing w:after="0"/>
        <w:rPr>
          <w:sz w:val="20"/>
          <w:szCs w:val="20"/>
          <w:color w:val="auto"/>
        </w:rPr>
      </w:pPr>
      <w:r>
        <w:rPr>
          <w:rFonts w:ascii="Arial" w:cs="Arial" w:eastAsia="Arial" w:hAnsi="Arial"/>
          <w:sz w:val="22"/>
          <w:szCs w:val="22"/>
          <w:color w:val="auto"/>
        </w:rPr>
        <w:t>Dallas, TX 75201</w:t>
      </w:r>
    </w:p>
    <w:p>
      <w:pPr>
        <w:spacing w:after="0" w:line="188" w:lineRule="exact"/>
        <w:rPr>
          <w:sz w:val="20"/>
          <w:szCs w:val="20"/>
          <w:color w:val="auto"/>
        </w:rPr>
      </w:pPr>
    </w:p>
    <w:p>
      <w:pPr>
        <w:ind w:left="4220"/>
        <w:spacing w:after="0"/>
        <w:tabs>
          <w:tab w:leader="none" w:pos="5340" w:val="left"/>
        </w:tabs>
        <w:rPr>
          <w:sz w:val="20"/>
          <w:szCs w:val="20"/>
          <w:color w:val="auto"/>
        </w:rPr>
      </w:pPr>
      <w:r>
        <w:rPr>
          <w:rFonts w:ascii="Arial" w:cs="Arial" w:eastAsia="Arial" w:hAnsi="Arial"/>
          <w:sz w:val="22"/>
          <w:szCs w:val="22"/>
          <w:color w:val="auto"/>
        </w:rPr>
        <w:t>Attention:</w:t>
        <w:tab/>
        <w:t>John Norton</w:t>
      </w:r>
    </w:p>
    <w:p>
      <w:pPr>
        <w:spacing w:after="0" w:line="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Telephone:  214-999-1702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53" w:right="919" w:bottom="1440" w:gutter="0" w:footer="0" w:header="0"/>
        </w:sectPr>
      </w:pPr>
    </w:p>
    <w:bookmarkStart w:id="51" w:name="page52"/>
    <w:bookmarkEnd w:id="51"/>
    <w:p>
      <w:pPr>
        <w:ind w:left="4220"/>
        <w:spacing w:after="0"/>
        <w:rPr>
          <w:sz w:val="20"/>
          <w:szCs w:val="20"/>
          <w:color w:val="auto"/>
        </w:rPr>
      </w:pPr>
      <w:r>
        <w:rPr>
          <w:rFonts w:ascii="Arial" w:cs="Arial" w:eastAsia="Arial" w:hAnsi="Arial"/>
          <w:sz w:val="22"/>
          <w:szCs w:val="22"/>
          <w:b w:val="1"/>
          <w:bCs w:val="1"/>
          <w:color w:val="auto"/>
        </w:rPr>
        <w:t>CADENCE BANK, N.A.</w:t>
      </w:r>
      <w:r>
        <w:rPr>
          <w:rFonts w:ascii="Arial" w:cs="Arial" w:eastAsia="Arial" w:hAnsi="Arial"/>
          <w:sz w:val="22"/>
          <w:szCs w:val="22"/>
          <w:color w:val="auto"/>
        </w:rPr>
        <w:t>,</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Lender</w:t>
      </w:r>
    </w:p>
    <w:p>
      <w:pPr>
        <w:spacing w:after="0" w:line="394" w:lineRule="exact"/>
        <w:rPr>
          <w:sz w:val="20"/>
          <w:szCs w:val="20"/>
          <w:color w:val="auto"/>
        </w:rPr>
      </w:pPr>
    </w:p>
    <w:tbl>
      <w:tblPr>
        <w:tblLayout w:type="fixed"/>
        <w:tblInd w:w="4220" w:type="dxa"/>
        <w:tblCellMar>
          <w:top w:w="0" w:type="dxa"/>
          <w:left w:w="0" w:type="dxa"/>
          <w:bottom w:w="0" w:type="dxa"/>
          <w:right w:w="0" w:type="dxa"/>
        </w:tblCellMar>
      </w:tblPr>
      <w:tr>
        <w:trPr>
          <w:trHeight w:val="253"/>
        </w:trPr>
        <w:tc>
          <w:tcPr>
            <w:tcW w:w="720" w:type="dxa"/>
            <w:vAlign w:val="bottom"/>
          </w:tcPr>
          <w:p>
            <w:pPr>
              <w:spacing w:after="0"/>
              <w:rPr>
                <w:sz w:val="20"/>
                <w:szCs w:val="20"/>
                <w:color w:val="auto"/>
              </w:rPr>
            </w:pPr>
            <w:r>
              <w:rPr>
                <w:rFonts w:ascii="Arial" w:cs="Arial" w:eastAsia="Arial" w:hAnsi="Arial"/>
                <w:sz w:val="22"/>
                <w:szCs w:val="22"/>
                <w:color w:val="auto"/>
              </w:rPr>
              <w:t>By:</w:t>
            </w:r>
          </w:p>
        </w:tc>
        <w:tc>
          <w:tcPr>
            <w:tcW w:w="4600" w:type="dxa"/>
            <w:vAlign w:val="bottom"/>
          </w:tcPr>
          <w:p>
            <w:pPr>
              <w:spacing w:after="0"/>
              <w:rPr>
                <w:sz w:val="20"/>
                <w:szCs w:val="20"/>
                <w:color w:val="auto"/>
              </w:rPr>
            </w:pPr>
            <w:r>
              <w:rPr>
                <w:rFonts w:ascii="Arial" w:cs="Arial" w:eastAsia="Arial" w:hAnsi="Arial"/>
                <w:sz w:val="22"/>
                <w:szCs w:val="22"/>
                <w:color w:val="auto"/>
              </w:rPr>
              <w:t>/s/ H. Gale Smith, Jr.</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20" w:type="dxa"/>
            <w:vAlign w:val="bottom"/>
            <w:vMerge w:val="continue"/>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22"/>
                <w:szCs w:val="22"/>
                <w:color w:val="auto"/>
              </w:rPr>
              <w:t>H. Gale Smith, Jr.</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4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460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Executive 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Address:</w:t>
      </w:r>
    </w:p>
    <w:p>
      <w:pPr>
        <w:spacing w:after="0" w:line="206"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Cadence Bank, N.A.</w:t>
      </w:r>
    </w:p>
    <w:p>
      <w:pPr>
        <w:ind w:left="4220"/>
        <w:spacing w:after="0" w:line="238" w:lineRule="auto"/>
        <w:rPr>
          <w:sz w:val="20"/>
          <w:szCs w:val="20"/>
          <w:color w:val="auto"/>
        </w:rPr>
      </w:pPr>
      <w:r>
        <w:rPr>
          <w:rFonts w:ascii="Arial" w:cs="Arial" w:eastAsia="Arial" w:hAnsi="Arial"/>
          <w:sz w:val="22"/>
          <w:szCs w:val="22"/>
          <w:color w:val="auto"/>
        </w:rPr>
        <w:t>2800 Post Oak Boulevard, Suite 3800</w:t>
      </w:r>
    </w:p>
    <w:p>
      <w:pPr>
        <w:ind w:left="4220"/>
        <w:spacing w:after="0" w:line="230" w:lineRule="auto"/>
        <w:rPr>
          <w:sz w:val="20"/>
          <w:szCs w:val="20"/>
          <w:color w:val="auto"/>
        </w:rPr>
      </w:pPr>
      <w:r>
        <w:rPr>
          <w:rFonts w:ascii="Arial" w:cs="Arial" w:eastAsia="Arial" w:hAnsi="Arial"/>
          <w:sz w:val="22"/>
          <w:szCs w:val="22"/>
          <w:color w:val="auto"/>
        </w:rPr>
        <w:t>Houston, Texas 77056</w:t>
      </w:r>
    </w:p>
    <w:p>
      <w:pPr>
        <w:ind w:left="4220"/>
        <w:spacing w:after="0" w:line="231" w:lineRule="auto"/>
        <w:tabs>
          <w:tab w:leader="none" w:pos="5340" w:val="left"/>
        </w:tabs>
        <w:rPr>
          <w:sz w:val="20"/>
          <w:szCs w:val="20"/>
          <w:color w:val="auto"/>
        </w:rPr>
      </w:pPr>
      <w:r>
        <w:rPr>
          <w:rFonts w:ascii="Arial" w:cs="Arial" w:eastAsia="Arial" w:hAnsi="Arial"/>
          <w:sz w:val="22"/>
          <w:szCs w:val="22"/>
          <w:color w:val="auto"/>
        </w:rPr>
        <w:t>Attention:</w:t>
        <w:tab/>
        <w:t>Gale Smith</w:t>
      </w:r>
    </w:p>
    <w:p>
      <w:pPr>
        <w:ind w:left="4220"/>
        <w:spacing w:after="0" w:line="231" w:lineRule="auto"/>
        <w:rPr>
          <w:sz w:val="20"/>
          <w:szCs w:val="20"/>
          <w:color w:val="auto"/>
        </w:rPr>
      </w:pPr>
      <w:r>
        <w:rPr>
          <w:rFonts w:ascii="Arial" w:cs="Arial" w:eastAsia="Arial" w:hAnsi="Arial"/>
          <w:sz w:val="22"/>
          <w:szCs w:val="22"/>
          <w:color w:val="auto"/>
        </w:rPr>
        <w:t>Telephone:  713-871-3941</w:t>
      </w:r>
    </w:p>
    <w:p>
      <w:pPr>
        <w:ind w:left="4220"/>
        <w:spacing w:after="0"/>
        <w:tabs>
          <w:tab w:leader="none" w:pos="534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713-634-4963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Signature Page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53" w:right="91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u w:val="single" w:color="auto"/>
          <w:color w:val="auto"/>
        </w:rPr>
        <w:t>ANNEX I TO AMENDMENT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766445</wp:posOffset>
            </wp:positionV>
            <wp:extent cx="6388735"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38873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40"/>
        <w:spacing w:after="0"/>
        <w:rPr>
          <w:sz w:val="20"/>
          <w:szCs w:val="20"/>
          <w:color w:val="auto"/>
        </w:rPr>
      </w:pPr>
      <w:r>
        <w:rPr>
          <w:rFonts w:ascii="Arial" w:cs="Arial" w:eastAsia="Arial" w:hAnsi="Arial"/>
          <w:sz w:val="21"/>
          <w:szCs w:val="21"/>
          <w:b w:val="1"/>
          <w:bCs w:val="1"/>
          <w:color w:val="auto"/>
        </w:rPr>
        <w:t>SECOND AMENDED AND RESTATED CREDIT AGREEMENT</w:t>
      </w:r>
    </w:p>
    <w:p>
      <w:pPr>
        <w:spacing w:after="0" w:line="218"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by and among</w:t>
      </w:r>
    </w:p>
    <w:p>
      <w:pPr>
        <w:spacing w:after="0" w:line="206"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COMFORT SYSTEMS USA, INC.,</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as Borrower</w:t>
      </w:r>
    </w:p>
    <w:p>
      <w:pPr>
        <w:spacing w:after="0" w:line="182"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1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as Administrative Agent</w:t>
      </w:r>
    </w:p>
    <w:p>
      <w:pPr>
        <w:spacing w:after="0" w:line="182"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WELLS FARGO SECURITIES, LLC,</w:t>
      </w:r>
    </w:p>
    <w:p>
      <w:pPr>
        <w:spacing w:after="0" w:line="14" w:lineRule="exact"/>
        <w:rPr>
          <w:sz w:val="20"/>
          <w:szCs w:val="20"/>
          <w:color w:val="auto"/>
        </w:rPr>
      </w:pPr>
    </w:p>
    <w:p>
      <w:pPr>
        <w:ind w:left="2200"/>
        <w:spacing w:after="0"/>
        <w:rPr>
          <w:sz w:val="20"/>
          <w:szCs w:val="20"/>
          <w:color w:val="auto"/>
        </w:rPr>
      </w:pPr>
      <w:r>
        <w:rPr>
          <w:rFonts w:ascii="Arial" w:cs="Arial" w:eastAsia="Arial" w:hAnsi="Arial"/>
          <w:sz w:val="22"/>
          <w:szCs w:val="22"/>
          <w:b w:val="1"/>
          <w:bCs w:val="1"/>
          <w:color w:val="auto"/>
        </w:rPr>
        <w:t>as Sole Lead Arranger and Sole Lead Bookrunner</w:t>
      </w:r>
    </w:p>
    <w:p>
      <w:pPr>
        <w:spacing w:after="0" w:line="182" w:lineRule="exact"/>
        <w:rPr>
          <w:sz w:val="20"/>
          <w:szCs w:val="20"/>
          <w:color w:val="auto"/>
        </w:rPr>
      </w:pPr>
    </w:p>
    <w:p>
      <w:pPr>
        <w:ind w:left="2040"/>
        <w:spacing w:after="0"/>
        <w:rPr>
          <w:sz w:val="20"/>
          <w:szCs w:val="20"/>
          <w:color w:val="auto"/>
        </w:rPr>
      </w:pPr>
      <w:r>
        <w:rPr>
          <w:rFonts w:ascii="Arial" w:cs="Arial" w:eastAsia="Arial" w:hAnsi="Arial"/>
          <w:sz w:val="22"/>
          <w:szCs w:val="22"/>
          <w:b w:val="1"/>
          <w:bCs w:val="1"/>
          <w:color w:val="auto"/>
        </w:rPr>
        <w:t>BOKF NA, dba Bank of Texas and Capital One, N.A.,</w:t>
      </w:r>
    </w:p>
    <w:p>
      <w:pPr>
        <w:spacing w:after="0" w:line="1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as Co-Syndication Agents</w:t>
      </w:r>
    </w:p>
    <w:p>
      <w:pPr>
        <w:spacing w:after="0" w:line="18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Branch Banking and Trust Company,</w:t>
      </w:r>
    </w:p>
    <w:p>
      <w:pPr>
        <w:spacing w:after="0" w:line="14"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as Documentation Agent</w:t>
      </w:r>
    </w:p>
    <w:p>
      <w:pPr>
        <w:spacing w:after="0" w:line="182"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CERTAIN FINANCIAL INSTITUTIONS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Lenders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$400,000,000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July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285750</wp:posOffset>
            </wp:positionV>
            <wp:extent cx="638873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-327660</wp:posOffset>
            </wp:positionH>
            <wp:positionV relativeFrom="paragraph">
              <wp:posOffset>1383030</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81"/>
        </w:trPr>
        <w:tc>
          <w:tcPr>
            <w:tcW w:w="1340" w:type="dxa"/>
            <w:vAlign w:val="bottom"/>
          </w:tcPr>
          <w:p>
            <w:pPr>
              <w:spacing w:after="0"/>
              <w:rPr>
                <w:sz w:val="24"/>
                <w:szCs w:val="24"/>
                <w:color w:val="auto"/>
              </w:rPr>
            </w:pPr>
          </w:p>
        </w:tc>
        <w:tc>
          <w:tcPr>
            <w:tcW w:w="7140" w:type="dxa"/>
            <w:vAlign w:val="bottom"/>
          </w:tcPr>
          <w:p>
            <w:pPr>
              <w:ind w:left="2540"/>
              <w:spacing w:after="0"/>
              <w:rPr>
                <w:sz w:val="20"/>
                <w:szCs w:val="20"/>
                <w:color w:val="auto"/>
              </w:rPr>
            </w:pPr>
            <w:r>
              <w:rPr>
                <w:rFonts w:ascii="Arial" w:cs="Arial" w:eastAsia="Arial" w:hAnsi="Arial"/>
                <w:sz w:val="22"/>
                <w:szCs w:val="22"/>
                <w:b w:val="1"/>
                <w:bCs w:val="1"/>
                <w:color w:val="auto"/>
              </w:rPr>
              <w:t>TABLE OF CONTENTS</w:t>
            </w:r>
          </w:p>
        </w:tc>
        <w:tc>
          <w:tcPr>
            <w:tcW w:w="1580" w:type="dxa"/>
            <w:vAlign w:val="bottom"/>
          </w:tcPr>
          <w:p>
            <w:pPr>
              <w:spacing w:after="0"/>
              <w:rPr>
                <w:sz w:val="24"/>
                <w:szCs w:val="24"/>
                <w:color w:val="auto"/>
              </w:rPr>
            </w:pPr>
          </w:p>
        </w:tc>
      </w:tr>
      <w:tr>
        <w:trPr>
          <w:trHeight w:val="392"/>
        </w:trPr>
        <w:tc>
          <w:tcPr>
            <w:tcW w:w="1340" w:type="dxa"/>
            <w:vAlign w:val="bottom"/>
          </w:tcPr>
          <w:p>
            <w:pPr>
              <w:spacing w:after="0"/>
              <w:rPr>
                <w:sz w:val="20"/>
                <w:szCs w:val="20"/>
                <w:color w:val="auto"/>
              </w:rPr>
            </w:pPr>
            <w:r>
              <w:rPr>
                <w:rFonts w:ascii="Arial" w:cs="Arial" w:eastAsia="Arial" w:hAnsi="Arial"/>
                <w:sz w:val="22"/>
                <w:szCs w:val="22"/>
                <w:color w:val="auto"/>
              </w:rPr>
              <w:t>ARTICLE I</w:t>
            </w:r>
          </w:p>
        </w:tc>
        <w:tc>
          <w:tcPr>
            <w:tcW w:w="7140" w:type="dxa"/>
            <w:vAlign w:val="bottom"/>
          </w:tcPr>
          <w:p>
            <w:pPr>
              <w:ind w:left="140"/>
              <w:spacing w:after="0"/>
              <w:rPr>
                <w:sz w:val="20"/>
                <w:szCs w:val="20"/>
                <w:color w:val="auto"/>
              </w:rPr>
            </w:pPr>
            <w:r>
              <w:rPr>
                <w:rFonts w:ascii="Arial" w:cs="Arial" w:eastAsia="Arial" w:hAnsi="Arial"/>
                <w:sz w:val="22"/>
                <w:szCs w:val="22"/>
                <w:color w:val="auto"/>
              </w:rPr>
              <w:t>DEFINITIONS AND REFERENCES</w:t>
            </w:r>
          </w:p>
        </w:tc>
        <w:tc>
          <w:tcPr>
            <w:tcW w:w="158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47"/>
        </w:trPr>
        <w:tc>
          <w:tcPr>
            <w:tcW w:w="1340" w:type="dxa"/>
            <w:vAlign w:val="bottom"/>
          </w:tcPr>
          <w:p>
            <w:pPr>
              <w:ind w:left="120"/>
              <w:spacing w:after="0"/>
              <w:rPr>
                <w:sz w:val="20"/>
                <w:szCs w:val="20"/>
                <w:color w:val="auto"/>
              </w:rPr>
            </w:pPr>
            <w:r>
              <w:rPr>
                <w:rFonts w:ascii="Arial" w:cs="Arial" w:eastAsia="Arial" w:hAnsi="Arial"/>
                <w:sz w:val="22"/>
                <w:szCs w:val="22"/>
                <w:color w:val="auto"/>
              </w:rPr>
              <w:t>Section 1.2</w:t>
            </w:r>
          </w:p>
        </w:tc>
        <w:tc>
          <w:tcPr>
            <w:tcW w:w="7140" w:type="dxa"/>
            <w:vAlign w:val="bottom"/>
          </w:tcPr>
          <w:p>
            <w:pPr>
              <w:ind w:left="260"/>
              <w:spacing w:after="0"/>
              <w:rPr>
                <w:sz w:val="20"/>
                <w:szCs w:val="20"/>
                <w:color w:val="auto"/>
              </w:rPr>
            </w:pPr>
            <w:r>
              <w:rPr>
                <w:rFonts w:ascii="Arial" w:cs="Arial" w:eastAsia="Arial" w:hAnsi="Arial"/>
                <w:sz w:val="22"/>
                <w:szCs w:val="22"/>
                <w:color w:val="auto"/>
              </w:rPr>
              <w:t>Exhibits and Schedules; Additional Definitions</w:t>
            </w:r>
          </w:p>
        </w:tc>
        <w:tc>
          <w:tcPr>
            <w:tcW w:w="158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1.3</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Amendment of Defined Instruments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1.4</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References and Titles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1.5</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Calculations and Determinations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1.6</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Joint Preparation; Construction of Indemnities and Releases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75"/>
        </w:trPr>
        <w:tc>
          <w:tcPr>
            <w:tcW w:w="1340" w:type="dxa"/>
            <w:vAlign w:val="bottom"/>
          </w:tcPr>
          <w:p>
            <w:pPr>
              <w:ind w:left="120"/>
              <w:spacing w:after="0"/>
              <w:rPr>
                <w:sz w:val="20"/>
                <w:szCs w:val="20"/>
                <w:color w:val="auto"/>
              </w:rPr>
            </w:pPr>
            <w:r>
              <w:rPr>
                <w:rFonts w:ascii="Arial" w:cs="Arial" w:eastAsia="Arial" w:hAnsi="Arial"/>
                <w:sz w:val="22"/>
                <w:szCs w:val="22"/>
                <w:color w:val="auto"/>
              </w:rPr>
              <w:t>Section 1.7</w:t>
            </w:r>
          </w:p>
        </w:tc>
        <w:tc>
          <w:tcPr>
            <w:tcW w:w="7140" w:type="dxa"/>
            <w:vAlign w:val="bottom"/>
          </w:tcPr>
          <w:p>
            <w:pPr>
              <w:ind w:left="260"/>
              <w:spacing w:after="0"/>
              <w:rPr>
                <w:sz w:val="20"/>
                <w:szCs w:val="20"/>
                <w:color w:val="auto"/>
              </w:rPr>
            </w:pPr>
            <w:r>
              <w:rPr>
                <w:rFonts w:ascii="Arial" w:cs="Arial" w:eastAsia="Arial" w:hAnsi="Arial"/>
                <w:sz w:val="22"/>
                <w:szCs w:val="22"/>
                <w:color w:val="auto"/>
              </w:rPr>
              <w:t>Rates</w:t>
            </w:r>
          </w:p>
        </w:tc>
        <w:tc>
          <w:tcPr>
            <w:tcW w:w="15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78"/>
        </w:trPr>
        <w:tc>
          <w:tcPr>
            <w:tcW w:w="1340" w:type="dxa"/>
            <w:vAlign w:val="bottom"/>
          </w:tcPr>
          <w:p>
            <w:pPr>
              <w:spacing w:after="0"/>
              <w:rPr>
                <w:sz w:val="20"/>
                <w:szCs w:val="20"/>
                <w:color w:val="auto"/>
              </w:rPr>
            </w:pPr>
            <w:r>
              <w:rPr>
                <w:rFonts w:ascii="Arial" w:cs="Arial" w:eastAsia="Arial" w:hAnsi="Arial"/>
                <w:sz w:val="22"/>
                <w:szCs w:val="22"/>
                <w:color w:val="auto"/>
              </w:rPr>
              <w:t>ARTICLE II</w:t>
            </w:r>
          </w:p>
        </w:tc>
        <w:tc>
          <w:tcPr>
            <w:tcW w:w="7140" w:type="dxa"/>
            <w:vAlign w:val="bottom"/>
          </w:tcPr>
          <w:p>
            <w:pPr>
              <w:ind w:left="140"/>
              <w:spacing w:after="0"/>
              <w:rPr>
                <w:sz w:val="20"/>
                <w:szCs w:val="20"/>
                <w:color w:val="auto"/>
              </w:rPr>
            </w:pPr>
            <w:r>
              <w:rPr>
                <w:rFonts w:ascii="Arial" w:cs="Arial" w:eastAsia="Arial" w:hAnsi="Arial"/>
                <w:sz w:val="22"/>
                <w:szCs w:val="22"/>
                <w:color w:val="auto"/>
              </w:rPr>
              <w:t>THE LOANS AND LETTERS OF CREDIT</w:t>
            </w:r>
          </w:p>
        </w:tc>
        <w:tc>
          <w:tcPr>
            <w:tcW w:w="15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47"/>
        </w:trPr>
        <w:tc>
          <w:tcPr>
            <w:tcW w:w="1340" w:type="dxa"/>
            <w:vAlign w:val="bottom"/>
          </w:tcPr>
          <w:p>
            <w:pPr>
              <w:ind w:left="120"/>
              <w:spacing w:after="0"/>
              <w:rPr>
                <w:sz w:val="20"/>
                <w:szCs w:val="20"/>
                <w:color w:val="auto"/>
              </w:rPr>
            </w:pPr>
            <w:r>
              <w:rPr>
                <w:rFonts w:ascii="Arial" w:cs="Arial" w:eastAsia="Arial" w:hAnsi="Arial"/>
                <w:sz w:val="22"/>
                <w:szCs w:val="22"/>
                <w:color w:val="auto"/>
              </w:rPr>
              <w:t>Section 2.1</w:t>
            </w:r>
          </w:p>
        </w:tc>
        <w:tc>
          <w:tcPr>
            <w:tcW w:w="7140" w:type="dxa"/>
            <w:vAlign w:val="bottom"/>
          </w:tcPr>
          <w:p>
            <w:pPr>
              <w:ind w:left="260"/>
              <w:spacing w:after="0"/>
              <w:rPr>
                <w:sz w:val="20"/>
                <w:szCs w:val="20"/>
                <w:color w:val="auto"/>
              </w:rPr>
            </w:pPr>
            <w:r>
              <w:rPr>
                <w:rFonts w:ascii="Arial" w:cs="Arial" w:eastAsia="Arial" w:hAnsi="Arial"/>
                <w:sz w:val="22"/>
                <w:szCs w:val="22"/>
                <w:color w:val="auto"/>
              </w:rPr>
              <w:t>Commitments to Lend; Notes</w:t>
            </w:r>
          </w:p>
        </w:tc>
        <w:tc>
          <w:tcPr>
            <w:tcW w:w="158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2.2</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Requests for Revolving Loans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2.3</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Continuations and Conversions of Existing Loans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2.4</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Use of Proceeds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2.5</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Interest Rates and Fees; Payment Dates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2.6</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Optional Prepayments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2.7</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Mandatory Prepayments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2.8</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Termination and Reduction of Revolving Loan Commitments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2.9</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Letters of Credit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2.10</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Requesting Letters of Credit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2.11</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Reimbursement and Participations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2.12</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Letter of Credit Fees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32</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2.13</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No Duty to Inquire</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2.14</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LC Collateral</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2.15</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Existing Letters of Credit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34</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2.16</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Swingline Loans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w w:val="98"/>
              </w:rPr>
              <w:t>Section 2.17</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Increase of Commitments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r>
      <w:tr>
        <w:trPr>
          <w:trHeight w:val="275"/>
        </w:trPr>
        <w:tc>
          <w:tcPr>
            <w:tcW w:w="1340" w:type="dxa"/>
            <w:vAlign w:val="bottom"/>
          </w:tcPr>
          <w:p>
            <w:pPr>
              <w:ind w:left="120"/>
              <w:spacing w:after="0"/>
              <w:rPr>
                <w:sz w:val="20"/>
                <w:szCs w:val="20"/>
                <w:color w:val="auto"/>
              </w:rPr>
            </w:pPr>
            <w:r>
              <w:rPr>
                <w:rFonts w:ascii="Arial" w:cs="Arial" w:eastAsia="Arial" w:hAnsi="Arial"/>
                <w:sz w:val="22"/>
                <w:szCs w:val="22"/>
                <w:color w:val="auto"/>
                <w:w w:val="98"/>
              </w:rPr>
              <w:t>Section 2.18</w:t>
            </w:r>
          </w:p>
        </w:tc>
        <w:tc>
          <w:tcPr>
            <w:tcW w:w="7140" w:type="dxa"/>
            <w:vAlign w:val="bottom"/>
          </w:tcPr>
          <w:p>
            <w:pPr>
              <w:ind w:left="260"/>
              <w:spacing w:after="0"/>
              <w:rPr>
                <w:sz w:val="20"/>
                <w:szCs w:val="20"/>
                <w:color w:val="auto"/>
              </w:rPr>
            </w:pPr>
            <w:r>
              <w:rPr>
                <w:rFonts w:ascii="Arial" w:cs="Arial" w:eastAsia="Arial" w:hAnsi="Arial"/>
                <w:sz w:val="22"/>
                <w:szCs w:val="22"/>
                <w:color w:val="auto"/>
              </w:rPr>
              <w:t>Defaulting Lenders</w:t>
            </w:r>
          </w:p>
        </w:tc>
        <w:tc>
          <w:tcPr>
            <w:tcW w:w="158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78"/>
        </w:trPr>
        <w:tc>
          <w:tcPr>
            <w:tcW w:w="8480" w:type="dxa"/>
            <w:vAlign w:val="bottom"/>
            <w:gridSpan w:val="2"/>
          </w:tcPr>
          <w:p>
            <w:pPr>
              <w:spacing w:after="0"/>
              <w:rPr>
                <w:sz w:val="20"/>
                <w:szCs w:val="20"/>
                <w:color w:val="auto"/>
              </w:rPr>
            </w:pPr>
            <w:r>
              <w:rPr>
                <w:rFonts w:ascii="Arial" w:cs="Arial" w:eastAsia="Arial" w:hAnsi="Arial"/>
                <w:sz w:val="22"/>
                <w:szCs w:val="22"/>
                <w:color w:val="auto"/>
              </w:rPr>
              <w:t>ARTICLE III   PAYMENTS TO LENDERS</w:t>
            </w:r>
          </w:p>
        </w:tc>
        <w:tc>
          <w:tcPr>
            <w:tcW w:w="15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47"/>
        </w:trPr>
        <w:tc>
          <w:tcPr>
            <w:tcW w:w="1340" w:type="dxa"/>
            <w:vAlign w:val="bottom"/>
          </w:tcPr>
          <w:p>
            <w:pPr>
              <w:ind w:left="120"/>
              <w:spacing w:after="0"/>
              <w:rPr>
                <w:sz w:val="20"/>
                <w:szCs w:val="20"/>
                <w:color w:val="auto"/>
              </w:rPr>
            </w:pPr>
            <w:r>
              <w:rPr>
                <w:rFonts w:ascii="Arial" w:cs="Arial" w:eastAsia="Arial" w:hAnsi="Arial"/>
                <w:sz w:val="22"/>
                <w:szCs w:val="22"/>
                <w:color w:val="auto"/>
              </w:rPr>
              <w:t>Section 3.1</w:t>
            </w:r>
          </w:p>
        </w:tc>
        <w:tc>
          <w:tcPr>
            <w:tcW w:w="7140" w:type="dxa"/>
            <w:vAlign w:val="bottom"/>
          </w:tcPr>
          <w:p>
            <w:pPr>
              <w:ind w:left="260"/>
              <w:spacing w:after="0"/>
              <w:rPr>
                <w:sz w:val="20"/>
                <w:szCs w:val="20"/>
                <w:color w:val="auto"/>
              </w:rPr>
            </w:pPr>
            <w:r>
              <w:rPr>
                <w:rFonts w:ascii="Arial" w:cs="Arial" w:eastAsia="Arial" w:hAnsi="Arial"/>
                <w:sz w:val="22"/>
                <w:szCs w:val="22"/>
                <w:color w:val="auto"/>
              </w:rPr>
              <w:t>General Procedures</w:t>
            </w:r>
          </w:p>
        </w:tc>
        <w:tc>
          <w:tcPr>
            <w:tcW w:w="158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3.2</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Capital Reimbursement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3.3</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Increased Cost of Eurodollar Loans or Letters of Credit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3.4</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Illegality</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3.5</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Funding Losses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3.6</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Reimbursable Taxes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340" w:type="dxa"/>
            <w:vAlign w:val="bottom"/>
          </w:tcPr>
          <w:p>
            <w:pPr>
              <w:ind w:left="120"/>
              <w:spacing w:after="0" w:line="243" w:lineRule="exact"/>
              <w:rPr>
                <w:sz w:val="20"/>
                <w:szCs w:val="20"/>
                <w:color w:val="auto"/>
              </w:rPr>
            </w:pPr>
            <w:r>
              <w:rPr>
                <w:rFonts w:ascii="Arial" w:cs="Arial" w:eastAsia="Arial" w:hAnsi="Arial"/>
                <w:sz w:val="22"/>
                <w:szCs w:val="22"/>
                <w:color w:val="auto"/>
              </w:rPr>
              <w:t>Section 3.7</w:t>
            </w:r>
          </w:p>
        </w:tc>
        <w:tc>
          <w:tcPr>
            <w:tcW w:w="7140" w:type="dxa"/>
            <w:vAlign w:val="bottom"/>
          </w:tcPr>
          <w:p>
            <w:pPr>
              <w:ind w:left="260"/>
              <w:spacing w:after="0" w:line="243" w:lineRule="exact"/>
              <w:rPr>
                <w:sz w:val="20"/>
                <w:szCs w:val="20"/>
                <w:color w:val="auto"/>
              </w:rPr>
            </w:pPr>
            <w:r>
              <w:rPr>
                <w:rFonts w:ascii="Arial" w:cs="Arial" w:eastAsia="Arial" w:hAnsi="Arial"/>
                <w:sz w:val="22"/>
                <w:szCs w:val="22"/>
                <w:color w:val="auto"/>
              </w:rPr>
              <w:t>Changed Circumstances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75"/>
        </w:trPr>
        <w:tc>
          <w:tcPr>
            <w:tcW w:w="1340" w:type="dxa"/>
            <w:vAlign w:val="bottom"/>
          </w:tcPr>
          <w:p>
            <w:pPr>
              <w:ind w:left="120"/>
              <w:spacing w:after="0"/>
              <w:rPr>
                <w:sz w:val="20"/>
                <w:szCs w:val="20"/>
                <w:color w:val="auto"/>
              </w:rPr>
            </w:pPr>
            <w:r>
              <w:rPr>
                <w:rFonts w:ascii="Arial" w:cs="Arial" w:eastAsia="Arial" w:hAnsi="Arial"/>
                <w:sz w:val="22"/>
                <w:szCs w:val="22"/>
                <w:color w:val="auto"/>
              </w:rPr>
              <w:t>Section 3.8</w:t>
            </w:r>
          </w:p>
        </w:tc>
        <w:tc>
          <w:tcPr>
            <w:tcW w:w="7140" w:type="dxa"/>
            <w:vAlign w:val="bottom"/>
          </w:tcPr>
          <w:p>
            <w:pPr>
              <w:ind w:left="260"/>
              <w:spacing w:after="0"/>
              <w:rPr>
                <w:sz w:val="20"/>
                <w:szCs w:val="20"/>
                <w:color w:val="auto"/>
              </w:rPr>
            </w:pPr>
            <w:r>
              <w:rPr>
                <w:rFonts w:ascii="Arial" w:cs="Arial" w:eastAsia="Arial" w:hAnsi="Arial"/>
                <w:sz w:val="22"/>
                <w:szCs w:val="22"/>
                <w:color w:val="auto"/>
              </w:rPr>
              <w:t>Change of Applicable Lending Office; Replacement of Lenders</w:t>
            </w:r>
          </w:p>
        </w:tc>
        <w:tc>
          <w:tcPr>
            <w:tcW w:w="158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78"/>
        </w:trPr>
        <w:tc>
          <w:tcPr>
            <w:tcW w:w="1340" w:type="dxa"/>
            <w:vAlign w:val="bottom"/>
          </w:tcPr>
          <w:p>
            <w:pPr>
              <w:spacing w:after="0"/>
              <w:rPr>
                <w:sz w:val="20"/>
                <w:szCs w:val="20"/>
                <w:color w:val="auto"/>
              </w:rPr>
            </w:pPr>
            <w:r>
              <w:rPr>
                <w:rFonts w:ascii="Arial" w:cs="Arial" w:eastAsia="Arial" w:hAnsi="Arial"/>
                <w:sz w:val="22"/>
                <w:szCs w:val="22"/>
                <w:color w:val="auto"/>
              </w:rPr>
              <w:t>ARTICLE IV</w:t>
            </w:r>
          </w:p>
        </w:tc>
        <w:tc>
          <w:tcPr>
            <w:tcW w:w="7140" w:type="dxa"/>
            <w:vAlign w:val="bottom"/>
          </w:tcPr>
          <w:p>
            <w:pPr>
              <w:ind w:left="140"/>
              <w:spacing w:after="0"/>
              <w:rPr>
                <w:sz w:val="20"/>
                <w:szCs w:val="20"/>
                <w:color w:val="auto"/>
              </w:rPr>
            </w:pPr>
            <w:r>
              <w:rPr>
                <w:rFonts w:ascii="Arial" w:cs="Arial" w:eastAsia="Arial" w:hAnsi="Arial"/>
                <w:sz w:val="22"/>
                <w:szCs w:val="22"/>
                <w:color w:val="auto"/>
              </w:rPr>
              <w:t>CONDITIONS PRECEDENT TO LENDING</w:t>
            </w:r>
          </w:p>
        </w:tc>
        <w:tc>
          <w:tcPr>
            <w:tcW w:w="15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47"/>
        </w:trPr>
        <w:tc>
          <w:tcPr>
            <w:tcW w:w="1340" w:type="dxa"/>
            <w:vAlign w:val="bottom"/>
          </w:tcPr>
          <w:p>
            <w:pPr>
              <w:ind w:left="120"/>
              <w:spacing w:after="0"/>
              <w:rPr>
                <w:sz w:val="20"/>
                <w:szCs w:val="20"/>
                <w:color w:val="auto"/>
              </w:rPr>
            </w:pPr>
            <w:r>
              <w:rPr>
                <w:rFonts w:ascii="Arial" w:cs="Arial" w:eastAsia="Arial" w:hAnsi="Arial"/>
                <w:sz w:val="22"/>
                <w:szCs w:val="22"/>
                <w:color w:val="auto"/>
              </w:rPr>
              <w:t>Section 4.1</w:t>
            </w:r>
          </w:p>
        </w:tc>
        <w:tc>
          <w:tcPr>
            <w:tcW w:w="7140" w:type="dxa"/>
            <w:vAlign w:val="bottom"/>
          </w:tcPr>
          <w:p>
            <w:pPr>
              <w:ind w:left="260"/>
              <w:spacing w:after="0"/>
              <w:rPr>
                <w:sz w:val="20"/>
                <w:szCs w:val="20"/>
                <w:color w:val="auto"/>
              </w:rPr>
            </w:pPr>
            <w:r>
              <w:rPr>
                <w:rFonts w:ascii="Arial" w:cs="Arial" w:eastAsia="Arial" w:hAnsi="Arial"/>
                <w:sz w:val="22"/>
                <w:szCs w:val="22"/>
                <w:color w:val="auto"/>
              </w:rPr>
              <w:t>Documents to be Delivered</w:t>
            </w:r>
          </w:p>
        </w:tc>
        <w:tc>
          <w:tcPr>
            <w:tcW w:w="158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75"/>
        </w:trPr>
        <w:tc>
          <w:tcPr>
            <w:tcW w:w="1340" w:type="dxa"/>
            <w:vAlign w:val="bottom"/>
          </w:tcPr>
          <w:p>
            <w:pPr>
              <w:ind w:left="120"/>
              <w:spacing w:after="0"/>
              <w:rPr>
                <w:sz w:val="20"/>
                <w:szCs w:val="20"/>
                <w:color w:val="auto"/>
              </w:rPr>
            </w:pPr>
            <w:r>
              <w:rPr>
                <w:rFonts w:ascii="Arial" w:cs="Arial" w:eastAsia="Arial" w:hAnsi="Arial"/>
                <w:sz w:val="22"/>
                <w:szCs w:val="22"/>
                <w:color w:val="auto"/>
              </w:rPr>
              <w:t>Section 4.2</w:t>
            </w:r>
          </w:p>
        </w:tc>
        <w:tc>
          <w:tcPr>
            <w:tcW w:w="7140" w:type="dxa"/>
            <w:vAlign w:val="bottom"/>
          </w:tcPr>
          <w:p>
            <w:pPr>
              <w:ind w:left="260"/>
              <w:spacing w:after="0"/>
              <w:rPr>
                <w:sz w:val="20"/>
                <w:szCs w:val="20"/>
                <w:color w:val="auto"/>
              </w:rPr>
            </w:pPr>
            <w:r>
              <w:rPr>
                <w:rFonts w:ascii="Arial" w:cs="Arial" w:eastAsia="Arial" w:hAnsi="Arial"/>
                <w:sz w:val="22"/>
                <w:szCs w:val="22"/>
                <w:color w:val="auto"/>
              </w:rPr>
              <w:t>Additional Conditions Precedent</w:t>
            </w:r>
          </w:p>
        </w:tc>
        <w:tc>
          <w:tcPr>
            <w:tcW w:w="15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78"/>
        </w:trPr>
        <w:tc>
          <w:tcPr>
            <w:tcW w:w="8480" w:type="dxa"/>
            <w:vAlign w:val="bottom"/>
            <w:gridSpan w:val="2"/>
          </w:tcPr>
          <w:p>
            <w:pPr>
              <w:spacing w:after="0"/>
              <w:rPr>
                <w:sz w:val="20"/>
                <w:szCs w:val="20"/>
                <w:color w:val="auto"/>
              </w:rPr>
            </w:pPr>
            <w:r>
              <w:rPr>
                <w:rFonts w:ascii="Arial" w:cs="Arial" w:eastAsia="Arial" w:hAnsi="Arial"/>
                <w:sz w:val="22"/>
                <w:szCs w:val="22"/>
                <w:color w:val="auto"/>
              </w:rPr>
              <w:t>ARTICLE V    REPRESENTATIONS AND WARRANTIES</w:t>
            </w:r>
          </w:p>
        </w:tc>
        <w:tc>
          <w:tcPr>
            <w:tcW w:w="15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78"/>
        </w:trPr>
        <w:tc>
          <w:tcPr>
            <w:tcW w:w="1340" w:type="dxa"/>
            <w:vAlign w:val="bottom"/>
          </w:tcPr>
          <w:p>
            <w:pPr>
              <w:ind w:left="120"/>
              <w:spacing w:after="0"/>
              <w:rPr>
                <w:sz w:val="20"/>
                <w:szCs w:val="20"/>
                <w:color w:val="auto"/>
              </w:rPr>
            </w:pPr>
            <w:r>
              <w:rPr>
                <w:rFonts w:ascii="Arial" w:cs="Arial" w:eastAsia="Arial" w:hAnsi="Arial"/>
                <w:sz w:val="22"/>
                <w:szCs w:val="22"/>
                <w:color w:val="auto"/>
              </w:rPr>
              <w:t>Section 5.1</w:t>
            </w:r>
          </w:p>
        </w:tc>
        <w:tc>
          <w:tcPr>
            <w:tcW w:w="7140" w:type="dxa"/>
            <w:vAlign w:val="bottom"/>
          </w:tcPr>
          <w:p>
            <w:pPr>
              <w:ind w:left="260"/>
              <w:spacing w:after="0"/>
              <w:rPr>
                <w:sz w:val="20"/>
                <w:szCs w:val="20"/>
                <w:color w:val="auto"/>
              </w:rPr>
            </w:pPr>
            <w:r>
              <w:rPr>
                <w:rFonts w:ascii="Arial" w:cs="Arial" w:eastAsia="Arial" w:hAnsi="Arial"/>
                <w:sz w:val="22"/>
                <w:szCs w:val="22"/>
                <w:color w:val="auto"/>
              </w:rPr>
              <w:t>No Default</w:t>
            </w:r>
          </w:p>
        </w:tc>
        <w:tc>
          <w:tcPr>
            <w:tcW w:w="1580" w:type="dxa"/>
            <w:vAlign w:val="bottom"/>
          </w:tcPr>
          <w:p>
            <w:pPr>
              <w:jc w:val="right"/>
              <w:spacing w:after="0"/>
              <w:rPr>
                <w:sz w:val="20"/>
                <w:szCs w:val="20"/>
                <w:color w:val="auto"/>
              </w:rPr>
            </w:pPr>
            <w:r>
              <w:rPr>
                <w:rFonts w:ascii="Arial" w:cs="Arial" w:eastAsia="Arial" w:hAnsi="Arial"/>
                <w:sz w:val="22"/>
                <w:szCs w:val="22"/>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1360" w:type="dxa"/>
            <w:vAlign w:val="bottom"/>
          </w:tcPr>
          <w:p>
            <w:pPr>
              <w:ind w:left="120"/>
              <w:spacing w:after="0"/>
              <w:rPr>
                <w:sz w:val="20"/>
                <w:szCs w:val="20"/>
                <w:color w:val="auto"/>
              </w:rPr>
            </w:pPr>
            <w:r>
              <w:rPr>
                <w:rFonts w:ascii="Arial" w:cs="Arial" w:eastAsia="Arial" w:hAnsi="Arial"/>
                <w:sz w:val="22"/>
                <w:szCs w:val="22"/>
                <w:color w:val="auto"/>
              </w:rPr>
              <w:t>Section 5.2</w:t>
            </w:r>
          </w:p>
        </w:tc>
        <w:tc>
          <w:tcPr>
            <w:tcW w:w="7120" w:type="dxa"/>
            <w:vAlign w:val="bottom"/>
          </w:tcPr>
          <w:p>
            <w:pPr>
              <w:ind w:left="240"/>
              <w:spacing w:after="0"/>
              <w:rPr>
                <w:sz w:val="20"/>
                <w:szCs w:val="20"/>
                <w:color w:val="auto"/>
              </w:rPr>
            </w:pPr>
            <w:r>
              <w:rPr>
                <w:rFonts w:ascii="Arial" w:cs="Arial" w:eastAsia="Arial" w:hAnsi="Arial"/>
                <w:sz w:val="22"/>
                <w:szCs w:val="22"/>
                <w:color w:val="auto"/>
              </w:rPr>
              <w:t>Organization and Good Standing</w:t>
            </w:r>
          </w:p>
        </w:tc>
        <w:tc>
          <w:tcPr>
            <w:tcW w:w="158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5.3</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Authorization</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5.4</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No Conflicts or Consents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5.5</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Enforceable Obligations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5.6</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Initial Financial Statements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5.7</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[Reserved]</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5.8</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Full Disclosure</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5.9</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Litigation</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5.10</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Labor Disputes and Acts of God</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5.11</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ERISA Plans and Liabilities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5.12</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Environmental and Other Laws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50</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5.13</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Names and Places of Business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5.14</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Subsidiaries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5.15</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Government Regulation</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5.16</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Insider</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5.17</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Solvency</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5.18</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[Reserved]</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5.19</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Title to Properties; Licenses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5.20</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Regulation U</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5.21</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Taxes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75"/>
        </w:trPr>
        <w:tc>
          <w:tcPr>
            <w:tcW w:w="1360" w:type="dxa"/>
            <w:vAlign w:val="bottom"/>
          </w:tcPr>
          <w:p>
            <w:pPr>
              <w:ind w:left="120"/>
              <w:spacing w:after="0"/>
              <w:rPr>
                <w:sz w:val="20"/>
                <w:szCs w:val="20"/>
                <w:color w:val="auto"/>
              </w:rPr>
            </w:pPr>
            <w:r>
              <w:rPr>
                <w:rFonts w:ascii="Arial" w:cs="Arial" w:eastAsia="Arial" w:hAnsi="Arial"/>
                <w:sz w:val="22"/>
                <w:szCs w:val="22"/>
                <w:color w:val="auto"/>
                <w:w w:val="99"/>
              </w:rPr>
              <w:t>Section 5.22</w:t>
            </w:r>
          </w:p>
        </w:tc>
        <w:tc>
          <w:tcPr>
            <w:tcW w:w="7120" w:type="dxa"/>
            <w:vAlign w:val="bottom"/>
          </w:tcPr>
          <w:p>
            <w:pPr>
              <w:ind w:left="240"/>
              <w:spacing w:after="0"/>
              <w:rPr>
                <w:sz w:val="20"/>
                <w:szCs w:val="20"/>
                <w:color w:val="auto"/>
              </w:rPr>
            </w:pPr>
            <w:r>
              <w:rPr>
                <w:rFonts w:ascii="Arial" w:cs="Arial" w:eastAsia="Arial" w:hAnsi="Arial"/>
                <w:sz w:val="22"/>
                <w:szCs w:val="22"/>
                <w:color w:val="auto"/>
              </w:rPr>
              <w:t>Anti-Corruption Laws and Sanctions</w:t>
            </w:r>
          </w:p>
        </w:tc>
        <w:tc>
          <w:tcPr>
            <w:tcW w:w="15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86"/>
        </w:trPr>
        <w:tc>
          <w:tcPr>
            <w:tcW w:w="1360" w:type="dxa"/>
            <w:vAlign w:val="bottom"/>
          </w:tcPr>
          <w:p>
            <w:pPr>
              <w:spacing w:after="0"/>
              <w:rPr>
                <w:sz w:val="20"/>
                <w:szCs w:val="20"/>
                <w:color w:val="auto"/>
              </w:rPr>
            </w:pPr>
            <w:r>
              <w:rPr>
                <w:rFonts w:ascii="Arial" w:cs="Arial" w:eastAsia="Arial" w:hAnsi="Arial"/>
                <w:sz w:val="22"/>
                <w:szCs w:val="22"/>
                <w:color w:val="auto"/>
              </w:rPr>
              <w:t>ARTICLE VI</w:t>
            </w:r>
          </w:p>
        </w:tc>
        <w:tc>
          <w:tcPr>
            <w:tcW w:w="7120" w:type="dxa"/>
            <w:vAlign w:val="bottom"/>
          </w:tcPr>
          <w:p>
            <w:pPr>
              <w:ind w:left="120"/>
              <w:spacing w:after="0"/>
              <w:rPr>
                <w:sz w:val="20"/>
                <w:szCs w:val="20"/>
                <w:color w:val="auto"/>
              </w:rPr>
            </w:pPr>
            <w:r>
              <w:rPr>
                <w:rFonts w:ascii="Arial" w:cs="Arial" w:eastAsia="Arial" w:hAnsi="Arial"/>
                <w:sz w:val="22"/>
                <w:szCs w:val="22"/>
                <w:color w:val="auto"/>
              </w:rPr>
              <w:t>AFFIRMATIVE COVENANTS OF BORROWER.</w:t>
            </w:r>
          </w:p>
        </w:tc>
        <w:tc>
          <w:tcPr>
            <w:tcW w:w="15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55"/>
        </w:trPr>
        <w:tc>
          <w:tcPr>
            <w:tcW w:w="1360" w:type="dxa"/>
            <w:vAlign w:val="bottom"/>
          </w:tcPr>
          <w:p>
            <w:pPr>
              <w:ind w:left="120"/>
              <w:spacing w:after="0"/>
              <w:rPr>
                <w:sz w:val="20"/>
                <w:szCs w:val="20"/>
                <w:color w:val="auto"/>
              </w:rPr>
            </w:pPr>
            <w:r>
              <w:rPr>
                <w:rFonts w:ascii="Arial" w:cs="Arial" w:eastAsia="Arial" w:hAnsi="Arial"/>
                <w:sz w:val="22"/>
                <w:szCs w:val="22"/>
                <w:color w:val="auto"/>
              </w:rPr>
              <w:t>Section 6.1</w:t>
            </w:r>
          </w:p>
        </w:tc>
        <w:tc>
          <w:tcPr>
            <w:tcW w:w="7120" w:type="dxa"/>
            <w:vAlign w:val="bottom"/>
          </w:tcPr>
          <w:p>
            <w:pPr>
              <w:ind w:left="240"/>
              <w:spacing w:after="0"/>
              <w:rPr>
                <w:sz w:val="20"/>
                <w:szCs w:val="20"/>
                <w:color w:val="auto"/>
              </w:rPr>
            </w:pPr>
            <w:r>
              <w:rPr>
                <w:rFonts w:ascii="Arial" w:cs="Arial" w:eastAsia="Arial" w:hAnsi="Arial"/>
                <w:sz w:val="22"/>
                <w:szCs w:val="22"/>
                <w:color w:val="auto"/>
              </w:rPr>
              <w:t>Payment and Performance</w:t>
            </w:r>
          </w:p>
        </w:tc>
        <w:tc>
          <w:tcPr>
            <w:tcW w:w="158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6.2</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Books, Financial Statements and Reports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6.3</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Other Information and Inspections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6.4</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Notice of Material Events and Change of Address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6.5</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Maintenance of Properties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6.6</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Maintenance of Existence and Qualifications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55</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6.7</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Payment of Taxes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6.8</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Insurance</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56</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6.9</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Performance on Borrower’s Behalf</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6.10</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Default Interest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6.11</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Compliance with Law</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57</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6.12</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Environmental Matters; Environmental Reviews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6.13</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Further Assurances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6.14</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Bank Accounts; Offset</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w w:val="99"/>
              </w:rPr>
              <w:t>Section 6.15</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Guaranties of Borrower’s Subsidiaries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59</w:t>
            </w:r>
          </w:p>
        </w:tc>
      </w:tr>
      <w:tr>
        <w:trPr>
          <w:trHeight w:val="275"/>
        </w:trPr>
        <w:tc>
          <w:tcPr>
            <w:tcW w:w="1360" w:type="dxa"/>
            <w:vAlign w:val="bottom"/>
          </w:tcPr>
          <w:p>
            <w:pPr>
              <w:ind w:left="120"/>
              <w:spacing w:after="0"/>
              <w:rPr>
                <w:sz w:val="20"/>
                <w:szCs w:val="20"/>
                <w:color w:val="auto"/>
              </w:rPr>
            </w:pPr>
            <w:r>
              <w:rPr>
                <w:rFonts w:ascii="Arial" w:cs="Arial" w:eastAsia="Arial" w:hAnsi="Arial"/>
                <w:sz w:val="22"/>
                <w:szCs w:val="22"/>
                <w:color w:val="auto"/>
                <w:w w:val="99"/>
              </w:rPr>
              <w:t>Section 6.16</w:t>
            </w:r>
          </w:p>
        </w:tc>
        <w:tc>
          <w:tcPr>
            <w:tcW w:w="7120" w:type="dxa"/>
            <w:vAlign w:val="bottom"/>
          </w:tcPr>
          <w:p>
            <w:pPr>
              <w:ind w:left="240"/>
              <w:spacing w:after="0"/>
              <w:rPr>
                <w:sz w:val="20"/>
                <w:szCs w:val="20"/>
                <w:color w:val="auto"/>
              </w:rPr>
            </w:pPr>
            <w:r>
              <w:rPr>
                <w:rFonts w:ascii="Arial" w:cs="Arial" w:eastAsia="Arial" w:hAnsi="Arial"/>
                <w:sz w:val="22"/>
                <w:szCs w:val="22"/>
                <w:color w:val="auto"/>
              </w:rPr>
              <w:t>Agreement to Deliver Security Documents</w:t>
            </w:r>
          </w:p>
        </w:tc>
        <w:tc>
          <w:tcPr>
            <w:tcW w:w="15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86"/>
        </w:trPr>
        <w:tc>
          <w:tcPr>
            <w:tcW w:w="1360" w:type="dxa"/>
            <w:vAlign w:val="bottom"/>
          </w:tcPr>
          <w:p>
            <w:pPr>
              <w:spacing w:after="0"/>
              <w:rPr>
                <w:sz w:val="20"/>
                <w:szCs w:val="20"/>
                <w:color w:val="auto"/>
              </w:rPr>
            </w:pPr>
            <w:r>
              <w:rPr>
                <w:rFonts w:ascii="Arial" w:cs="Arial" w:eastAsia="Arial" w:hAnsi="Arial"/>
                <w:sz w:val="22"/>
                <w:szCs w:val="22"/>
                <w:color w:val="auto"/>
              </w:rPr>
              <w:t>ARTICLE VII</w:t>
            </w:r>
          </w:p>
        </w:tc>
        <w:tc>
          <w:tcPr>
            <w:tcW w:w="7120" w:type="dxa"/>
            <w:vAlign w:val="bottom"/>
          </w:tcPr>
          <w:p>
            <w:pPr>
              <w:ind w:left="120"/>
              <w:spacing w:after="0"/>
              <w:rPr>
                <w:sz w:val="20"/>
                <w:szCs w:val="20"/>
                <w:color w:val="auto"/>
              </w:rPr>
            </w:pPr>
            <w:r>
              <w:rPr>
                <w:rFonts w:ascii="Arial" w:cs="Arial" w:eastAsia="Arial" w:hAnsi="Arial"/>
                <w:sz w:val="22"/>
                <w:szCs w:val="22"/>
                <w:color w:val="auto"/>
              </w:rPr>
              <w:t>NEGATIVE COVENANTS OF BORROWER</w:t>
            </w:r>
          </w:p>
        </w:tc>
        <w:tc>
          <w:tcPr>
            <w:tcW w:w="15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55"/>
        </w:trPr>
        <w:tc>
          <w:tcPr>
            <w:tcW w:w="1360" w:type="dxa"/>
            <w:vAlign w:val="bottom"/>
          </w:tcPr>
          <w:p>
            <w:pPr>
              <w:ind w:left="120"/>
              <w:spacing w:after="0"/>
              <w:rPr>
                <w:sz w:val="20"/>
                <w:szCs w:val="20"/>
                <w:color w:val="auto"/>
              </w:rPr>
            </w:pPr>
            <w:r>
              <w:rPr>
                <w:rFonts w:ascii="Arial" w:cs="Arial" w:eastAsia="Arial" w:hAnsi="Arial"/>
                <w:sz w:val="22"/>
                <w:szCs w:val="22"/>
                <w:color w:val="auto"/>
              </w:rPr>
              <w:t>Section 7.1</w:t>
            </w:r>
          </w:p>
        </w:tc>
        <w:tc>
          <w:tcPr>
            <w:tcW w:w="7120" w:type="dxa"/>
            <w:vAlign w:val="bottom"/>
          </w:tcPr>
          <w:p>
            <w:pPr>
              <w:ind w:left="240"/>
              <w:spacing w:after="0"/>
              <w:rPr>
                <w:sz w:val="20"/>
                <w:szCs w:val="20"/>
                <w:color w:val="auto"/>
              </w:rPr>
            </w:pPr>
            <w:r>
              <w:rPr>
                <w:rFonts w:ascii="Arial" w:cs="Arial" w:eastAsia="Arial" w:hAnsi="Arial"/>
                <w:sz w:val="22"/>
                <w:szCs w:val="22"/>
                <w:color w:val="auto"/>
              </w:rPr>
              <w:t>Indebtedness</w:t>
            </w:r>
          </w:p>
        </w:tc>
        <w:tc>
          <w:tcPr>
            <w:tcW w:w="158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7.2</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Limitation on Liens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7.3</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Hedging Contracts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60</w:t>
            </w:r>
          </w:p>
        </w:tc>
      </w:tr>
      <w:tr>
        <w:trPr>
          <w:trHeight w:val="243"/>
        </w:trPr>
        <w:tc>
          <w:tcPr>
            <w:tcW w:w="1360" w:type="dxa"/>
            <w:vAlign w:val="bottom"/>
          </w:tcPr>
          <w:p>
            <w:pPr>
              <w:ind w:left="120"/>
              <w:spacing w:after="0" w:line="243" w:lineRule="exact"/>
              <w:rPr>
                <w:sz w:val="20"/>
                <w:szCs w:val="20"/>
                <w:color w:val="auto"/>
              </w:rPr>
            </w:pPr>
            <w:r>
              <w:rPr>
                <w:rFonts w:ascii="Arial" w:cs="Arial" w:eastAsia="Arial" w:hAnsi="Arial"/>
                <w:sz w:val="22"/>
                <w:szCs w:val="22"/>
                <w:color w:val="auto"/>
              </w:rPr>
              <w:t>Section 7.4</w:t>
            </w:r>
          </w:p>
        </w:tc>
        <w:tc>
          <w:tcPr>
            <w:tcW w:w="7120" w:type="dxa"/>
            <w:vAlign w:val="bottom"/>
          </w:tcPr>
          <w:p>
            <w:pPr>
              <w:ind w:left="240"/>
              <w:spacing w:after="0" w:line="243" w:lineRule="exact"/>
              <w:rPr>
                <w:sz w:val="20"/>
                <w:szCs w:val="20"/>
                <w:color w:val="auto"/>
              </w:rPr>
            </w:pPr>
            <w:r>
              <w:rPr>
                <w:rFonts w:ascii="Arial" w:cs="Arial" w:eastAsia="Arial" w:hAnsi="Arial"/>
                <w:sz w:val="22"/>
                <w:szCs w:val="22"/>
                <w:color w:val="auto"/>
              </w:rPr>
              <w:t>Limitation on Mergers, Issuances of Securities</w:t>
            </w:r>
          </w:p>
        </w:tc>
        <w:tc>
          <w:tcPr>
            <w:tcW w:w="1580" w:type="dxa"/>
            <w:vAlign w:val="bottom"/>
          </w:tcPr>
          <w:p>
            <w:pPr>
              <w:jc w:val="right"/>
              <w:spacing w:after="0" w:line="243" w:lineRule="exact"/>
              <w:rPr>
                <w:sz w:val="20"/>
                <w:szCs w:val="20"/>
                <w:color w:val="auto"/>
              </w:rPr>
            </w:pPr>
            <w:r>
              <w:rPr>
                <w:rFonts w:ascii="Arial" w:cs="Arial" w:eastAsia="Arial" w:hAnsi="Arial"/>
                <w:sz w:val="22"/>
                <w:szCs w:val="22"/>
                <w:color w:val="auto"/>
              </w:rPr>
              <w:t>61</w:t>
            </w:r>
          </w:p>
        </w:tc>
      </w:tr>
      <w:tr>
        <w:trPr>
          <w:trHeight w:val="275"/>
        </w:trPr>
        <w:tc>
          <w:tcPr>
            <w:tcW w:w="1360" w:type="dxa"/>
            <w:vAlign w:val="bottom"/>
          </w:tcPr>
          <w:p>
            <w:pPr>
              <w:ind w:left="120"/>
              <w:spacing w:after="0"/>
              <w:rPr>
                <w:sz w:val="20"/>
                <w:szCs w:val="20"/>
                <w:color w:val="auto"/>
              </w:rPr>
            </w:pPr>
            <w:r>
              <w:rPr>
                <w:rFonts w:ascii="Arial" w:cs="Arial" w:eastAsia="Arial" w:hAnsi="Arial"/>
                <w:sz w:val="22"/>
                <w:szCs w:val="22"/>
                <w:color w:val="auto"/>
              </w:rPr>
              <w:t>Section 7.5</w:t>
            </w:r>
          </w:p>
        </w:tc>
        <w:tc>
          <w:tcPr>
            <w:tcW w:w="7120" w:type="dxa"/>
            <w:vAlign w:val="bottom"/>
          </w:tcPr>
          <w:p>
            <w:pPr>
              <w:ind w:left="240"/>
              <w:spacing w:after="0"/>
              <w:rPr>
                <w:sz w:val="20"/>
                <w:szCs w:val="20"/>
                <w:color w:val="auto"/>
              </w:rPr>
            </w:pPr>
            <w:r>
              <w:rPr>
                <w:rFonts w:ascii="Arial" w:cs="Arial" w:eastAsia="Arial" w:hAnsi="Arial"/>
                <w:sz w:val="22"/>
                <w:szCs w:val="22"/>
                <w:color w:val="auto"/>
              </w:rPr>
              <w:t>Limitation on Sales of Property and Discounting of Receivables</w:t>
            </w:r>
          </w:p>
        </w:tc>
        <w:tc>
          <w:tcPr>
            <w:tcW w:w="1580" w:type="dxa"/>
            <w:vAlign w:val="bottom"/>
          </w:tcPr>
          <w:p>
            <w:pPr>
              <w:jc w:val="right"/>
              <w:spacing w:after="0"/>
              <w:rPr>
                <w:sz w:val="20"/>
                <w:szCs w:val="20"/>
                <w:color w:val="auto"/>
              </w:rPr>
            </w:pPr>
            <w:r>
              <w:rPr>
                <w:rFonts w:ascii="Arial" w:cs="Arial" w:eastAsia="Arial" w:hAnsi="Arial"/>
                <w:sz w:val="22"/>
                <w:szCs w:val="22"/>
                <w:color w:val="auto"/>
              </w:rPr>
              <w:t>61</w:t>
            </w:r>
          </w:p>
        </w:tc>
      </w:tr>
    </w:tbl>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49" w:right="9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53"/>
        </w:trPr>
        <w:tc>
          <w:tcPr>
            <w:tcW w:w="1400" w:type="dxa"/>
            <w:vAlign w:val="bottom"/>
          </w:tcPr>
          <w:p>
            <w:pPr>
              <w:ind w:left="120"/>
              <w:spacing w:after="0"/>
              <w:rPr>
                <w:sz w:val="20"/>
                <w:szCs w:val="20"/>
                <w:color w:val="auto"/>
              </w:rPr>
            </w:pPr>
            <w:r>
              <w:rPr>
                <w:rFonts w:ascii="Arial" w:cs="Arial" w:eastAsia="Arial" w:hAnsi="Arial"/>
                <w:sz w:val="22"/>
                <w:szCs w:val="22"/>
                <w:color w:val="auto"/>
              </w:rPr>
              <w:t>Section 7.6</w:t>
            </w:r>
          </w:p>
        </w:tc>
        <w:tc>
          <w:tcPr>
            <w:tcW w:w="8040" w:type="dxa"/>
            <w:vAlign w:val="bottom"/>
          </w:tcPr>
          <w:p>
            <w:pPr>
              <w:ind w:left="200"/>
              <w:spacing w:after="0"/>
              <w:rPr>
                <w:sz w:val="20"/>
                <w:szCs w:val="20"/>
                <w:color w:val="auto"/>
              </w:rPr>
            </w:pPr>
            <w:r>
              <w:rPr>
                <w:rFonts w:ascii="Arial" w:cs="Arial" w:eastAsia="Arial" w:hAnsi="Arial"/>
                <w:sz w:val="22"/>
                <w:szCs w:val="22"/>
                <w:color w:val="auto"/>
              </w:rPr>
              <w:t>Limitation on Distributions and Subordinated Debt</w:t>
            </w:r>
          </w:p>
        </w:tc>
        <w:tc>
          <w:tcPr>
            <w:tcW w:w="62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7.7</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w w:val="95"/>
              </w:rPr>
              <w:t>Limitation on Investments, Acquisitions, Capital Expenditures, and Lines of Business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7.8</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Intentionally Omitted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7.9</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Transactions with Affiliates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7.10</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Prohibited Contracts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62</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7.11</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Financial Covenants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63</w:t>
            </w:r>
          </w:p>
        </w:tc>
      </w:tr>
      <w:tr>
        <w:trPr>
          <w:trHeight w:val="275"/>
        </w:trPr>
        <w:tc>
          <w:tcPr>
            <w:tcW w:w="1400" w:type="dxa"/>
            <w:vAlign w:val="bottom"/>
          </w:tcPr>
          <w:p>
            <w:pPr>
              <w:ind w:left="120"/>
              <w:spacing w:after="0"/>
              <w:rPr>
                <w:sz w:val="20"/>
                <w:szCs w:val="20"/>
                <w:color w:val="auto"/>
              </w:rPr>
            </w:pPr>
            <w:r>
              <w:rPr>
                <w:rFonts w:ascii="Arial" w:cs="Arial" w:eastAsia="Arial" w:hAnsi="Arial"/>
                <w:sz w:val="22"/>
                <w:szCs w:val="22"/>
                <w:color w:val="auto"/>
              </w:rPr>
              <w:t>Section 7.12</w:t>
            </w:r>
          </w:p>
        </w:tc>
        <w:tc>
          <w:tcPr>
            <w:tcW w:w="8040" w:type="dxa"/>
            <w:vAlign w:val="bottom"/>
          </w:tcPr>
          <w:p>
            <w:pPr>
              <w:ind w:left="200"/>
              <w:spacing w:after="0"/>
              <w:rPr>
                <w:sz w:val="20"/>
                <w:szCs w:val="20"/>
                <w:color w:val="auto"/>
              </w:rPr>
            </w:pPr>
            <w:r>
              <w:rPr>
                <w:rFonts w:ascii="Arial" w:cs="Arial" w:eastAsia="Arial" w:hAnsi="Arial"/>
                <w:sz w:val="22"/>
                <w:szCs w:val="22"/>
                <w:color w:val="auto"/>
              </w:rPr>
              <w:t>Limitation on Further Negative Pledges</w:t>
            </w:r>
          </w:p>
        </w:tc>
        <w:tc>
          <w:tcPr>
            <w:tcW w:w="62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486"/>
        </w:trPr>
        <w:tc>
          <w:tcPr>
            <w:tcW w:w="1400" w:type="dxa"/>
            <w:vAlign w:val="bottom"/>
          </w:tcPr>
          <w:p>
            <w:pPr>
              <w:spacing w:after="0"/>
              <w:rPr>
                <w:sz w:val="20"/>
                <w:szCs w:val="20"/>
                <w:color w:val="auto"/>
              </w:rPr>
            </w:pPr>
            <w:r>
              <w:rPr>
                <w:rFonts w:ascii="Arial" w:cs="Arial" w:eastAsia="Arial" w:hAnsi="Arial"/>
                <w:sz w:val="22"/>
                <w:szCs w:val="22"/>
                <w:color w:val="auto"/>
              </w:rPr>
              <w:t>ARTICLE VIII</w:t>
            </w:r>
          </w:p>
        </w:tc>
        <w:tc>
          <w:tcPr>
            <w:tcW w:w="8040" w:type="dxa"/>
            <w:vAlign w:val="bottom"/>
          </w:tcPr>
          <w:p>
            <w:pPr>
              <w:ind w:left="80"/>
              <w:spacing w:after="0"/>
              <w:rPr>
                <w:sz w:val="20"/>
                <w:szCs w:val="20"/>
                <w:color w:val="auto"/>
              </w:rPr>
            </w:pPr>
            <w:r>
              <w:rPr>
                <w:rFonts w:ascii="Arial" w:cs="Arial" w:eastAsia="Arial" w:hAnsi="Arial"/>
                <w:sz w:val="22"/>
                <w:szCs w:val="22"/>
                <w:color w:val="auto"/>
              </w:rPr>
              <w:t>EVENTS OF DEFAULT AND REMEDIES</w:t>
            </w:r>
          </w:p>
        </w:tc>
        <w:tc>
          <w:tcPr>
            <w:tcW w:w="6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455"/>
        </w:trPr>
        <w:tc>
          <w:tcPr>
            <w:tcW w:w="1400" w:type="dxa"/>
            <w:vAlign w:val="bottom"/>
          </w:tcPr>
          <w:p>
            <w:pPr>
              <w:ind w:left="120"/>
              <w:spacing w:after="0"/>
              <w:rPr>
                <w:sz w:val="20"/>
                <w:szCs w:val="20"/>
                <w:color w:val="auto"/>
              </w:rPr>
            </w:pPr>
            <w:r>
              <w:rPr>
                <w:rFonts w:ascii="Arial" w:cs="Arial" w:eastAsia="Arial" w:hAnsi="Arial"/>
                <w:sz w:val="22"/>
                <w:szCs w:val="22"/>
                <w:color w:val="auto"/>
              </w:rPr>
              <w:t>Section 8.1</w:t>
            </w:r>
          </w:p>
        </w:tc>
        <w:tc>
          <w:tcPr>
            <w:tcW w:w="8040" w:type="dxa"/>
            <w:vAlign w:val="bottom"/>
          </w:tcPr>
          <w:p>
            <w:pPr>
              <w:ind w:left="200"/>
              <w:spacing w:after="0"/>
              <w:rPr>
                <w:sz w:val="20"/>
                <w:szCs w:val="20"/>
                <w:color w:val="auto"/>
              </w:rPr>
            </w:pPr>
            <w:r>
              <w:rPr>
                <w:rFonts w:ascii="Arial" w:cs="Arial" w:eastAsia="Arial" w:hAnsi="Arial"/>
                <w:sz w:val="22"/>
                <w:szCs w:val="22"/>
                <w:color w:val="auto"/>
              </w:rPr>
              <w:t>Events of Default</w:t>
            </w:r>
          </w:p>
        </w:tc>
        <w:tc>
          <w:tcPr>
            <w:tcW w:w="62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8.2</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Remedies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66</w:t>
            </w:r>
          </w:p>
        </w:tc>
      </w:tr>
      <w:tr>
        <w:trPr>
          <w:trHeight w:val="275"/>
        </w:trPr>
        <w:tc>
          <w:tcPr>
            <w:tcW w:w="1400" w:type="dxa"/>
            <w:vAlign w:val="bottom"/>
          </w:tcPr>
          <w:p>
            <w:pPr>
              <w:ind w:left="120"/>
              <w:spacing w:after="0"/>
              <w:rPr>
                <w:sz w:val="20"/>
                <w:szCs w:val="20"/>
                <w:color w:val="auto"/>
              </w:rPr>
            </w:pPr>
            <w:r>
              <w:rPr>
                <w:rFonts w:ascii="Arial" w:cs="Arial" w:eastAsia="Arial" w:hAnsi="Arial"/>
                <w:sz w:val="22"/>
                <w:szCs w:val="22"/>
                <w:color w:val="auto"/>
              </w:rPr>
              <w:t>Section 8.3</w:t>
            </w:r>
          </w:p>
        </w:tc>
        <w:tc>
          <w:tcPr>
            <w:tcW w:w="8040" w:type="dxa"/>
            <w:vAlign w:val="bottom"/>
          </w:tcPr>
          <w:p>
            <w:pPr>
              <w:ind w:left="200"/>
              <w:spacing w:after="0"/>
              <w:rPr>
                <w:sz w:val="20"/>
                <w:szCs w:val="20"/>
                <w:color w:val="auto"/>
              </w:rPr>
            </w:pPr>
            <w:r>
              <w:rPr>
                <w:rFonts w:ascii="Arial" w:cs="Arial" w:eastAsia="Arial" w:hAnsi="Arial"/>
                <w:sz w:val="22"/>
                <w:szCs w:val="22"/>
                <w:color w:val="auto"/>
              </w:rPr>
              <w:t>Application of Proceeds after Acceleration</w:t>
            </w:r>
          </w:p>
        </w:tc>
        <w:tc>
          <w:tcPr>
            <w:tcW w:w="62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486"/>
        </w:trPr>
        <w:tc>
          <w:tcPr>
            <w:tcW w:w="1400" w:type="dxa"/>
            <w:vAlign w:val="bottom"/>
          </w:tcPr>
          <w:p>
            <w:pPr>
              <w:spacing w:after="0"/>
              <w:rPr>
                <w:sz w:val="20"/>
                <w:szCs w:val="20"/>
                <w:color w:val="auto"/>
              </w:rPr>
            </w:pPr>
            <w:r>
              <w:rPr>
                <w:rFonts w:ascii="Arial" w:cs="Arial" w:eastAsia="Arial" w:hAnsi="Arial"/>
                <w:sz w:val="22"/>
                <w:szCs w:val="22"/>
                <w:color w:val="auto"/>
              </w:rPr>
              <w:t>ARTICLE IX</w:t>
            </w:r>
          </w:p>
        </w:tc>
        <w:tc>
          <w:tcPr>
            <w:tcW w:w="8040" w:type="dxa"/>
            <w:vAlign w:val="bottom"/>
          </w:tcPr>
          <w:p>
            <w:pPr>
              <w:ind w:left="80"/>
              <w:spacing w:after="0"/>
              <w:rPr>
                <w:sz w:val="20"/>
                <w:szCs w:val="20"/>
                <w:color w:val="auto"/>
              </w:rPr>
            </w:pPr>
            <w:r>
              <w:rPr>
                <w:rFonts w:ascii="Arial" w:cs="Arial" w:eastAsia="Arial" w:hAnsi="Arial"/>
                <w:sz w:val="22"/>
                <w:szCs w:val="22"/>
                <w:color w:val="auto"/>
              </w:rPr>
              <w:t>AGENT</w:t>
            </w:r>
          </w:p>
        </w:tc>
        <w:tc>
          <w:tcPr>
            <w:tcW w:w="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455"/>
        </w:trPr>
        <w:tc>
          <w:tcPr>
            <w:tcW w:w="1400" w:type="dxa"/>
            <w:vAlign w:val="bottom"/>
          </w:tcPr>
          <w:p>
            <w:pPr>
              <w:ind w:left="120"/>
              <w:spacing w:after="0"/>
              <w:rPr>
                <w:sz w:val="20"/>
                <w:szCs w:val="20"/>
                <w:color w:val="auto"/>
              </w:rPr>
            </w:pPr>
            <w:r>
              <w:rPr>
                <w:rFonts w:ascii="Arial" w:cs="Arial" w:eastAsia="Arial" w:hAnsi="Arial"/>
                <w:sz w:val="22"/>
                <w:szCs w:val="22"/>
                <w:color w:val="auto"/>
              </w:rPr>
              <w:t>Section 9.1</w:t>
            </w:r>
          </w:p>
        </w:tc>
        <w:tc>
          <w:tcPr>
            <w:tcW w:w="8040" w:type="dxa"/>
            <w:vAlign w:val="bottom"/>
          </w:tcPr>
          <w:p>
            <w:pPr>
              <w:ind w:left="200"/>
              <w:spacing w:after="0"/>
              <w:rPr>
                <w:sz w:val="20"/>
                <w:szCs w:val="20"/>
                <w:color w:val="auto"/>
              </w:rPr>
            </w:pPr>
            <w:r>
              <w:rPr>
                <w:rFonts w:ascii="Arial" w:cs="Arial" w:eastAsia="Arial" w:hAnsi="Arial"/>
                <w:sz w:val="22"/>
                <w:szCs w:val="22"/>
                <w:color w:val="auto"/>
              </w:rPr>
              <w:t>Appointment and Authority</w:t>
            </w:r>
          </w:p>
        </w:tc>
        <w:tc>
          <w:tcPr>
            <w:tcW w:w="62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9.2</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Exculpation, Agent’s Reliance, Etc</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68</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9.3</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Credit Decisions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9.4</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Indemnification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69</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9.5</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Rights as Lender</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9.6</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Sharing of Set-Offs and Other Payments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9.7</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Investments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70</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9.8</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Benefit of Article IX</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9.9</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Resignation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9.10</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Notice of Default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71</w:t>
            </w:r>
          </w:p>
        </w:tc>
      </w:tr>
      <w:tr>
        <w:trPr>
          <w:trHeight w:val="275"/>
        </w:trPr>
        <w:tc>
          <w:tcPr>
            <w:tcW w:w="1400" w:type="dxa"/>
            <w:vAlign w:val="bottom"/>
          </w:tcPr>
          <w:p>
            <w:pPr>
              <w:ind w:left="120"/>
              <w:spacing w:after="0"/>
              <w:rPr>
                <w:sz w:val="20"/>
                <w:szCs w:val="20"/>
                <w:color w:val="auto"/>
              </w:rPr>
            </w:pPr>
            <w:r>
              <w:rPr>
                <w:rFonts w:ascii="Arial" w:cs="Arial" w:eastAsia="Arial" w:hAnsi="Arial"/>
                <w:sz w:val="22"/>
                <w:szCs w:val="22"/>
                <w:color w:val="auto"/>
              </w:rPr>
              <w:t>Section 9.11</w:t>
            </w:r>
          </w:p>
        </w:tc>
        <w:tc>
          <w:tcPr>
            <w:tcW w:w="8040" w:type="dxa"/>
            <w:vAlign w:val="bottom"/>
          </w:tcPr>
          <w:p>
            <w:pPr>
              <w:ind w:left="200"/>
              <w:spacing w:after="0"/>
              <w:rPr>
                <w:sz w:val="20"/>
                <w:szCs w:val="20"/>
                <w:color w:val="auto"/>
              </w:rPr>
            </w:pPr>
            <w:r>
              <w:rPr>
                <w:rFonts w:ascii="Arial" w:cs="Arial" w:eastAsia="Arial" w:hAnsi="Arial"/>
                <w:sz w:val="22"/>
                <w:szCs w:val="22"/>
                <w:color w:val="auto"/>
              </w:rPr>
              <w:t>Co-Agents</w:t>
            </w:r>
          </w:p>
        </w:tc>
        <w:tc>
          <w:tcPr>
            <w:tcW w:w="62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486"/>
        </w:trPr>
        <w:tc>
          <w:tcPr>
            <w:tcW w:w="1400" w:type="dxa"/>
            <w:vAlign w:val="bottom"/>
          </w:tcPr>
          <w:p>
            <w:pPr>
              <w:spacing w:after="0"/>
              <w:rPr>
                <w:sz w:val="20"/>
                <w:szCs w:val="20"/>
                <w:color w:val="auto"/>
              </w:rPr>
            </w:pPr>
            <w:r>
              <w:rPr>
                <w:rFonts w:ascii="Arial" w:cs="Arial" w:eastAsia="Arial" w:hAnsi="Arial"/>
                <w:sz w:val="22"/>
                <w:szCs w:val="22"/>
                <w:color w:val="auto"/>
              </w:rPr>
              <w:t>ARTICLE X</w:t>
            </w:r>
          </w:p>
        </w:tc>
        <w:tc>
          <w:tcPr>
            <w:tcW w:w="8040" w:type="dxa"/>
            <w:vAlign w:val="bottom"/>
          </w:tcPr>
          <w:p>
            <w:pPr>
              <w:ind w:left="80"/>
              <w:spacing w:after="0"/>
              <w:rPr>
                <w:sz w:val="20"/>
                <w:szCs w:val="20"/>
                <w:color w:val="auto"/>
              </w:rPr>
            </w:pPr>
            <w:r>
              <w:rPr>
                <w:rFonts w:ascii="Arial" w:cs="Arial" w:eastAsia="Arial" w:hAnsi="Arial"/>
                <w:sz w:val="22"/>
                <w:szCs w:val="22"/>
                <w:color w:val="auto"/>
              </w:rPr>
              <w:t>MISCELLANEOUS</w:t>
            </w:r>
          </w:p>
        </w:tc>
        <w:tc>
          <w:tcPr>
            <w:tcW w:w="6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455"/>
        </w:trPr>
        <w:tc>
          <w:tcPr>
            <w:tcW w:w="1400" w:type="dxa"/>
            <w:vAlign w:val="bottom"/>
          </w:tcPr>
          <w:p>
            <w:pPr>
              <w:ind w:left="120"/>
              <w:spacing w:after="0"/>
              <w:rPr>
                <w:sz w:val="20"/>
                <w:szCs w:val="20"/>
                <w:color w:val="auto"/>
              </w:rPr>
            </w:pPr>
            <w:r>
              <w:rPr>
                <w:rFonts w:ascii="Arial" w:cs="Arial" w:eastAsia="Arial" w:hAnsi="Arial"/>
                <w:sz w:val="22"/>
                <w:szCs w:val="22"/>
                <w:color w:val="auto"/>
              </w:rPr>
              <w:t>Section 10.1</w:t>
            </w:r>
          </w:p>
        </w:tc>
        <w:tc>
          <w:tcPr>
            <w:tcW w:w="8040" w:type="dxa"/>
            <w:vAlign w:val="bottom"/>
          </w:tcPr>
          <w:p>
            <w:pPr>
              <w:ind w:left="200"/>
              <w:spacing w:after="0"/>
              <w:rPr>
                <w:sz w:val="20"/>
                <w:szCs w:val="20"/>
                <w:color w:val="auto"/>
              </w:rPr>
            </w:pPr>
            <w:r>
              <w:rPr>
                <w:rFonts w:ascii="Arial" w:cs="Arial" w:eastAsia="Arial" w:hAnsi="Arial"/>
                <w:sz w:val="22"/>
                <w:szCs w:val="22"/>
                <w:color w:val="auto"/>
              </w:rPr>
              <w:t>Waivers and Amendments; Acknowledgments</w:t>
            </w:r>
          </w:p>
        </w:tc>
        <w:tc>
          <w:tcPr>
            <w:tcW w:w="620" w:type="dxa"/>
            <w:vAlign w:val="bottom"/>
          </w:tcPr>
          <w:p>
            <w:pPr>
              <w:jc w:val="right"/>
              <w:spacing w:after="0"/>
              <w:rPr>
                <w:sz w:val="20"/>
                <w:szCs w:val="20"/>
                <w:color w:val="auto"/>
              </w:rPr>
            </w:pPr>
            <w:r>
              <w:rPr>
                <w:rFonts w:ascii="Arial" w:cs="Arial" w:eastAsia="Arial" w:hAnsi="Arial"/>
                <w:sz w:val="22"/>
                <w:szCs w:val="22"/>
                <w:color w:val="auto"/>
              </w:rPr>
              <w:t>72</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10.2</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Survival of Agreements; Cumulative Nature</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73</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10.3</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Notices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10.4</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Payment of Expenses; Indemnity</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10.5</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Joint and Several Liability; Parties in Interest; Assignments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10.6</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Confidentiality</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10.7</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Governing Law; Submission to Process</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78</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10.8</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Limitation on Interest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rPr>
              <w:t>Section 10.9</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Termination; Limited Survival</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w w:val="93"/>
              </w:rPr>
              <w:t>Section 10.10</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Severability</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w w:val="93"/>
              </w:rPr>
              <w:t>Section 10.11</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Counterparts; Fax</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80</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w w:val="93"/>
              </w:rPr>
              <w:t>Section 10.12</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Intentionally Omitted</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w w:val="93"/>
              </w:rPr>
              <w:t>Section 10.13</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Waiver of Jury Trial, Punitive Damages, etc</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w w:val="93"/>
              </w:rPr>
              <w:t>Section 10.14</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USA Patriot Act</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400" w:type="dxa"/>
            <w:vAlign w:val="bottom"/>
          </w:tcPr>
          <w:p>
            <w:pPr>
              <w:ind w:left="120"/>
              <w:spacing w:after="0" w:line="243" w:lineRule="exact"/>
              <w:rPr>
                <w:sz w:val="20"/>
                <w:szCs w:val="20"/>
                <w:color w:val="auto"/>
              </w:rPr>
            </w:pPr>
            <w:r>
              <w:rPr>
                <w:rFonts w:ascii="Arial" w:cs="Arial" w:eastAsia="Arial" w:hAnsi="Arial"/>
                <w:sz w:val="22"/>
                <w:szCs w:val="22"/>
                <w:color w:val="auto"/>
                <w:w w:val="93"/>
              </w:rPr>
              <w:t>Section 10.15</w:t>
            </w:r>
          </w:p>
        </w:tc>
        <w:tc>
          <w:tcPr>
            <w:tcW w:w="8040" w:type="dxa"/>
            <w:vAlign w:val="bottom"/>
          </w:tcPr>
          <w:p>
            <w:pPr>
              <w:ind w:left="200"/>
              <w:spacing w:after="0" w:line="243" w:lineRule="exact"/>
              <w:rPr>
                <w:sz w:val="20"/>
                <w:szCs w:val="20"/>
                <w:color w:val="auto"/>
              </w:rPr>
            </w:pPr>
            <w:r>
              <w:rPr>
                <w:rFonts w:ascii="Arial" w:cs="Arial" w:eastAsia="Arial" w:hAnsi="Arial"/>
                <w:sz w:val="22"/>
                <w:szCs w:val="22"/>
                <w:color w:val="auto"/>
              </w:rPr>
              <w:t>Renewal and Extension</w:t>
            </w:r>
          </w:p>
        </w:tc>
        <w:tc>
          <w:tcPr>
            <w:tcW w:w="620" w:type="dxa"/>
            <w:vAlign w:val="bottom"/>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75"/>
        </w:trPr>
        <w:tc>
          <w:tcPr>
            <w:tcW w:w="1400" w:type="dxa"/>
            <w:vAlign w:val="bottom"/>
          </w:tcPr>
          <w:p>
            <w:pPr>
              <w:ind w:left="120"/>
              <w:spacing w:after="0"/>
              <w:rPr>
                <w:sz w:val="20"/>
                <w:szCs w:val="20"/>
                <w:color w:val="auto"/>
              </w:rPr>
            </w:pPr>
            <w:r>
              <w:rPr>
                <w:rFonts w:ascii="Arial" w:cs="Arial" w:eastAsia="Arial" w:hAnsi="Arial"/>
                <w:sz w:val="22"/>
                <w:szCs w:val="22"/>
                <w:color w:val="auto"/>
                <w:w w:val="93"/>
              </w:rPr>
              <w:t>Section 10.16</w:t>
            </w:r>
          </w:p>
        </w:tc>
        <w:tc>
          <w:tcPr>
            <w:tcW w:w="8040" w:type="dxa"/>
            <w:vAlign w:val="bottom"/>
          </w:tcPr>
          <w:p>
            <w:pPr>
              <w:ind w:left="200"/>
              <w:spacing w:after="0"/>
              <w:rPr>
                <w:sz w:val="20"/>
                <w:szCs w:val="20"/>
                <w:color w:val="auto"/>
              </w:rPr>
            </w:pPr>
            <w:r>
              <w:rPr>
                <w:rFonts w:ascii="Arial" w:cs="Arial" w:eastAsia="Arial" w:hAnsi="Arial"/>
                <w:sz w:val="22"/>
                <w:szCs w:val="22"/>
                <w:color w:val="auto"/>
              </w:rPr>
              <w:t>Acknowledgement and Consent to Bail-In of EEA Financial Institutions</w:t>
            </w:r>
          </w:p>
        </w:tc>
        <w:tc>
          <w:tcPr>
            <w:tcW w:w="620" w:type="dxa"/>
            <w:vAlign w:val="bottom"/>
          </w:tcPr>
          <w:p>
            <w:pPr>
              <w:jc w:val="right"/>
              <w:spacing w:after="0"/>
              <w:rPr>
                <w:sz w:val="20"/>
                <w:szCs w:val="20"/>
                <w:color w:val="auto"/>
              </w:rPr>
            </w:pPr>
            <w:r>
              <w:rPr>
                <w:rFonts w:ascii="Arial" w:cs="Arial" w:eastAsia="Arial" w:hAnsi="Arial"/>
                <w:sz w:val="22"/>
                <w:szCs w:val="22"/>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49" w:right="9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81"/>
        </w:trPr>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60" w:type="dxa"/>
            <w:vAlign w:val="bottom"/>
          </w:tcPr>
          <w:p>
            <w:pPr>
              <w:ind w:left="1060"/>
              <w:spacing w:after="0"/>
              <w:rPr>
                <w:sz w:val="20"/>
                <w:szCs w:val="20"/>
                <w:color w:val="auto"/>
              </w:rPr>
            </w:pPr>
            <w:r>
              <w:rPr>
                <w:rFonts w:ascii="Arial" w:cs="Arial" w:eastAsia="Arial" w:hAnsi="Arial"/>
                <w:sz w:val="22"/>
                <w:szCs w:val="22"/>
                <w:b w:val="1"/>
                <w:bCs w:val="1"/>
                <w:color w:val="auto"/>
                <w:w w:val="86"/>
              </w:rPr>
              <w:t>Schedules and Exhibits</w:t>
            </w:r>
            <w:r>
              <w:rPr>
                <w:rFonts w:ascii="Arial" w:cs="Arial" w:eastAsia="Arial" w:hAnsi="Arial"/>
                <w:sz w:val="22"/>
                <w:szCs w:val="22"/>
                <w:color w:val="auto"/>
                <w:w w:val="86"/>
              </w:rPr>
              <w:t>:</w:t>
            </w:r>
          </w:p>
        </w:tc>
      </w:tr>
      <w:tr>
        <w:trPr>
          <w:trHeight w:val="473"/>
        </w:trPr>
        <w:tc>
          <w:tcPr>
            <w:tcW w:w="1540" w:type="dxa"/>
            <w:vAlign w:val="bottom"/>
          </w:tcPr>
          <w:p>
            <w:pPr>
              <w:spacing w:after="0"/>
              <w:rPr>
                <w:sz w:val="20"/>
                <w:szCs w:val="20"/>
                <w:color w:val="auto"/>
              </w:rPr>
            </w:pPr>
            <w:r>
              <w:rPr>
                <w:rFonts w:ascii="Arial" w:cs="Arial" w:eastAsia="Arial" w:hAnsi="Arial"/>
                <w:sz w:val="22"/>
                <w:szCs w:val="22"/>
                <w:color w:val="auto"/>
                <w:w w:val="92"/>
              </w:rPr>
              <w:t>Pricing Schedule</w:t>
            </w:r>
          </w:p>
        </w:tc>
        <w:tc>
          <w:tcPr>
            <w:tcW w:w="134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55"/>
        </w:trPr>
        <w:tc>
          <w:tcPr>
            <w:tcW w:w="1540" w:type="dxa"/>
            <w:vAlign w:val="bottom"/>
          </w:tcPr>
          <w:p>
            <w:pPr>
              <w:spacing w:after="0"/>
              <w:rPr>
                <w:sz w:val="20"/>
                <w:szCs w:val="20"/>
                <w:color w:val="auto"/>
              </w:rPr>
            </w:pPr>
            <w:r>
              <w:rPr>
                <w:rFonts w:ascii="Arial" w:cs="Arial" w:eastAsia="Arial" w:hAnsi="Arial"/>
                <w:sz w:val="22"/>
                <w:szCs w:val="22"/>
                <w:color w:val="auto"/>
              </w:rPr>
              <w:t>Exhibit 1.1</w:t>
            </w:r>
          </w:p>
        </w:tc>
        <w:tc>
          <w:tcPr>
            <w:tcW w:w="4600" w:type="dxa"/>
            <w:vAlign w:val="bottom"/>
            <w:gridSpan w:val="2"/>
          </w:tcPr>
          <w:p>
            <w:pPr>
              <w:ind w:left="60"/>
              <w:spacing w:after="0"/>
              <w:rPr>
                <w:sz w:val="20"/>
                <w:szCs w:val="20"/>
                <w:color w:val="auto"/>
              </w:rPr>
            </w:pPr>
            <w:r>
              <w:rPr>
                <w:rFonts w:ascii="Arial" w:cs="Arial" w:eastAsia="Arial" w:hAnsi="Arial"/>
                <w:sz w:val="22"/>
                <w:szCs w:val="22"/>
                <w:color w:val="auto"/>
              </w:rPr>
              <w:t>U.S. Tax Compliance Certificates</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2.1</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Revolving Note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2.2(b)</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Borrowing Notice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2.3(c)</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Continuation/Conversion Notice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2.10</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Letter of Credit Application and Agreement</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2.16</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Swingline Note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2.17</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Incremental Commitment Agreement</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Exhibit 6.2(b)</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w w:val="98"/>
              </w:rPr>
              <w:t>Certificate Accompanying Financial Statements</w:t>
            </w:r>
          </w:p>
        </w:tc>
      </w:t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Exhibit 10.5</w:t>
            </w:r>
          </w:p>
        </w:tc>
        <w:tc>
          <w:tcPr>
            <w:tcW w:w="4600" w:type="dxa"/>
            <w:vAlign w:val="bottom"/>
            <w:gridSpan w:val="2"/>
          </w:tcPr>
          <w:p>
            <w:pPr>
              <w:ind w:left="60"/>
              <w:spacing w:after="0"/>
              <w:rPr>
                <w:sz w:val="20"/>
                <w:szCs w:val="20"/>
                <w:color w:val="auto"/>
              </w:rPr>
            </w:pPr>
            <w:r>
              <w:rPr>
                <w:rFonts w:ascii="Arial" w:cs="Arial" w:eastAsia="Arial" w:hAnsi="Arial"/>
                <w:sz w:val="22"/>
                <w:szCs w:val="22"/>
                <w:color w:val="auto"/>
              </w:rPr>
              <w:t>Assignment and Acceptance Agreement</w:t>
            </w:r>
          </w:p>
        </w:tc>
      </w:tr>
      <w:tr>
        <w:trPr>
          <w:trHeight w:val="455"/>
        </w:trPr>
        <w:tc>
          <w:tcPr>
            <w:tcW w:w="1540" w:type="dxa"/>
            <w:vAlign w:val="bottom"/>
          </w:tcPr>
          <w:p>
            <w:pPr>
              <w:spacing w:after="0"/>
              <w:rPr>
                <w:sz w:val="20"/>
                <w:szCs w:val="20"/>
                <w:color w:val="auto"/>
              </w:rPr>
            </w:pPr>
            <w:r>
              <w:rPr>
                <w:rFonts w:ascii="Arial" w:cs="Arial" w:eastAsia="Arial" w:hAnsi="Arial"/>
                <w:sz w:val="22"/>
                <w:szCs w:val="22"/>
                <w:color w:val="auto"/>
                <w:w w:val="97"/>
              </w:rPr>
              <w:t>Schedule 1.1(a)</w:t>
            </w:r>
          </w:p>
        </w:tc>
        <w:tc>
          <w:tcPr>
            <w:tcW w:w="1340" w:type="dxa"/>
            <w:vAlign w:val="bottom"/>
          </w:tcPr>
          <w:p>
            <w:pPr>
              <w:ind w:left="60"/>
              <w:spacing w:after="0"/>
              <w:rPr>
                <w:sz w:val="20"/>
                <w:szCs w:val="20"/>
                <w:color w:val="auto"/>
              </w:rPr>
            </w:pPr>
            <w:r>
              <w:rPr>
                <w:rFonts w:ascii="Arial" w:cs="Arial" w:eastAsia="Arial" w:hAnsi="Arial"/>
                <w:sz w:val="22"/>
                <w:szCs w:val="22"/>
                <w:color w:val="auto"/>
                <w:w w:val="92"/>
              </w:rPr>
              <w:t>Existing Liens</w:t>
            </w:r>
          </w:p>
        </w:tc>
        <w:tc>
          <w:tcPr>
            <w:tcW w:w="3260" w:type="dxa"/>
            <w:vAlign w:val="bottom"/>
          </w:tcPr>
          <w:p>
            <w:pPr>
              <w:spacing w:after="0"/>
              <w:rPr>
                <w:sz w:val="24"/>
                <w:szCs w:val="24"/>
                <w:color w:val="auto"/>
              </w:rPr>
            </w:pP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w w:val="97"/>
              </w:rPr>
              <w:t>Schedule 1.1(b)</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Existing Letters of Credit</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Schedule 3.1</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Lenders Schedule</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Schedule 4.1</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Security Documents</w:t>
            </w:r>
          </w:p>
        </w:tc>
      </w:tr>
      <w:tr>
        <w:trPr>
          <w:trHeight w:val="243"/>
        </w:trPr>
        <w:tc>
          <w:tcPr>
            <w:tcW w:w="1540" w:type="dxa"/>
            <w:vAlign w:val="bottom"/>
          </w:tcPr>
          <w:p>
            <w:pPr>
              <w:spacing w:after="0" w:line="243" w:lineRule="exact"/>
              <w:rPr>
                <w:sz w:val="20"/>
                <w:szCs w:val="20"/>
                <w:color w:val="auto"/>
              </w:rPr>
            </w:pPr>
            <w:r>
              <w:rPr>
                <w:rFonts w:ascii="Arial" w:cs="Arial" w:eastAsia="Arial" w:hAnsi="Arial"/>
                <w:sz w:val="22"/>
                <w:szCs w:val="22"/>
                <w:color w:val="auto"/>
              </w:rPr>
              <w:t>Schedule 5</w:t>
            </w: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Disclosure Schedule</w:t>
            </w:r>
          </w:p>
        </w:tc>
      </w:tr>
      <w:tr>
        <w:trPr>
          <w:trHeight w:val="243"/>
        </w:trPr>
        <w:tc>
          <w:tcPr>
            <w:tcW w:w="1540" w:type="dxa"/>
            <w:vAlign w:val="bottom"/>
          </w:tcPr>
          <w:p>
            <w:pPr>
              <w:spacing w:after="0"/>
              <w:rPr>
                <w:sz w:val="21"/>
                <w:szCs w:val="21"/>
                <w:color w:val="auto"/>
              </w:rPr>
            </w:pPr>
          </w:p>
        </w:tc>
        <w:tc>
          <w:tcPr>
            <w:tcW w:w="1340" w:type="dxa"/>
            <w:vAlign w:val="bottom"/>
          </w:tcPr>
          <w:p>
            <w:pPr>
              <w:ind w:left="60"/>
              <w:spacing w:after="0" w:line="243" w:lineRule="exact"/>
              <w:rPr>
                <w:sz w:val="20"/>
                <w:szCs w:val="20"/>
                <w:color w:val="auto"/>
              </w:rPr>
            </w:pPr>
            <w:r>
              <w:rPr>
                <w:rFonts w:ascii="Arial" w:cs="Arial" w:eastAsia="Arial" w:hAnsi="Arial"/>
                <w:sz w:val="22"/>
                <w:szCs w:val="22"/>
                <w:color w:val="auto"/>
              </w:rPr>
              <w:t>Section 5.7</w:t>
            </w:r>
          </w:p>
        </w:tc>
        <w:tc>
          <w:tcPr>
            <w:tcW w:w="3260" w:type="dxa"/>
            <w:vAlign w:val="bottom"/>
          </w:tcPr>
          <w:p>
            <w:pPr>
              <w:ind w:left="20"/>
              <w:spacing w:after="0" w:line="243" w:lineRule="exact"/>
              <w:rPr>
                <w:sz w:val="20"/>
                <w:szCs w:val="20"/>
                <w:color w:val="auto"/>
              </w:rPr>
            </w:pPr>
            <w:r>
              <w:rPr>
                <w:rFonts w:ascii="Arial" w:cs="Arial" w:eastAsia="Arial" w:hAnsi="Arial"/>
                <w:sz w:val="22"/>
                <w:szCs w:val="22"/>
                <w:color w:val="auto"/>
                <w:w w:val="96"/>
              </w:rPr>
              <w:t>Other Obligations and Restrictions</w:t>
            </w:r>
          </w:p>
        </w:tc>
      </w:tr>
      <w:tr>
        <w:trPr>
          <w:trHeight w:val="243"/>
        </w:trPr>
        <w:tc>
          <w:tcPr>
            <w:tcW w:w="1540" w:type="dxa"/>
            <w:vAlign w:val="bottom"/>
          </w:tcPr>
          <w:p>
            <w:pPr>
              <w:spacing w:after="0"/>
              <w:rPr>
                <w:sz w:val="21"/>
                <w:szCs w:val="21"/>
                <w:color w:val="auto"/>
              </w:rPr>
            </w:pPr>
          </w:p>
        </w:tc>
        <w:tc>
          <w:tcPr>
            <w:tcW w:w="1340" w:type="dxa"/>
            <w:vAlign w:val="bottom"/>
          </w:tcPr>
          <w:p>
            <w:pPr>
              <w:ind w:left="60"/>
              <w:spacing w:after="0" w:line="243" w:lineRule="exact"/>
              <w:rPr>
                <w:sz w:val="20"/>
                <w:szCs w:val="20"/>
                <w:color w:val="auto"/>
              </w:rPr>
            </w:pPr>
            <w:r>
              <w:rPr>
                <w:rFonts w:ascii="Arial" w:cs="Arial" w:eastAsia="Arial" w:hAnsi="Arial"/>
                <w:sz w:val="22"/>
                <w:szCs w:val="22"/>
                <w:color w:val="auto"/>
              </w:rPr>
              <w:t>Section 5.9</w:t>
            </w:r>
          </w:p>
        </w:tc>
        <w:tc>
          <w:tcPr>
            <w:tcW w:w="3260" w:type="dxa"/>
            <w:vAlign w:val="bottom"/>
          </w:tcPr>
          <w:p>
            <w:pPr>
              <w:ind w:left="20"/>
              <w:spacing w:after="0" w:line="243" w:lineRule="exact"/>
              <w:rPr>
                <w:sz w:val="20"/>
                <w:szCs w:val="20"/>
                <w:color w:val="auto"/>
              </w:rPr>
            </w:pPr>
            <w:r>
              <w:rPr>
                <w:rFonts w:ascii="Arial" w:cs="Arial" w:eastAsia="Arial" w:hAnsi="Arial"/>
                <w:sz w:val="22"/>
                <w:szCs w:val="22"/>
                <w:color w:val="auto"/>
              </w:rPr>
              <w:t>Litigation</w:t>
            </w:r>
          </w:p>
        </w:tc>
      </w:tr>
      <w:tr>
        <w:trPr>
          <w:trHeight w:val="243"/>
        </w:trPr>
        <w:tc>
          <w:tcPr>
            <w:tcW w:w="1540" w:type="dxa"/>
            <w:vAlign w:val="bottom"/>
          </w:tcPr>
          <w:p>
            <w:pPr>
              <w:spacing w:after="0"/>
              <w:rPr>
                <w:sz w:val="21"/>
                <w:szCs w:val="21"/>
                <w:color w:val="auto"/>
              </w:rPr>
            </w:pP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Section 5.10  Labor Disputes and Acts of God</w:t>
            </w:r>
          </w:p>
        </w:tc>
      </w:tr>
      <w:tr>
        <w:trPr>
          <w:trHeight w:val="243"/>
        </w:trPr>
        <w:tc>
          <w:tcPr>
            <w:tcW w:w="1540" w:type="dxa"/>
            <w:vAlign w:val="bottom"/>
          </w:tcPr>
          <w:p>
            <w:pPr>
              <w:spacing w:after="0"/>
              <w:rPr>
                <w:sz w:val="21"/>
                <w:szCs w:val="21"/>
                <w:color w:val="auto"/>
              </w:rPr>
            </w:pPr>
          </w:p>
        </w:tc>
        <w:tc>
          <w:tcPr>
            <w:tcW w:w="1340" w:type="dxa"/>
            <w:vAlign w:val="bottom"/>
          </w:tcPr>
          <w:p>
            <w:pPr>
              <w:ind w:left="60"/>
              <w:spacing w:after="0" w:line="243" w:lineRule="exact"/>
              <w:rPr>
                <w:sz w:val="20"/>
                <w:szCs w:val="20"/>
                <w:color w:val="auto"/>
              </w:rPr>
            </w:pPr>
            <w:r>
              <w:rPr>
                <w:rFonts w:ascii="Arial" w:cs="Arial" w:eastAsia="Arial" w:hAnsi="Arial"/>
                <w:sz w:val="22"/>
                <w:szCs w:val="22"/>
                <w:color w:val="auto"/>
              </w:rPr>
              <w:t>Section 5.11</w:t>
            </w:r>
          </w:p>
        </w:tc>
        <w:tc>
          <w:tcPr>
            <w:tcW w:w="3260" w:type="dxa"/>
            <w:vAlign w:val="bottom"/>
          </w:tcPr>
          <w:p>
            <w:pPr>
              <w:spacing w:after="0" w:line="243" w:lineRule="exact"/>
              <w:rPr>
                <w:sz w:val="20"/>
                <w:szCs w:val="20"/>
                <w:color w:val="auto"/>
              </w:rPr>
            </w:pPr>
            <w:r>
              <w:rPr>
                <w:rFonts w:ascii="Arial" w:cs="Arial" w:eastAsia="Arial" w:hAnsi="Arial"/>
                <w:sz w:val="22"/>
                <w:szCs w:val="22"/>
                <w:color w:val="auto"/>
              </w:rPr>
              <w:t>ERISA Disclosures</w:t>
            </w:r>
          </w:p>
        </w:tc>
      </w:tr>
      <w:tr>
        <w:trPr>
          <w:trHeight w:val="243"/>
        </w:trPr>
        <w:tc>
          <w:tcPr>
            <w:tcW w:w="1540" w:type="dxa"/>
            <w:vAlign w:val="bottom"/>
          </w:tcPr>
          <w:p>
            <w:pPr>
              <w:spacing w:after="0"/>
              <w:rPr>
                <w:sz w:val="21"/>
                <w:szCs w:val="21"/>
                <w:color w:val="auto"/>
              </w:rPr>
            </w:pP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Section 5.12  Environmental and Other Laws</w:t>
            </w:r>
          </w:p>
        </w:tc>
      </w:tr>
      <w:tr>
        <w:trPr>
          <w:trHeight w:val="243"/>
        </w:trPr>
        <w:tc>
          <w:tcPr>
            <w:tcW w:w="1540" w:type="dxa"/>
            <w:vAlign w:val="bottom"/>
          </w:tcPr>
          <w:p>
            <w:pPr>
              <w:spacing w:after="0"/>
              <w:rPr>
                <w:sz w:val="21"/>
                <w:szCs w:val="21"/>
                <w:color w:val="auto"/>
              </w:rPr>
            </w:pPr>
          </w:p>
        </w:tc>
        <w:tc>
          <w:tcPr>
            <w:tcW w:w="46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Section 5.13  Names and Places of Business</w:t>
            </w:r>
          </w:p>
        </w:tc>
      </w:tr>
      <w:tr>
        <w:trPr>
          <w:trHeight w:val="243"/>
        </w:trPr>
        <w:tc>
          <w:tcPr>
            <w:tcW w:w="1540" w:type="dxa"/>
            <w:vAlign w:val="bottom"/>
          </w:tcPr>
          <w:p>
            <w:pPr>
              <w:spacing w:after="0"/>
              <w:rPr>
                <w:sz w:val="21"/>
                <w:szCs w:val="21"/>
                <w:color w:val="auto"/>
              </w:rPr>
            </w:pPr>
          </w:p>
        </w:tc>
        <w:tc>
          <w:tcPr>
            <w:tcW w:w="1340" w:type="dxa"/>
            <w:vAlign w:val="bottom"/>
          </w:tcPr>
          <w:p>
            <w:pPr>
              <w:ind w:left="60"/>
              <w:spacing w:after="0" w:line="243" w:lineRule="exact"/>
              <w:rPr>
                <w:sz w:val="20"/>
                <w:szCs w:val="20"/>
                <w:color w:val="auto"/>
              </w:rPr>
            </w:pPr>
            <w:r>
              <w:rPr>
                <w:rFonts w:ascii="Arial" w:cs="Arial" w:eastAsia="Arial" w:hAnsi="Arial"/>
                <w:sz w:val="22"/>
                <w:szCs w:val="22"/>
                <w:color w:val="auto"/>
              </w:rPr>
              <w:t>Section 5.14</w:t>
            </w:r>
          </w:p>
        </w:tc>
        <w:tc>
          <w:tcPr>
            <w:tcW w:w="3260" w:type="dxa"/>
            <w:vAlign w:val="bottom"/>
          </w:tcPr>
          <w:p>
            <w:pPr>
              <w:ind w:left="20"/>
              <w:spacing w:after="0" w:line="243" w:lineRule="exact"/>
              <w:rPr>
                <w:sz w:val="20"/>
                <w:szCs w:val="20"/>
                <w:color w:val="auto"/>
              </w:rPr>
            </w:pPr>
            <w:r>
              <w:rPr>
                <w:rFonts w:ascii="Arial" w:cs="Arial" w:eastAsia="Arial" w:hAnsi="Arial"/>
                <w:sz w:val="22"/>
                <w:szCs w:val="22"/>
                <w:color w:val="auto"/>
              </w:rPr>
              <w:t>Subsidiaries</w:t>
            </w:r>
          </w:p>
        </w:tc>
      </w:tr>
      <w:tr>
        <w:trPr>
          <w:trHeight w:val="275"/>
        </w:trPr>
        <w:tc>
          <w:tcPr>
            <w:tcW w:w="1540" w:type="dxa"/>
            <w:vAlign w:val="bottom"/>
          </w:tcPr>
          <w:p>
            <w:pPr>
              <w:spacing w:after="0"/>
              <w:rPr>
                <w:sz w:val="20"/>
                <w:szCs w:val="20"/>
                <w:color w:val="auto"/>
              </w:rPr>
            </w:pPr>
            <w:r>
              <w:rPr>
                <w:rFonts w:ascii="Arial" w:cs="Arial" w:eastAsia="Arial" w:hAnsi="Arial"/>
                <w:sz w:val="22"/>
                <w:szCs w:val="22"/>
                <w:color w:val="auto"/>
              </w:rPr>
              <w:t>Schedule 7.1</w:t>
            </w:r>
          </w:p>
        </w:tc>
        <w:tc>
          <w:tcPr>
            <w:tcW w:w="4600" w:type="dxa"/>
            <w:vAlign w:val="bottom"/>
            <w:gridSpan w:val="2"/>
          </w:tcPr>
          <w:p>
            <w:pPr>
              <w:ind w:left="60"/>
              <w:spacing w:after="0"/>
              <w:rPr>
                <w:sz w:val="20"/>
                <w:szCs w:val="20"/>
                <w:color w:val="auto"/>
              </w:rPr>
            </w:pPr>
            <w:r>
              <w:rPr>
                <w:rFonts w:ascii="Arial" w:cs="Arial" w:eastAsia="Arial" w:hAnsi="Arial"/>
                <w:sz w:val="22"/>
                <w:szCs w:val="22"/>
                <w:color w:val="auto"/>
              </w:rPr>
              <w:t>Existing Indebtedness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2"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SECOND AMENDED AND RESTATED CREDIT AGREEMENT</w:t>
      </w:r>
    </w:p>
    <w:p>
      <w:pPr>
        <w:spacing w:after="0" w:line="3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THIS SECOND AMENDED AND RESTATED CREDIT AGREEMENT is made as of July 16, 2010, by and among </w:t>
      </w:r>
      <w:r>
        <w:rPr>
          <w:rFonts w:ascii="Arial" w:cs="Arial" w:eastAsia="Arial" w:hAnsi="Arial"/>
          <w:sz w:val="22"/>
          <w:szCs w:val="22"/>
          <w:b w:val="1"/>
          <w:bCs w:val="1"/>
          <w:color w:val="auto"/>
        </w:rPr>
        <w:t>Comfort Systems USA, Inc.</w:t>
      </w:r>
      <w:r>
        <w:rPr>
          <w:rFonts w:ascii="Arial" w:cs="Arial" w:eastAsia="Arial" w:hAnsi="Arial"/>
          <w:sz w:val="22"/>
          <w:szCs w:val="22"/>
          <w:color w:val="auto"/>
        </w:rPr>
        <w:t xml:space="preserve">, a Delaware corporation, </w:t>
      </w:r>
      <w:r>
        <w:rPr>
          <w:rFonts w:ascii="Arial" w:cs="Arial" w:eastAsia="Arial" w:hAnsi="Arial"/>
          <w:sz w:val="22"/>
          <w:szCs w:val="22"/>
          <w:b w:val="1"/>
          <w:bCs w:val="1"/>
          <w:color w:val="auto"/>
        </w:rPr>
        <w:t>Wells Fargo Bank, National Association</w:t>
      </w:r>
      <w:r>
        <w:rPr>
          <w:rFonts w:ascii="Arial" w:cs="Arial" w:eastAsia="Arial" w:hAnsi="Arial"/>
          <w:sz w:val="22"/>
          <w:szCs w:val="22"/>
          <w:color w:val="auto"/>
        </w:rPr>
        <w:t xml:space="preserve"> (successor by merger to Wachovia Bank, N.A.), a national banking association, as Agent, and the Lenders referred to below, and amends and restates that certain Amended and Restated Credit Agreement dated February 20, 2007 entered into by the Borrower, the Lenders therein and Wachovia Bank, N.A., as administrative agent (the “</w:t>
      </w:r>
      <w:r>
        <w:rPr>
          <w:rFonts w:ascii="Arial" w:cs="Arial" w:eastAsia="Arial" w:hAnsi="Arial"/>
          <w:sz w:val="22"/>
          <w:szCs w:val="22"/>
          <w:u w:val="single" w:color="auto"/>
          <w:color w:val="auto"/>
        </w:rPr>
        <w:t>Existing</w:t>
      </w:r>
      <w:r>
        <w:rPr>
          <w:rFonts w:ascii="Arial" w:cs="Arial" w:eastAsia="Arial" w:hAnsi="Arial"/>
          <w:sz w:val="22"/>
          <w:szCs w:val="22"/>
          <w:color w:val="auto"/>
        </w:rPr>
        <w:t xml:space="preserv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consideration of the mutual covenants and agreements contained herein, in consideration of the loans which may hereafter be made by Lenders and the Letters of Credit which may be made available by LC Issuer to Borrower, and for other good and valuable consideration, the receipt and sufficiency of which are hereby acknowledged, the parties hereto do hereby agree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AND REFERENCES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Defined Terms</w:t>
      </w:r>
      <w:r>
        <w:rPr>
          <w:rFonts w:ascii="Arial" w:cs="Arial" w:eastAsia="Arial" w:hAnsi="Arial"/>
          <w:sz w:val="22"/>
          <w:szCs w:val="22"/>
          <w:color w:val="auto"/>
        </w:rPr>
        <w:t xml:space="preserve">. As used in this Agreement, each of the following terms has the meaning given to such term in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or in the sections and subsections referred to below:</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the Person which is obligated on any Receivable.</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Acquisition</w:t>
      </w:r>
      <w:r>
        <w:rPr>
          <w:rFonts w:ascii="Arial" w:cs="Arial" w:eastAsia="Arial" w:hAnsi="Arial"/>
          <w:sz w:val="22"/>
          <w:szCs w:val="22"/>
          <w:color w:val="auto"/>
        </w:rPr>
        <w:t>” means the direct or indirect purchase or acquisition, whether in one or more related transactions, of all or substantially all of the capital stock of any Person or group of Persons or all or substantially all of the assets, liabilities, and business of any Person or group of Persons.</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Base Rate</w:t>
      </w:r>
      <w:r>
        <w:rPr>
          <w:rFonts w:ascii="Arial" w:cs="Arial" w:eastAsia="Arial" w:hAnsi="Arial"/>
          <w:sz w:val="19"/>
          <w:szCs w:val="19"/>
          <w:color w:val="auto"/>
        </w:rPr>
        <w:t>” means, on any day, the Base Rate for such day plus the Base Rate Margin for such day, provided that the Adjusted Base Rate charged by any Person shall never exceed the Highest Lawful Rate.</w:t>
      </w:r>
    </w:p>
    <w:p>
      <w:pPr>
        <w:spacing w:after="0" w:line="1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Eurodollar Rate</w:t>
      </w:r>
      <w:r>
        <w:rPr>
          <w:rFonts w:ascii="Arial" w:cs="Arial" w:eastAsia="Arial" w:hAnsi="Arial"/>
          <w:sz w:val="19"/>
          <w:szCs w:val="19"/>
          <w:color w:val="auto"/>
        </w:rPr>
        <w:t>” means, for any Eurodollar Loan for any day during any Interest Period therefor, the rate per annum equal to the sum of (a) the Eurodollar Margin for such day plus (b) the rate per annum (rounded upwards, if necessary, to the nearest 1/100 of 1%) determined by Agent to be equal to the quotient obtained by dividing (i) the Eurodollar Rate for such Eurodollar Loan for such Interest Period by (ii) 1 minus the Reserve Requirement for such Eurodollar Loan for such Interest Period, provided that no Adjusted Eurodollar Rate charged by any Person shall ever exceed the Highest Lawful Rate. The Adjusted Eurodollar Rate for any Eurodollar Loan shall change whenever the Eurodollar Margin or the Reserve Requirement changes.</w:t>
      </w:r>
    </w:p>
    <w:p>
      <w:pPr>
        <w:spacing w:after="0" w:line="15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as to any Person, each other Person that directly or indirectly (through one or more intermediaries or otherwise) controls, is controlled by, or is under common control with, such Person. A Person shall be deemed to be “controlled by” any other Person if such other Person possesses, directly or indirectly, power to vote 20% or more of the securities or other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474345</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8" w:name="page59"/>
    <w:bookmarkEnd w:id="58"/>
    <w:p>
      <w:pPr>
        <w:jc w:val="both"/>
        <w:spacing w:after="0" w:line="241" w:lineRule="auto"/>
        <w:rPr>
          <w:sz w:val="20"/>
          <w:szCs w:val="20"/>
          <w:color w:val="auto"/>
        </w:rPr>
      </w:pPr>
      <w:r>
        <w:rPr>
          <w:rFonts w:ascii="Arial" w:cs="Arial" w:eastAsia="Arial" w:hAnsi="Arial"/>
          <w:sz w:val="22"/>
          <w:szCs w:val="22"/>
          <w:color w:val="auto"/>
        </w:rPr>
        <w:t>interests (on a fully diluted basis) having ordinary voting power for the election of directors, the managing general partner or partners or the managing member or members; or to direct or cause the direction of the management and policies of such Person whether by contract or otherwise.</w:t>
      </w:r>
    </w:p>
    <w:p>
      <w:pPr>
        <w:spacing w:after="0" w:line="18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means Wells Fargo Bank, National Association, as administrative agent hereunder, and its successors in such capacity.</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Commitment</w:t>
      </w:r>
      <w:r>
        <w:rPr>
          <w:rFonts w:ascii="Arial" w:cs="Arial" w:eastAsia="Arial" w:hAnsi="Arial"/>
          <w:sz w:val="22"/>
          <w:szCs w:val="22"/>
          <w:color w:val="auto"/>
        </w:rPr>
        <w:t>” means the aggregate of all Lenders’ Revolving Loan Commitments, as such may be reduced, amortized or adjusted from time to time in accordance with this Agreement. As of the Amendment No. 5 Effective Date, the Aggregate Commitment is equal to $400,000,000.</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this Credit Agreement.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means September 23, 2011.</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2 Effective Date</w:t>
      </w:r>
      <w:r>
        <w:rPr>
          <w:rFonts w:ascii="Arial" w:cs="Arial" w:eastAsia="Arial" w:hAnsi="Arial"/>
          <w:sz w:val="22"/>
          <w:szCs w:val="22"/>
          <w:color w:val="auto"/>
        </w:rPr>
        <w:t>” means June 25, 2013.</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3 Effective Date</w:t>
      </w:r>
      <w:r>
        <w:rPr>
          <w:rFonts w:ascii="Arial" w:cs="Arial" w:eastAsia="Arial" w:hAnsi="Arial"/>
          <w:sz w:val="22"/>
          <w:szCs w:val="22"/>
          <w:color w:val="auto"/>
        </w:rPr>
        <w:t>” means July 22, 2014.</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4 Effective Date</w:t>
      </w:r>
      <w:r>
        <w:rPr>
          <w:rFonts w:ascii="Arial" w:cs="Arial" w:eastAsia="Arial" w:hAnsi="Arial"/>
          <w:sz w:val="22"/>
          <w:szCs w:val="22"/>
          <w:color w:val="auto"/>
        </w:rPr>
        <w:t>” means February 22, 2016.</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5 Effective Date</w:t>
      </w:r>
      <w:r>
        <w:rPr>
          <w:rFonts w:ascii="Arial" w:cs="Arial" w:eastAsia="Arial" w:hAnsi="Arial"/>
          <w:sz w:val="22"/>
          <w:szCs w:val="22"/>
          <w:color w:val="auto"/>
        </w:rPr>
        <w:t>” means April 18, 2018.</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Anti-Corruption Laws</w:t>
      </w:r>
      <w:r>
        <w:rPr>
          <w:rFonts w:ascii="Arial" w:cs="Arial" w:eastAsia="Arial" w:hAnsi="Arial"/>
          <w:sz w:val="19"/>
          <w:szCs w:val="19"/>
          <w:color w:val="auto"/>
        </w:rPr>
        <w:t>” means all laws, rules and regulations of any jurisdiction applicable to Borrower or its Subsidiaries from time to time concerning or relating to bribery or anti-corruption, including, without limitation, the United States Foreign Corrupt Practices Act of 1977, as amended, and the rules and regulations thereunder.</w:t>
      </w:r>
    </w:p>
    <w:p>
      <w:pPr>
        <w:spacing w:after="0" w:line="134"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Lending Office</w:t>
      </w:r>
      <w:r>
        <w:rPr>
          <w:rFonts w:ascii="Arial" w:cs="Arial" w:eastAsia="Arial" w:hAnsi="Arial"/>
          <w:sz w:val="19"/>
          <w:szCs w:val="19"/>
          <w:color w:val="auto"/>
        </w:rPr>
        <w:t>” means, with respect to each Lender, such Lender’s Domestic Lending Office in the case of Base Rate Loans and such Lender’s Eurodollar Lending Office in the case of Eurodollar Loans.</w:t>
      </w:r>
    </w:p>
    <w:p>
      <w:pPr>
        <w:spacing w:after="0" w:line="1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 a CLO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 As used herein, “</w:t>
      </w:r>
      <w:r>
        <w:rPr>
          <w:rFonts w:ascii="Arial" w:cs="Arial" w:eastAsia="Arial" w:hAnsi="Arial"/>
          <w:sz w:val="19"/>
          <w:szCs w:val="19"/>
          <w:u w:val="single" w:color="auto"/>
          <w:color w:val="auto"/>
        </w:rPr>
        <w:t>CLO</w:t>
      </w:r>
      <w:r>
        <w:rPr>
          <w:rFonts w:ascii="Arial" w:cs="Arial" w:eastAsia="Arial" w:hAnsi="Arial"/>
          <w:sz w:val="19"/>
          <w:szCs w:val="19"/>
          <w:color w:val="auto"/>
        </w:rPr>
        <w:t>” shall mean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a Lender.</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Acceptance</w:t>
      </w:r>
      <w:r>
        <w:rPr>
          <w:rFonts w:ascii="Arial" w:cs="Arial" w:eastAsia="Arial" w:hAnsi="Arial"/>
          <w:sz w:val="22"/>
          <w:szCs w:val="22"/>
          <w:color w:val="auto"/>
        </w:rPr>
        <w:t xml:space="preserve">” means the agreement contemplated by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of Prior Credit Documents</w:t>
      </w:r>
      <w:r>
        <w:rPr>
          <w:rFonts w:ascii="Arial" w:cs="Arial" w:eastAsia="Arial" w:hAnsi="Arial"/>
          <w:sz w:val="22"/>
          <w:szCs w:val="22"/>
          <w:color w:val="auto"/>
        </w:rPr>
        <w:t>” means the Assignment of Notes, Liens and Security Agreements of even date with the Existing Credit Agreement by the Prior Agent and each of the lenders party to the Prior Credit Agreement in favor of the Agent and the other Lender Parties.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59" w:name="page60"/>
    <w:bookmarkEnd w:id="59"/>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Attributable Indebtedness</w:t>
      </w:r>
      <w:r>
        <w:rPr>
          <w:rFonts w:ascii="Arial" w:cs="Arial" w:eastAsia="Arial" w:hAnsi="Arial"/>
          <w:sz w:val="22"/>
          <w:szCs w:val="22"/>
          <w:color w:val="auto"/>
        </w:rPr>
        <w:t>” means, when used with respect to any Sale Leaseback Transaction, as at the time of determination, the capitalized amount of the remaining lease payments under the relevant lease or other applicable agreement that would appear on a balance sheet of the Borrower prepared as of such date in accordance with GAAP (as in effect on the Closing Date) if such lease or other agreement were accounted for as a Capital Lease.</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EEA Resolution Authority in respect of any liability of an EEA Financial Institution.</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means, for any day, the rate per annum equal to the highest of (a) the Federal Funds Rate for such day plus one-half of one percent (.5%), (b) the Prime Rate for such day, and (c) the Eurodollar Rate for a one-month Interest Period beginning on that day plus 1.00%. Any change in the Base Rate due to a change in the Prime Rate or the Federal Funds Rate shall be effective on the effective date of such change in the Prime Rate or Federal Funds Rate. As used in this definition, “</w:t>
      </w:r>
      <w:r>
        <w:rPr>
          <w:rFonts w:ascii="Arial" w:cs="Arial" w:eastAsia="Arial" w:hAnsi="Arial"/>
          <w:sz w:val="19"/>
          <w:szCs w:val="19"/>
          <w:u w:val="single" w:color="auto"/>
          <w:color w:val="auto"/>
        </w:rPr>
        <w:t>Prime Rate</w:t>
      </w:r>
      <w:r>
        <w:rPr>
          <w:rFonts w:ascii="Arial" w:cs="Arial" w:eastAsia="Arial" w:hAnsi="Arial"/>
          <w:sz w:val="19"/>
          <w:szCs w:val="19"/>
          <w:color w:val="auto"/>
        </w:rPr>
        <w:t>” means the per annum rate of interest established from time to time by Wells Fargo Bank, National Association, as its Prime Rate, which rate may not be the lowest rate of interest charged by Wells Fargo Bank, National Association to its customers.</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Loan</w:t>
      </w:r>
      <w:r>
        <w:rPr>
          <w:rFonts w:ascii="Arial" w:cs="Arial" w:eastAsia="Arial" w:hAnsi="Arial"/>
          <w:sz w:val="22"/>
          <w:szCs w:val="22"/>
          <w:color w:val="auto"/>
        </w:rPr>
        <w:t>” means a Loan that bears interest at the Adjusted Base Rate.</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Margin</w:t>
      </w:r>
      <w:r>
        <w:rPr>
          <w:rFonts w:ascii="Arial" w:cs="Arial" w:eastAsia="Arial" w:hAnsi="Arial"/>
          <w:sz w:val="22"/>
          <w:szCs w:val="22"/>
          <w:color w:val="auto"/>
        </w:rPr>
        <w:t>” means on any date, with respect to each Base Rate Loan, the rate per annum set forth as such on the Pricing Schedule.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Basis Point</w:t>
      </w:r>
      <w:r>
        <w:rPr>
          <w:rFonts w:ascii="Arial" w:cs="Arial" w:eastAsia="Arial" w:hAnsi="Arial"/>
          <w:sz w:val="22"/>
          <w:szCs w:val="22"/>
          <w:color w:val="auto"/>
        </w:rPr>
        <w:t>” or “</w:t>
      </w:r>
      <w:r>
        <w:rPr>
          <w:rFonts w:ascii="Arial" w:cs="Arial" w:eastAsia="Arial" w:hAnsi="Arial"/>
          <w:sz w:val="22"/>
          <w:szCs w:val="22"/>
          <w:u w:val="single" w:color="auto"/>
          <w:color w:val="auto"/>
        </w:rPr>
        <w:t>bps</w:t>
      </w:r>
      <w:r>
        <w:rPr>
          <w:rFonts w:ascii="Arial" w:cs="Arial" w:eastAsia="Arial" w:hAnsi="Arial"/>
          <w:sz w:val="22"/>
          <w:szCs w:val="22"/>
          <w:color w:val="auto"/>
        </w:rPr>
        <w:t>” means one one-hundredth of one percent (0.01%).</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Bonded Receivables</w:t>
      </w:r>
      <w:r>
        <w:rPr>
          <w:rFonts w:ascii="Arial" w:cs="Arial" w:eastAsia="Arial" w:hAnsi="Arial"/>
          <w:sz w:val="22"/>
          <w:szCs w:val="22"/>
          <w:color w:val="auto"/>
        </w:rPr>
        <w:t>” means any Receivable resulting from goods or services provided to an Account Debtor under a job which is covered by a surety bond provided by Borrower or its agent, that is secured by assets of any Restricted Person.</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Comfort Systems USA, Inc., a Delaware corporation.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xml:space="preserve">” means a borrowing of (i) new Loans of a single Type (and, in the case of Eurodollar Loans, with the same Interest Period) pursuant to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(ii) a Continuation or Conversion of existing Loans into a single Type (and, in the case of Eurodollar Loans, with the same Interest Period)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or (iii) a Swingline Loan pursuant to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Notice</w:t>
      </w:r>
      <w:r>
        <w:rPr>
          <w:rFonts w:ascii="Arial" w:cs="Arial" w:eastAsia="Arial" w:hAnsi="Arial"/>
          <w:sz w:val="22"/>
          <w:szCs w:val="22"/>
          <w:color w:val="auto"/>
        </w:rPr>
        <w:t xml:space="preserve">” means a written or telephonic request, or a written confirmation, made by Borrower which meets the requirements of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other than a Saturday or Sunday, on which commercial banks are open for business with the public in Houston, Harris County, Texas. Any Business Day in any way relating to Eurodollar Loans (such as the day on which an Interest Period begins or ends) must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0" w:name="page61"/>
    <w:bookmarkEnd w:id="60"/>
    <w:p>
      <w:pPr>
        <w:jc w:val="both"/>
        <w:ind w:left="1"/>
        <w:spacing w:after="0" w:line="251" w:lineRule="auto"/>
        <w:rPr>
          <w:sz w:val="20"/>
          <w:szCs w:val="20"/>
          <w:color w:val="auto"/>
        </w:rPr>
      </w:pPr>
      <w:r>
        <w:rPr>
          <w:rFonts w:ascii="Arial" w:cs="Arial" w:eastAsia="Arial" w:hAnsi="Arial"/>
          <w:sz w:val="22"/>
          <w:szCs w:val="22"/>
          <w:color w:val="auto"/>
        </w:rPr>
        <w:t>also be a day on which, in the judgment of Agent, significant transactions in dollars are carried out in the interbank eurocurrency market.</w:t>
      </w:r>
    </w:p>
    <w:p>
      <w:pPr>
        <w:spacing w:after="0" w:line="174"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Asset</w:t>
      </w:r>
      <w:r>
        <w:rPr>
          <w:rFonts w:ascii="Arial" w:cs="Arial" w:eastAsia="Arial" w:hAnsi="Arial"/>
          <w:sz w:val="22"/>
          <w:szCs w:val="22"/>
          <w:color w:val="auto"/>
        </w:rPr>
        <w:t>” means any asset which would be classified as a fixed or capital asset on a Consolidated balance sheet of any Person prepared in accordance with GAAP.</w:t>
      </w:r>
    </w:p>
    <w:p>
      <w:pPr>
        <w:spacing w:after="0" w:line="173"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means, without duplication, any expenditures for any purchase or other acquisition of any Capital Asset, excluding (i) the cost of assets acquired with Capitalized Lease Obligations, other purchase money financing, or the proceeds of Loans under this Agreement, (ii) expenditures of insurance proceeds to rebuild or replace any asset after a casualty loss, and (iii) leasehold improvement expenditures for which such Person is reimbursed promptly by the lessor.</w:t>
      </w:r>
    </w:p>
    <w:p>
      <w:pPr>
        <w:spacing w:after="0" w:line="188"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w:t>
      </w:r>
      <w:r>
        <w:rPr>
          <w:rFonts w:ascii="Arial" w:cs="Arial" w:eastAsia="Arial" w:hAnsi="Arial"/>
          <w:sz w:val="22"/>
          <w:szCs w:val="22"/>
          <w:color w:val="auto"/>
        </w:rPr>
        <w:t>” means a lease with respect to which the lessee would be required concurrently to recognize the acquisition of an asset and the incurrence of a liability in accordance with GAAP as in effect on the Closing Date.</w:t>
      </w:r>
    </w:p>
    <w:p>
      <w:pPr>
        <w:spacing w:after="0" w:line="18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Lease Obligation</w:t>
      </w:r>
      <w:r>
        <w:rPr>
          <w:rFonts w:ascii="Arial" w:cs="Arial" w:eastAsia="Arial" w:hAnsi="Arial"/>
          <w:sz w:val="22"/>
          <w:szCs w:val="22"/>
          <w:color w:val="auto"/>
        </w:rPr>
        <w:t>” means, with respect to any Person and a Capital Lease, the amount of the obligation of such Person as the lessee under such Capital Lease which would, in accordance with GAAP as in effect on the Closing Date, appear as a liability on a balance sheet of such Person.</w:t>
      </w:r>
    </w:p>
    <w:p>
      <w:pPr>
        <w:spacing w:after="0" w:line="18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 Investments in:</w:t>
      </w:r>
    </w:p>
    <w:p>
      <w:pPr>
        <w:spacing w:after="0" w:line="206" w:lineRule="exact"/>
        <w:rPr>
          <w:sz w:val="20"/>
          <w:szCs w:val="20"/>
          <w:color w:val="auto"/>
        </w:rPr>
      </w:pPr>
    </w:p>
    <w:p>
      <w:pPr>
        <w:jc w:val="both"/>
        <w:ind w:left="1" w:firstLine="648"/>
        <w:spacing w:after="0"/>
        <w:tabs>
          <w:tab w:leader="none" w:pos="1740" w:val="left"/>
        </w:tabs>
        <w:numPr>
          <w:ilvl w:val="1"/>
          <w:numId w:val="17"/>
        </w:numPr>
        <w:rPr>
          <w:rFonts w:ascii="Arial" w:cs="Arial" w:eastAsia="Arial" w:hAnsi="Arial"/>
          <w:sz w:val="22"/>
          <w:szCs w:val="22"/>
          <w:color w:val="auto"/>
        </w:rPr>
      </w:pPr>
      <w:r>
        <w:rPr>
          <w:rFonts w:ascii="Arial" w:cs="Arial" w:eastAsia="Arial" w:hAnsi="Arial"/>
          <w:sz w:val="22"/>
          <w:szCs w:val="22"/>
          <w:color w:val="auto"/>
        </w:rPr>
        <w:t>marketable obligations, maturing within twelve months after acquisition thereof, issued or unconditionally guaranteed by the United States of America or an instrumentality or agency thereof and entitled to the full faith and credit of the United States of America;</w:t>
      </w:r>
    </w:p>
    <w:p>
      <w:pPr>
        <w:spacing w:after="0" w:line="186" w:lineRule="exact"/>
        <w:rPr>
          <w:rFonts w:ascii="Arial" w:cs="Arial" w:eastAsia="Arial" w:hAnsi="Arial"/>
          <w:sz w:val="22"/>
          <w:szCs w:val="22"/>
          <w:color w:val="auto"/>
        </w:rPr>
      </w:pPr>
    </w:p>
    <w:p>
      <w:pPr>
        <w:jc w:val="both"/>
        <w:ind w:left="1" w:firstLine="648"/>
        <w:spacing w:after="0" w:line="249" w:lineRule="auto"/>
        <w:tabs>
          <w:tab w:leader="none" w:pos="1603" w:val="left"/>
        </w:tabs>
        <w:numPr>
          <w:ilvl w:val="1"/>
          <w:numId w:val="17"/>
        </w:numPr>
        <w:rPr>
          <w:rFonts w:ascii="Arial" w:cs="Arial" w:eastAsia="Arial" w:hAnsi="Arial"/>
          <w:sz w:val="21"/>
          <w:szCs w:val="21"/>
          <w:color w:val="auto"/>
        </w:rPr>
      </w:pPr>
      <w:r>
        <w:rPr>
          <w:rFonts w:ascii="Arial" w:cs="Arial" w:eastAsia="Arial" w:hAnsi="Arial"/>
          <w:sz w:val="21"/>
          <w:szCs w:val="21"/>
          <w:color w:val="auto"/>
        </w:rPr>
        <w:t>demand deposits, and time deposits (including certificates of deposit) maturing within twelve months from the date of deposit thereof, with any office of any Lender or with a domestic office of any national or state bank or trust company which is organized under the Laws of the United States of America or any state therein, which has capital, surplus and undivided profits of at least $500,000,000, and whose long term certificates of deposit are rated at least Aa3 by Moody’s or AA- by S &amp; P;</w:t>
      </w:r>
    </w:p>
    <w:p>
      <w:pPr>
        <w:spacing w:after="0" w:line="178" w:lineRule="exact"/>
        <w:rPr>
          <w:rFonts w:ascii="Arial" w:cs="Arial" w:eastAsia="Arial" w:hAnsi="Arial"/>
          <w:sz w:val="21"/>
          <w:szCs w:val="21"/>
          <w:color w:val="auto"/>
        </w:rPr>
      </w:pPr>
    </w:p>
    <w:p>
      <w:pPr>
        <w:jc w:val="both"/>
        <w:ind w:left="1" w:firstLine="648"/>
        <w:spacing w:after="0" w:line="276" w:lineRule="auto"/>
        <w:tabs>
          <w:tab w:leader="none" w:pos="1335" w:val="left"/>
        </w:tabs>
        <w:numPr>
          <w:ilvl w:val="1"/>
          <w:numId w:val="17"/>
        </w:numPr>
        <w:rPr>
          <w:rFonts w:ascii="Arial" w:cs="Arial" w:eastAsia="Arial" w:hAnsi="Arial"/>
          <w:sz w:val="19"/>
          <w:szCs w:val="19"/>
          <w:color w:val="auto"/>
        </w:rPr>
      </w:pPr>
      <w:r>
        <w:rPr>
          <w:rFonts w:ascii="Arial" w:cs="Arial" w:eastAsia="Arial" w:hAnsi="Arial"/>
          <w:sz w:val="19"/>
          <w:szCs w:val="19"/>
          <w:color w:val="auto"/>
        </w:rPr>
        <w:t>repurchase obligations with a term of not more than seven days for underlying securities of the types described in subsection (a) above entered into with any commercial bank meeting the specifications of subsection</w:t>
      </w:r>
    </w:p>
    <w:p>
      <w:pPr>
        <w:spacing w:after="0" w:line="1" w:lineRule="exact"/>
        <w:rPr>
          <w:rFonts w:ascii="Arial" w:cs="Arial" w:eastAsia="Arial" w:hAnsi="Arial"/>
          <w:sz w:val="19"/>
          <w:szCs w:val="19"/>
          <w:color w:val="auto"/>
        </w:rPr>
      </w:pPr>
    </w:p>
    <w:p>
      <w:pPr>
        <w:ind w:left="301" w:hanging="301"/>
        <w:spacing w:after="0"/>
        <w:tabs>
          <w:tab w:leader="none" w:pos="301" w:val="left"/>
        </w:tabs>
        <w:numPr>
          <w:ilvl w:val="0"/>
          <w:numId w:val="18"/>
        </w:numPr>
        <w:rPr>
          <w:rFonts w:ascii="Arial" w:cs="Arial" w:eastAsia="Arial" w:hAnsi="Arial"/>
          <w:sz w:val="22"/>
          <w:szCs w:val="22"/>
          <w:color w:val="auto"/>
        </w:rPr>
      </w:pPr>
      <w:r>
        <w:rPr>
          <w:rFonts w:ascii="Arial" w:cs="Arial" w:eastAsia="Arial" w:hAnsi="Arial"/>
          <w:sz w:val="22"/>
          <w:szCs w:val="22"/>
          <w:color w:val="auto"/>
        </w:rPr>
        <w:t>above;</w:t>
      </w:r>
    </w:p>
    <w:p>
      <w:pPr>
        <w:spacing w:after="0" w:line="188" w:lineRule="exact"/>
        <w:rPr>
          <w:rFonts w:ascii="Arial" w:cs="Arial" w:eastAsia="Arial" w:hAnsi="Arial"/>
          <w:sz w:val="22"/>
          <w:szCs w:val="22"/>
          <w:color w:val="auto"/>
        </w:rPr>
      </w:pPr>
    </w:p>
    <w:p>
      <w:pPr>
        <w:ind w:left="1" w:firstLine="648"/>
        <w:spacing w:after="0" w:line="251" w:lineRule="auto"/>
        <w:tabs>
          <w:tab w:leader="none" w:pos="1401" w:val="left"/>
        </w:tabs>
        <w:numPr>
          <w:ilvl w:val="1"/>
          <w:numId w:val="18"/>
        </w:numPr>
        <w:rPr>
          <w:rFonts w:ascii="Arial" w:cs="Arial" w:eastAsia="Arial" w:hAnsi="Arial"/>
          <w:sz w:val="22"/>
          <w:szCs w:val="22"/>
          <w:color w:val="auto"/>
        </w:rPr>
      </w:pPr>
      <w:r>
        <w:rPr>
          <w:rFonts w:ascii="Arial" w:cs="Arial" w:eastAsia="Arial" w:hAnsi="Arial"/>
          <w:sz w:val="22"/>
          <w:szCs w:val="22"/>
          <w:color w:val="auto"/>
        </w:rPr>
        <w:t>open market commercial paper, maturing within 270 days after acquisition thereof, which are rated at least P-1 by Moody’s or A-1 by S &amp; P; and</w:t>
      </w:r>
    </w:p>
    <w:p>
      <w:pPr>
        <w:spacing w:after="0" w:line="173" w:lineRule="exact"/>
        <w:rPr>
          <w:rFonts w:ascii="Arial" w:cs="Arial" w:eastAsia="Arial" w:hAnsi="Arial"/>
          <w:sz w:val="22"/>
          <w:szCs w:val="22"/>
          <w:color w:val="auto"/>
        </w:rPr>
      </w:pPr>
    </w:p>
    <w:p>
      <w:pPr>
        <w:ind w:left="1" w:firstLine="648"/>
        <w:spacing w:after="0" w:line="251" w:lineRule="auto"/>
        <w:tabs>
          <w:tab w:leader="none" w:pos="1497" w:val="left"/>
        </w:tabs>
        <w:numPr>
          <w:ilvl w:val="1"/>
          <w:numId w:val="18"/>
        </w:numPr>
        <w:rPr>
          <w:rFonts w:ascii="Arial" w:cs="Arial" w:eastAsia="Arial" w:hAnsi="Arial"/>
          <w:sz w:val="22"/>
          <w:szCs w:val="22"/>
          <w:color w:val="auto"/>
        </w:rPr>
      </w:pPr>
      <w:r>
        <w:rPr>
          <w:rFonts w:ascii="Arial" w:cs="Arial" w:eastAsia="Arial" w:hAnsi="Arial"/>
          <w:sz w:val="22"/>
          <w:szCs w:val="22"/>
          <w:color w:val="auto"/>
        </w:rPr>
        <w:t>money market or other mutual funds substantially all of whose assets comprise securities of the types described in subsections (a) through (d) above.</w:t>
      </w:r>
    </w:p>
    <w:p>
      <w:pPr>
        <w:spacing w:after="0" w:line="173"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in Law</w:t>
      </w:r>
      <w:r>
        <w:rPr>
          <w:rFonts w:ascii="Arial" w:cs="Arial" w:eastAsia="Arial" w:hAnsi="Arial"/>
          <w:sz w:val="22"/>
          <w:szCs w:val="22"/>
          <w:color w:val="auto"/>
        </w:rPr>
        <w:t>” means the occurrence, after the date of this Agreement, of any of the following: (a) the adoption or taking into effect of any law, rule, regulation or treaty, (b) any change in any law, rule, regulation or treaty or in the administration, interpretation, implementation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61" w:name="page62"/>
    <w:bookmarkEnd w:id="61"/>
    <w:p>
      <w:pPr>
        <w:jc w:val="both"/>
        <w:spacing w:after="0" w:line="234" w:lineRule="auto"/>
        <w:rPr>
          <w:sz w:val="20"/>
          <w:szCs w:val="20"/>
          <w:color w:val="auto"/>
        </w:rPr>
      </w:pPr>
      <w:r>
        <w:rPr>
          <w:rFonts w:ascii="Arial" w:cs="Arial" w:eastAsia="Arial" w:hAnsi="Arial"/>
          <w:sz w:val="22"/>
          <w:szCs w:val="22"/>
          <w:color w:val="auto"/>
        </w:rPr>
        <w:t xml:space="preserve">or application thereof by any Governmental Authority or (c) the making or issuance of any request, rule, guideline or directive (whether or not having the force of law) by any Governmental Authority; </w:t>
      </w:r>
      <w:r>
        <w:rPr>
          <w:rFonts w:ascii="Arial" w:cs="Arial" w:eastAsia="Arial" w:hAnsi="Arial"/>
          <w:sz w:val="22"/>
          <w:szCs w:val="22"/>
          <w:u w:val="single" w:color="auto"/>
          <w:color w:val="auto"/>
        </w:rPr>
        <w:t>provided</w:t>
      </w:r>
      <w:r>
        <w:rPr>
          <w:rFonts w:ascii="Arial" w:cs="Arial" w:eastAsia="Arial" w:hAnsi="Arial"/>
          <w:sz w:val="22"/>
          <w:szCs w:val="22"/>
          <w:color w:val="auto"/>
        </w:rPr>
        <w:t>,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the occurrence of any of the following events: (a) any Person or two or more Persons acting as a group shall acquire beneficial ownership (within the meaning of Rule 13d-3 of the Securities and Exchange Commission under the Securities Act of 1934, as amended, and including holding proxies to vote for the election of directors other than proxies held by Borrower’s management or their designees to be voted in favor of Persons nominated by Borrower’s Board of Directors) of 35% or more of the outstanding voting securities of Borrower, measured by voting power (including both common stock and any preferred stock or other equity securities entitling the holders thereof to vote with the holders of common stock in elections for directors of Borrower) or (b) a majority of the directors of Borrower shall consist of Persons not approved by Borrower’s Board of Directors (not including as Board approved directors any directors which the Board is obligated to approve pursuant to shareholders agreements, voting trust arrangements or similar arrangements).</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means the date on which all of the conditions precedent set forth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4.2</w:t>
      </w:r>
      <w:r>
        <w:rPr>
          <w:rFonts w:ascii="Arial" w:cs="Arial" w:eastAsia="Arial" w:hAnsi="Arial"/>
          <w:sz w:val="22"/>
          <w:szCs w:val="22"/>
          <w:color w:val="auto"/>
        </w:rPr>
        <w:t xml:space="preserve"> shall have been satisfied or waived.</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all property of any Restricted Person of any kind which, under the terms of any Security Document, is subject to or is purported to be subject to a Lien in favor of Secured Parties (or in favor of Agent for the benefit of Secured Parties).</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2.5(c)</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 Rate</w:t>
      </w:r>
      <w:r>
        <w:rPr>
          <w:rFonts w:ascii="Arial" w:cs="Arial" w:eastAsia="Arial" w:hAnsi="Arial"/>
          <w:sz w:val="22"/>
          <w:szCs w:val="22"/>
          <w:color w:val="auto"/>
        </w:rPr>
        <w:t>” means, on any date, the rate per annum designated as such and set forth on the Pricing Schedule.</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Commitment Period</w:t>
      </w:r>
      <w:r>
        <w:rPr>
          <w:rFonts w:ascii="Arial" w:cs="Arial" w:eastAsia="Arial" w:hAnsi="Arial"/>
          <w:sz w:val="21"/>
          <w:szCs w:val="21"/>
          <w:color w:val="auto"/>
        </w:rPr>
        <w:t>” means the period from and including the Closing Date until the Maturity Date (or, if earlier, the day on which the obligations of Lenders to make Loans hereunder or the obligations of LC Issuer to issue Letters of Credit have been terminated or the Notes become due and payable in full).</w:t>
      </w:r>
    </w:p>
    <w:p>
      <w:pPr>
        <w:spacing w:after="0" w:line="16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w:t>
      </w:r>
      <w:r>
        <w:rPr>
          <w:rFonts w:ascii="Arial" w:cs="Arial" w:eastAsia="Arial" w:hAnsi="Arial"/>
          <w:sz w:val="21"/>
          <w:szCs w:val="21"/>
          <w:color w:val="auto"/>
        </w:rPr>
        <w:t>” refers to the consolidation of any Person, in accordance with GAAP, with its properly consolidated subsidiaries. References herein to a Person’s Consolidated financial statements, financial position, financial condition, liabilities, etc. refer to the consolidated financial statements, financial position, financial condition, liabilities, etc. of such Person and its properly consolidated subsidiaries.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2" w:name="page63"/>
    <w:bookmarkEnd w:id="62"/>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Capital Expenditures</w:t>
      </w:r>
      <w:r>
        <w:rPr>
          <w:rFonts w:ascii="Arial" w:cs="Arial" w:eastAsia="Arial" w:hAnsi="Arial"/>
          <w:sz w:val="22"/>
          <w:szCs w:val="22"/>
          <w:color w:val="auto"/>
        </w:rPr>
        <w:t>” means, for any Person for any period, the Capital Expenditures of such Person calculated on a Consolidated basis for such period. With respect to Non-Wholly Owned Subsidiaries, only that amount attributable to Borrower’s direct and indirect proportionate share shall be included for purposes of this calculation.</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EBITDA</w:t>
      </w:r>
      <w:r>
        <w:rPr>
          <w:rFonts w:ascii="Arial" w:cs="Arial" w:eastAsia="Arial" w:hAnsi="Arial"/>
          <w:sz w:val="19"/>
          <w:szCs w:val="19"/>
          <w:color w:val="auto"/>
        </w:rPr>
        <w:t>” means, for any Person for any period, the sum of (a) such Person’s Consolidated Net Income during such period, plus (b) all interest expense which was deducted in determining such Person’s Consolidated Net Income; plus (c) all income Taxes which were deducted in determining such Person’s Consolidated Net Income; plus (d) all depreciation and amortization which were deducted in determining such Person’s Consolidated Net Income; plus (e) any expense relating to stock options or other equity compensation provided to employees of the Borrower or any of its Subsidiaries during such period that was deducted in determining such Person’s Consolidated Net Income; plus (f) other non-cash charges, including non-cash amortization of debt incurrence costs and net mark-to-market losses; provided that if such Person or any of its Subsidiaries has acquired or sold (or otherwise disposed of) a Subsidiary or assets during such period, Consolidated EBITDA of such Person shall be adjusted by the amount of the Consolidated EBITDA attributable to such Subsidiary or assets as if such acquisition or sale (or other disposition) had occurred on the first day of such period. With respect to Non-Wholly Owned Subsidiaries, only that amount attributable to Borrower’s direct and indirect proportionate share shall be included for purposes of this calculation.</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for any Person, for any period without duplication, all interest paid or accrued during such period on Indebtedness (including capital lease obligations) excluding amortization of debt incurrence expenses, original issue discount, and mark-to-market interest expense.</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Person, for any period, such Person’s Consolidated net income for such period after eliminating earnings or losses attributable to outstanding minority interests and excluding the net income of any Person other than a Subsidiary in which such Person has an ownership interest </w:t>
      </w:r>
      <w:r>
        <w:rPr>
          <w:rFonts w:ascii="Arial" w:cs="Arial" w:eastAsia="Arial" w:hAnsi="Arial"/>
          <w:sz w:val="19"/>
          <w:szCs w:val="19"/>
          <w:i w:val="1"/>
          <w:iCs w:val="1"/>
          <w:color w:val="auto"/>
        </w:rPr>
        <w:t>plus</w:t>
      </w:r>
      <w:r>
        <w:rPr>
          <w:rFonts w:ascii="Arial" w:cs="Arial" w:eastAsia="Arial" w:hAnsi="Arial"/>
          <w:sz w:val="19"/>
          <w:szCs w:val="19"/>
          <w:color w:val="auto"/>
        </w:rPr>
        <w:t xml:space="preserve"> any Goodwill Impairment Charges. With respect to Non-Wholly Owned Subsidiaries, only that amount attributable to Borrower’s direct and indirect proportionate share shall be included for purposes of this calculation.</w:t>
      </w:r>
    </w:p>
    <w:p>
      <w:pPr>
        <w:spacing w:after="0" w:line="1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Indebtedness</w:t>
      </w:r>
      <w:r>
        <w:rPr>
          <w:rFonts w:ascii="Arial" w:cs="Arial" w:eastAsia="Arial" w:hAnsi="Arial"/>
          <w:sz w:val="19"/>
          <w:szCs w:val="19"/>
          <w:color w:val="auto"/>
        </w:rPr>
        <w:t xml:space="preserve">” means, for any Person, as of any date, the sum of all Indebtedness of that Person and its Consolidated Subsidiaries, </w:t>
      </w:r>
      <w:r>
        <w:rPr>
          <w:rFonts w:ascii="Arial" w:cs="Arial" w:eastAsia="Arial" w:hAnsi="Arial"/>
          <w:sz w:val="19"/>
          <w:szCs w:val="19"/>
          <w:i w:val="1"/>
          <w:iCs w:val="1"/>
          <w:color w:val="auto"/>
        </w:rPr>
        <w:t>minus</w:t>
      </w:r>
      <w:r>
        <w:rPr>
          <w:rFonts w:ascii="Arial" w:cs="Arial" w:eastAsia="Arial" w:hAnsi="Arial"/>
          <w:sz w:val="19"/>
          <w:szCs w:val="19"/>
          <w:color w:val="auto"/>
        </w:rPr>
        <w:t xml:space="preserve"> LC Exclusions, </w:t>
      </w:r>
      <w:r>
        <w:rPr>
          <w:rFonts w:ascii="Arial" w:cs="Arial" w:eastAsia="Arial" w:hAnsi="Arial"/>
          <w:sz w:val="19"/>
          <w:szCs w:val="19"/>
          <w:i w:val="1"/>
          <w:iCs w:val="1"/>
          <w:color w:val="auto"/>
        </w:rPr>
        <w:t>minus</w:t>
      </w:r>
      <w:r>
        <w:rPr>
          <w:rFonts w:ascii="Arial" w:cs="Arial" w:eastAsia="Arial" w:hAnsi="Arial"/>
          <w:sz w:val="19"/>
          <w:szCs w:val="19"/>
          <w:color w:val="auto"/>
        </w:rPr>
        <w:t xml:space="preserve"> Attributable Indebtedness of such Person and its Consolidated Subsidiaries in an amount not to exceed $30,000,000 under Sale Leaseback Transactions relating solely to vehicles and real property. With respect to Non-Wholly Owned Subsidiaries, only that amount attributable to Borrower’s direct and indirect proportionate share shall be included for purposes of this calculation.</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Continuation</w:t>
      </w:r>
      <w:r>
        <w:rPr>
          <w:rFonts w:ascii="Arial" w:cs="Arial" w:eastAsia="Arial" w:hAnsi="Arial"/>
          <w:sz w:val="22"/>
          <w:szCs w:val="22"/>
          <w:color w:val="auto"/>
        </w:rPr>
        <w:t xml:space="preserve">” refers to the continuation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hereof of a Eurodollar Loan as a Eurodollar Loan from one Interest Period to the next Interest Period.</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Continuation/Conversion Notice</w:t>
      </w:r>
      <w:r>
        <w:rPr>
          <w:rFonts w:ascii="Arial" w:cs="Arial" w:eastAsia="Arial" w:hAnsi="Arial"/>
          <w:sz w:val="22"/>
          <w:szCs w:val="22"/>
          <w:color w:val="auto"/>
        </w:rPr>
        <w:t xml:space="preserve">” means a written or telephonic request, or a written confirmation, made by Borrower which meets the requirements of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3" w:name="page64"/>
    <w:bookmarkEnd w:id="63"/>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w:t>
      </w:r>
      <w:r>
        <w:rPr>
          <w:rFonts w:ascii="Arial" w:cs="Arial" w:eastAsia="Arial" w:hAnsi="Arial"/>
          <w:sz w:val="22"/>
          <w:szCs w:val="22"/>
          <w:color w:val="auto"/>
        </w:rPr>
        <w:t xml:space="preserve">” refers to a conversion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of one Type of Loan into another Type of Loan.</w:t>
      </w:r>
    </w:p>
    <w:p>
      <w:pPr>
        <w:spacing w:after="0" w:line="17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Default</w:t>
      </w:r>
      <w:r>
        <w:rPr>
          <w:rFonts w:ascii="Arial" w:cs="Arial" w:eastAsia="Arial" w:hAnsi="Arial"/>
          <w:sz w:val="21"/>
          <w:szCs w:val="21"/>
          <w:color w:val="auto"/>
        </w:rPr>
        <w:t>” means any Event of Default and any default, event or condition which would, with the giving of any requisite notices and the passage of any requisite periods of time, constitute an Event of Default.</w:t>
      </w:r>
    </w:p>
    <w:p>
      <w:pPr>
        <w:spacing w:after="0" w:line="15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as determined by the Agent, that has (a) failed to fund any portion of its Loans or participations in Letters of Credit or Swingline Loans within three Business Days of the date required to be funded by 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Lender has failed for at least five Business Days to comply with any such funding obligation, the Borrower may declare such Lender to be a Defaulting Lender in a written notice to the Agent), (b) notified the Borrower, the Agent, the Issuing Bank, the Swingline Lender or any Lender in writing that it does not intend to comply with any of its funding obligations under this Agreement or any other agreement in which it commits to extend credit or has made a public statement to the effect that it does not intend to comply with its funding obligations under this Agreement or under other agreements in which it commits to extend credit, (c) failed, within three Business Days after request by the Agent or the Borrower, to confirm that it will comply with the terms of this Agreement relating to its obligations to fund prospective Loans and participations in then outstanding Letters of Credit and Swingline Loans, (d) otherwise failed to pay over to the Agent or any other Lender any other amount required to be paid by it hereunder within three Business Days of the date when due, unless the subject of a good faith dispute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Lender has failed for at least five Business Days to pay any such other amount, unless the subject of a good faith dispute, the Borrower may declare such Lender to be a Defaulting Lender in a written notice to the Agent), or (e)(i) become or is or has a parent company that has become or is insolvent or generally unable to pay its debts as they become due, or such Lender or its parent company admits in writing its inability to pay its debts as they become due or makes a general assignment for the benefit of its creditors or (ii) 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or (iii) become the subject of a Bail-In Action.</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means, at the time in question (a) with respect to any Base Rate Loan or any other Obligation except as described in the immediately following clause (b), the rate per annum equal to two percent (2%) above the Adjusted Base Rate then in effect for such Loan or other Obligation and (b) with respect to any Eurodollar Loan, the rate per annum equal to two percent (2%) above the Adjusted Eurodollar Rate then in effect for such Loan or other Obligation, provided in each case that no Default Rate charged by any Person shall ever exceed the Highest Lawful Rate.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Schedule 5</w:t>
      </w:r>
      <w:r>
        <w:rPr>
          <w:rFonts w:ascii="Arial" w:cs="Arial" w:eastAsia="Arial" w:hAnsi="Arial"/>
          <w:sz w:val="22"/>
          <w:szCs w:val="22"/>
          <w:color w:val="auto"/>
        </w:rPr>
        <w:t xml:space="preserve"> hereto.</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Distribution</w:t>
      </w:r>
      <w:r>
        <w:rPr>
          <w:rFonts w:ascii="Arial" w:cs="Arial" w:eastAsia="Arial" w:hAnsi="Arial"/>
          <w:sz w:val="22"/>
          <w:szCs w:val="22"/>
          <w:color w:val="auto"/>
        </w:rPr>
        <w:t>” means (a) any dividend or other distribution made by a Restricted Person on or in respect of any stock, partnership interest, or other equity interest in such Restricted Person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4" w:name="page65"/>
    <w:bookmarkEnd w:id="64"/>
    <w:p>
      <w:pPr>
        <w:jc w:val="both"/>
        <w:spacing w:after="0" w:line="298" w:lineRule="auto"/>
        <w:rPr>
          <w:sz w:val="20"/>
          <w:szCs w:val="20"/>
          <w:color w:val="auto"/>
        </w:rPr>
      </w:pPr>
      <w:r>
        <w:rPr>
          <w:rFonts w:ascii="Arial" w:cs="Arial" w:eastAsia="Arial" w:hAnsi="Arial"/>
          <w:sz w:val="19"/>
          <w:szCs w:val="19"/>
          <w:color w:val="auto"/>
        </w:rPr>
        <w:t>or any other Restricted Person (including any option or warrant to buy such an equity interest), or (b) any payment made by a Restricted Person to purchase, redeem, acquire or retire any stock, partnership interest, or other equity interest in such Restricted Person or any other Restricted Person (including any such option or warrant).</w:t>
      </w:r>
    </w:p>
    <w:p>
      <w:pPr>
        <w:spacing w:after="0" w:line="13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Lending Office</w:t>
      </w:r>
      <w:r>
        <w:rPr>
          <w:rFonts w:ascii="Arial" w:cs="Arial" w:eastAsia="Arial" w:hAnsi="Arial"/>
          <w:sz w:val="22"/>
          <w:szCs w:val="22"/>
          <w:color w:val="auto"/>
        </w:rPr>
        <w:t>” means, with respect to any Lender, the office of such Lender specified as its “Domestic Lending Office” below its name on the Lenders Schedule, or such other office as such Lender may from time to time specify to Borrower and Agent; with respect to LC Issuer, the office, branch, or agency through which it issues Letters of Credit; and, with respect to Agent, the office, branch, or agency through which it administers this Agreement.</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of the member states of the European Union, Iceland, Liechtenstein, and Norway.</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Transferee</w:t>
      </w:r>
      <w:r>
        <w:rPr>
          <w:rFonts w:ascii="Arial" w:cs="Arial" w:eastAsia="Arial" w:hAnsi="Arial"/>
          <w:sz w:val="19"/>
          <w:szCs w:val="19"/>
          <w:color w:val="auto"/>
        </w:rPr>
        <w:t>” means a Person which either (a) is a Lender or an Affiliate of a Lender, or (b) is consented to as an Eligible Transferee by Agent and, so long as no Default or Event of Default is continuing, by Borrower, which consents in each case will not be unreasonably withheld (provided that (i) no Person organized outside the United States may be an Eligible Transferee if Borrower would be required to pay withholding Taxes on interest or principal owed to such Person, (ii) neither the Borrower nor any of its Subsidiaries or Affiliates may be an Eligible Transferee, and (iii) no Person that is a Defaulting Lender may be an Eligible Transferee).</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and all Laws relating to the environment or to emissions, discharges, releases or threatened releases of pollutants, contaminants, chemicals, or industrial, toxic or hazardous substances or wastes into the environment including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w:t>
      </w:r>
      <w:r>
        <w:rPr>
          <w:rFonts w:ascii="Arial" w:cs="Arial" w:eastAsia="Arial" w:hAnsi="Arial"/>
          <w:sz w:val="22"/>
          <w:szCs w:val="22"/>
          <w:color w:val="auto"/>
        </w:rPr>
        <w:t>” means shares of capital stock or a partnership, profits, capital, member or other equity interest, or options, warrants or any other rights to substitute for or otherwise acquire the capital stock or a partnership, profits, capital, member or other equity interest of any Person.</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 as amended from time to time, and any successor statutes or statute, together with all rules and regulations promulgated with respect thereto.</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5" w:name="page66"/>
    <w:bookmarkEnd w:id="65"/>
    <w:p>
      <w:pPr>
        <w:jc w:val="both"/>
        <w:ind w:left="1"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Affiliate</w:t>
      </w:r>
      <w:r>
        <w:rPr>
          <w:rFonts w:ascii="Arial" w:cs="Arial" w:eastAsia="Arial" w:hAnsi="Arial"/>
          <w:sz w:val="22"/>
          <w:szCs w:val="22"/>
          <w:color w:val="auto"/>
        </w:rPr>
        <w:t>” means each Restricted Person and all members of a controlled group of corporations and all trades or businesses (whether or not incorporated) under common control that, together with such Restricted Person, are treated as a single employer under Section 414(b), Section 414(c), Section 414(m) or Section 414(o) of the Internal Revenue Code.</w:t>
      </w:r>
    </w:p>
    <w:p>
      <w:pPr>
        <w:spacing w:after="0" w:line="186" w:lineRule="exact"/>
        <w:rPr>
          <w:sz w:val="20"/>
          <w:szCs w:val="20"/>
          <w:color w:val="auto"/>
        </w:rPr>
      </w:pPr>
    </w:p>
    <w:p>
      <w:pPr>
        <w:jc w:val="both"/>
        <w:ind w:left="1"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Plan</w:t>
      </w:r>
      <w:r>
        <w:rPr>
          <w:rFonts w:ascii="Arial" w:cs="Arial" w:eastAsia="Arial" w:hAnsi="Arial"/>
          <w:sz w:val="19"/>
          <w:szCs w:val="19"/>
          <w:color w:val="auto"/>
        </w:rPr>
        <w:t>” means any employee pension benefit plan subject to Section 412 of the Internal Revenue Code or Title IV of ERISA with respect to which any Restricted Person has a fixed or contingent liability.</w:t>
      </w:r>
    </w:p>
    <w:p>
      <w:pPr>
        <w:spacing w:after="0" w:line="105"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Lending Office</w:t>
      </w:r>
      <w:r>
        <w:rPr>
          <w:rFonts w:ascii="Arial" w:cs="Arial" w:eastAsia="Arial" w:hAnsi="Arial"/>
          <w:sz w:val="22"/>
          <w:szCs w:val="22"/>
          <w:color w:val="auto"/>
        </w:rPr>
        <w:t>” means, with respect to any Lender, the office of such Lender specified as its “Eurodollar Lending Office” below its name on the Lenders Schedule (or, if no such office is specified, its Domestic Lending Office), or such other office of such Lender as such Lender may from time to time specify to Borrower and Agent.</w:t>
      </w:r>
    </w:p>
    <w:p>
      <w:pPr>
        <w:spacing w:after="0" w:line="185"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Loan</w:t>
      </w:r>
      <w:r>
        <w:rPr>
          <w:rFonts w:ascii="Arial" w:cs="Arial" w:eastAsia="Arial" w:hAnsi="Arial"/>
          <w:sz w:val="22"/>
          <w:szCs w:val="22"/>
          <w:color w:val="auto"/>
        </w:rPr>
        <w:t>” means a Loan that bears interest at the Adjusted Eurodollar Rate.</w:t>
      </w:r>
    </w:p>
    <w:p>
      <w:pPr>
        <w:spacing w:after="0" w:line="20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Eurodollar Margin</w:t>
      </w:r>
      <w:r>
        <w:rPr>
          <w:rFonts w:ascii="Arial" w:cs="Arial" w:eastAsia="Arial" w:hAnsi="Arial"/>
          <w:sz w:val="22"/>
          <w:szCs w:val="22"/>
          <w:color w:val="auto"/>
        </w:rPr>
        <w:t>” means, on any date, with respect to each Eurodollar Loan, the rate per annum set forth on the Pricing Schedule.</w:t>
      </w:r>
    </w:p>
    <w:p>
      <w:pPr>
        <w:spacing w:after="0" w:line="173"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xml:space="preserve">” means, for any Eurodollar Loan within a Borrowing and with respect to the related Interest Period therefor, (a) the London interbank offered rate as administered by ICE Benchmark Administration (or any other Person that takes over the administration of such rate) for a period equal in length to such Interest Period as displayed on page LIBOR01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Agent in its reasonable discretion) at approximately 11:00 a.m. (London time) two Business Days prior to the first day of such Interest Period, or (b) in the event the rate referenced in the preceding subsection (a) is not available, the rate per annum determined by Agent as the rate of interest at which deposits in U.S. dollars (for delivery on the first day of such Interest Period) in same day funds in the approximate amount of the applicable Eurodollar Loan and with a term equivalent to such Interest Period would be offered by its London branch to major banks in the offshore U.S. dollar market at their request at approximately 11:00 a.m. (London time) two Business Days prior to the first day of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the applicable rate described in clause (a) or</w:t>
      </w:r>
    </w:p>
    <w:p>
      <w:pPr>
        <w:spacing w:after="0" w:line="7" w:lineRule="exact"/>
        <w:rPr>
          <w:sz w:val="20"/>
          <w:szCs w:val="20"/>
          <w:color w:val="auto"/>
        </w:rPr>
      </w:pPr>
    </w:p>
    <w:p>
      <w:pPr>
        <w:jc w:val="both"/>
        <w:ind w:left="1" w:hanging="1"/>
        <w:spacing w:after="0" w:line="246" w:lineRule="auto"/>
        <w:tabs>
          <w:tab w:leader="none" w:pos="334" w:val="left"/>
        </w:tabs>
        <w:numPr>
          <w:ilvl w:val="0"/>
          <w:numId w:val="19"/>
        </w:numPr>
        <w:rPr>
          <w:rFonts w:ascii="Arial" w:cs="Arial" w:eastAsia="Arial" w:hAnsi="Arial"/>
          <w:sz w:val="21"/>
          <w:szCs w:val="21"/>
          <w:color w:val="auto"/>
        </w:rPr>
      </w:pPr>
      <w:r>
        <w:rPr>
          <w:rFonts w:ascii="Arial" w:cs="Arial" w:eastAsia="Arial" w:hAnsi="Arial"/>
          <w:sz w:val="21"/>
          <w:szCs w:val="21"/>
          <w:color w:val="auto"/>
        </w:rPr>
        <w:t>above is less than zero, such rate shall be deemed to be zero for purposes of this Agreement and (y) unless otherwise specified in any amendment to this Agreement entered into in accordance with Section 3.7(b), in the event that a Replacement Rate with respect to the Eurodollar Rate is implemented then all references herein to the Eurodollar Rate shall be deemed references to such Replacement Rate.</w:t>
      </w:r>
    </w:p>
    <w:p>
      <w:pPr>
        <w:spacing w:after="0" w:line="180"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06"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Assets</w:t>
      </w:r>
      <w:r>
        <w:rPr>
          <w:rFonts w:ascii="Arial" w:cs="Arial" w:eastAsia="Arial" w:hAnsi="Arial"/>
          <w:sz w:val="22"/>
          <w:szCs w:val="22"/>
          <w:color w:val="auto"/>
        </w:rPr>
        <w:t>” means, collectively, (a) equity interests in any Unrestricted Subsidiary (including the Southeast Acquisition Entity), so long as a pledge or transfer of such equity interests would be prohibited or restricted under, or would require consent of a third party that is not 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66" w:name="page67"/>
    <w:bookmarkEnd w:id="66"/>
    <w:p>
      <w:pPr>
        <w:jc w:val="both"/>
        <w:spacing w:after="0" w:line="273" w:lineRule="auto"/>
        <w:rPr>
          <w:sz w:val="20"/>
          <w:szCs w:val="20"/>
          <w:color w:val="auto"/>
        </w:rPr>
      </w:pPr>
      <w:r>
        <w:rPr>
          <w:rFonts w:ascii="Arial" w:cs="Arial" w:eastAsia="Arial" w:hAnsi="Arial"/>
          <w:sz w:val="19"/>
          <w:szCs w:val="19"/>
          <w:color w:val="auto"/>
        </w:rPr>
        <w:t xml:space="preserve">Affiliate pursuant to, the governing documents of such Unrestricted Subsidiary or any other agreement binding on the Restricted Persons or their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with respect to the equity interests in the Southeast Acquisition Entity) in the event such pledge or transfer is not prohibited but is so restricted or would require such consent of a third party that is not an Affiliate, Borrower shall have used commercially reasonable efforts to satisfy such restriction or obtain such consent, (b) assets, a security interest in which would be prohibited by contract or applicable Law unless such prohibition is not effective under applicable Law, (c) assets as to which the Agent has determined in its sole discretion that the costs of obtaining a lien or security interest therein are excessive in relation to the value of the security to be afforded thereby, (d) equity interests in excess of 65% of the voting stock of any Foreign Subsidiary and (e) amounts escrowed or otherwise set aside as a Permitted Lien described in clause (q) of the definition of “Permitted Lien” (solely so long as such cash remains subject to such Permitted Lien).</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Obligations</w:t>
      </w:r>
      <w:r>
        <w:rPr>
          <w:rFonts w:ascii="Arial" w:cs="Arial" w:eastAsia="Arial" w:hAnsi="Arial"/>
          <w:sz w:val="19"/>
          <w:szCs w:val="19"/>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of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means the letters of credit listed on </w:t>
      </w:r>
      <w:r>
        <w:rPr>
          <w:rFonts w:ascii="Arial" w:cs="Arial" w:eastAsia="Arial" w:hAnsi="Arial"/>
          <w:sz w:val="22"/>
          <w:szCs w:val="22"/>
          <w:u w:val="single" w:color="auto"/>
          <w:color w:val="auto"/>
        </w:rPr>
        <w:t>Schedule 1.1(b)</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of the Amendment No. 4 Effective Date (or any amended or successor version that is substantively comparable and not materially more onerous to comply with), any current or future regulations thereunder or official interpretations thereof, any agreements entered into pursuant to Section 1471(b)(1) of the Code, any intergovernmental agreements between the United States and another country entered into in connection therewith and any fiscal or regulatory legislation, rules or practices adopted pursuant to any such intergovernmental agreement.</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means, for any day, the rate per annum calculated by the Federal Reserve Bank of New York (the “</w:t>
      </w:r>
      <w:r>
        <w:rPr>
          <w:rFonts w:ascii="Arial" w:cs="Arial" w:eastAsia="Arial" w:hAnsi="Arial"/>
          <w:sz w:val="19"/>
          <w:szCs w:val="19"/>
          <w:u w:val="single" w:color="auto"/>
          <w:color w:val="auto"/>
        </w:rPr>
        <w:t>FRBNY</w:t>
      </w:r>
      <w:r>
        <w:rPr>
          <w:rFonts w:ascii="Arial" w:cs="Arial" w:eastAsia="Arial" w:hAnsi="Arial"/>
          <w:sz w:val="19"/>
          <w:szCs w:val="19"/>
          <w:color w:val="auto"/>
        </w:rPr>
        <w:t xml:space="preserve">”) based on such day’s federal funds transactions by depository institutions (as determined in such manner as the FRBNY shall set forth on its public website from time to time) and published on the next succeeding Business Day by the FRBNY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is not so published for any day that is a Business Day, the Federal Funds Rate for such day shall be the average rate quoted to Agent o such day on such transactions as determined by Agent. Notwithstanding the foregoing, if the Federal Funds Rate shall be less than zero, such rate shall be deemed to be zero for purposes of this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7" w:name="page68"/>
    <w:bookmarkEnd w:id="67"/>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 three-month period ending on March 31, June 30, September 30 or December 31 of any year.</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 twelve-month period ending on December 31 of any year.</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 Lender that is not a U.S. Person.</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 any Subsidiary that is a “controlled foreign corporation” under Section 957 of the Internal Revenue Code of 1986, (b) any Subsidiary that is held directly or indirectly by such a “controlled foreign corporation” or (c) any Subsidiary all or substantially all of the assets of which are equity interests in one or more such “controlled foreign corporations.</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those generally accepted accounting principles and practices which are recognized as such by the Financial Accounting Standards Board (or any generally recognized successor) and which, in the case of Restricted Persons and their Consolidated Subsidiaries, are applied for all periods on a consistent basis, as in effect from time to time and in a manner consistent with that used in preparing the audited financial statements required by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except as otherwise specifically provided herein. If at any time any change in GAAP would affect the computation of any financial ratio or requirement set forth in any Loan Document, and either Borrower or Required Lenders shall so request, Agent, Lenders and Borrower shall negotiate in good faith to amend such ratio or requirement to preserve the original intent thereof in light of such change in GAAP (subject to the approval of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until so amended, (i) such ratio or requirement shall continue to be computed in accordance with GAAP prior to such change therein and (ii) Borrower shall provide to Agent and Lenders financial statements and other documents required under this Agreement or otherwise reasonably requested hereunder setting forth a reconciliation between such calculations of such ratio or requirement made before and after giving effect to such change in GAAP.</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Goodwill Impairment Charges</w:t>
      </w:r>
      <w:r>
        <w:rPr>
          <w:rFonts w:ascii="Arial" w:cs="Arial" w:eastAsia="Arial" w:hAnsi="Arial"/>
          <w:sz w:val="22"/>
          <w:szCs w:val="22"/>
          <w:color w:val="auto"/>
        </w:rPr>
        <w:t>” means accounting charges resulting from the write-up or write-down of acquired goodwill and other intangible assets in accordance with FAS 142.</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state, county, city or other political subdivision and any other governmental department, court, commission, board, bureau, agency, regulatory authority, instrumentality, judicial or administrative body, domestic or foreign.</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xml:space="preserve">” means, collectively, (a) each Subsidiary of the Borrower existing on the Amendment No. 5 Effective Date, other than an Immaterial Subsidiary, an Unrestricted Subsidiary or a Foreign Subsidiary, and (b) any Subsidiary of the Borrower that executes and delivers a Guaranty to the Agent after the Amendment No. 5 Effective Date, pursuant to </w:t>
      </w:r>
      <w:r>
        <w:rPr>
          <w:rFonts w:ascii="Arial" w:cs="Arial" w:eastAsia="Arial" w:hAnsi="Arial"/>
          <w:sz w:val="22"/>
          <w:szCs w:val="22"/>
          <w:u w:val="single" w:color="auto"/>
          <w:color w:val="auto"/>
        </w:rPr>
        <w:t>Section 6.15</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Guaranty</w:t>
      </w:r>
      <w:r>
        <w:rPr>
          <w:rFonts w:ascii="Arial" w:cs="Arial" w:eastAsia="Arial" w:hAnsi="Arial"/>
          <w:sz w:val="21"/>
          <w:szCs w:val="21"/>
          <w:color w:val="auto"/>
        </w:rPr>
        <w:t>” means (a) that certain Second Amended and Restated Subsidiary Guaranty dated as of the date hereof, executed by each Guarantor existing on the Closing Date, in favor of the Agent for the ratable benefit of the Secured Parties, and (b) any Guaranty or joinder to a Guaranty executed by a Guarantor after the Closing Date, in favor of the Agent for the ratable benefit of the Secured Parties, in each case as such Guaranties may be amended, supplemented, or modified and in effect from time to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8" w:name="page69"/>
    <w:bookmarkEnd w:id="68"/>
    <w:p>
      <w:pPr>
        <w:jc w:val="both"/>
        <w:ind w:firstLine="648"/>
        <w:spacing w:after="0" w:line="32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any substances regulated under any Environmental Law, whether as pollutants, contaminants, or chemicals, or as industrial, toxic or hazardous substances or wastes, or otherwise.</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Hedging Contract</w:t>
      </w:r>
      <w:r>
        <w:rPr>
          <w:rFonts w:ascii="Arial" w:cs="Arial" w:eastAsia="Arial" w:hAnsi="Arial"/>
          <w:sz w:val="21"/>
          <w:szCs w:val="21"/>
          <w:color w:val="auto"/>
        </w:rPr>
        <w:t>” means (a) any agreement providing for options, swaps, floors, caps, collars, forward sales or forward purchases involving interest rates, commodities or commodity prices, equities, currencies, bonds, or indexes based on any of the foregoing, (b) any option, futures or forward contract traded on an exchange, and (c) any other derivative agreement or other similar agreement or arrangement.</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Highest Lawful Rate</w:t>
      </w:r>
      <w:r>
        <w:rPr>
          <w:rFonts w:ascii="Arial" w:cs="Arial" w:eastAsia="Arial" w:hAnsi="Arial"/>
          <w:sz w:val="19"/>
          <w:szCs w:val="19"/>
          <w:color w:val="auto"/>
        </w:rPr>
        <w:t>” means, with respect to each Lender Party to whom Obligations are owed, the maximum nonusurious rate of interest that such Lender Party is permitted under applicable Law to contract for, take, charge, or receive with respect to such Obligations. All determinations herein of the Highest Lawful Rate, or of any interest rate determined by reference to the Highest Lawful Rate, shall be made separately for each Lender Party as appropriate to assure that the Loan Documents are not construed to obligate any Person to pay interest to any Lender Party at a rate in excess of the Highest Lawful Rate applicable to such Lender Party.</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one or more Subsidiaries with aggregate gross assets of less than $500,000.</w:t>
      </w:r>
    </w:p>
    <w:p>
      <w:pPr>
        <w:spacing w:after="0" w:line="24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 Agreement</w:t>
      </w:r>
      <w:r>
        <w:rPr>
          <w:rFonts w:ascii="Arial" w:cs="Arial" w:eastAsia="Arial" w:hAnsi="Arial"/>
          <w:sz w:val="22"/>
          <w:szCs w:val="22"/>
          <w:color w:val="auto"/>
        </w:rPr>
        <w:t xml:space="preserve">” means an agreement in substantially the form attached as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2.17</w:t>
      </w:r>
      <w:r>
        <w:rPr>
          <w:rFonts w:ascii="Arial" w:cs="Arial" w:eastAsia="Arial" w:hAnsi="Arial"/>
          <w:sz w:val="22"/>
          <w:szCs w:val="22"/>
          <w:color w:val="auto"/>
        </w:rPr>
        <w:t xml:space="preserve"> or such other form as Agent approves in its reasonable discretion.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Lender</w:t>
      </w:r>
      <w:r>
        <w:rPr>
          <w:rFonts w:ascii="Arial" w:cs="Arial" w:eastAsia="Arial" w:hAnsi="Arial"/>
          <w:sz w:val="22"/>
          <w:szCs w:val="22"/>
          <w:color w:val="auto"/>
        </w:rPr>
        <w:t xml:space="preserve">” has the meaning assigned to that term in </w:t>
      </w:r>
      <w:r>
        <w:rPr>
          <w:rFonts w:ascii="Arial" w:cs="Arial" w:eastAsia="Arial" w:hAnsi="Arial"/>
          <w:sz w:val="22"/>
          <w:szCs w:val="22"/>
          <w:u w:val="single" w:color="auto"/>
          <w:color w:val="auto"/>
        </w:rPr>
        <w:t>Section 2.17</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of any Person means, without duplication, obligations in any of the following categories:</w:t>
      </w:r>
    </w:p>
    <w:p>
      <w:pPr>
        <w:spacing w:after="0" w:line="241" w:lineRule="exact"/>
        <w:rPr>
          <w:sz w:val="20"/>
          <w:szCs w:val="20"/>
          <w:color w:val="auto"/>
        </w:rPr>
      </w:pPr>
    </w:p>
    <w:p>
      <w:pPr>
        <w:ind w:left="1320" w:hanging="672"/>
        <w:spacing w:after="0"/>
        <w:tabs>
          <w:tab w:leader="none" w:pos="1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debt for borrowed money;</w:t>
      </w:r>
    </w:p>
    <w:p>
      <w:pPr>
        <w:spacing w:after="0" w:line="206" w:lineRule="exact"/>
        <w:rPr>
          <w:rFonts w:ascii="Arial" w:cs="Arial" w:eastAsia="Arial" w:hAnsi="Arial"/>
          <w:sz w:val="22"/>
          <w:szCs w:val="22"/>
          <w:color w:val="auto"/>
        </w:rPr>
      </w:pPr>
    </w:p>
    <w:p>
      <w:pPr>
        <w:ind w:firstLine="648"/>
        <w:spacing w:after="0" w:line="251" w:lineRule="auto"/>
        <w:tabs>
          <w:tab w:leader="none" w:pos="1441" w:val="left"/>
        </w:tabs>
        <w:numPr>
          <w:ilvl w:val="0"/>
          <w:numId w:val="20"/>
        </w:numPr>
        <w:rPr>
          <w:rFonts w:ascii="Arial" w:cs="Arial" w:eastAsia="Arial" w:hAnsi="Arial"/>
          <w:sz w:val="22"/>
          <w:szCs w:val="22"/>
          <w:color w:val="auto"/>
        </w:rPr>
      </w:pPr>
      <w:r>
        <w:rPr>
          <w:rFonts w:ascii="Arial" w:cs="Arial" w:eastAsia="Arial" w:hAnsi="Arial"/>
          <w:sz w:val="22"/>
          <w:szCs w:val="22"/>
          <w:color w:val="auto"/>
        </w:rPr>
        <w:t>an obligation to pay the deferred purchase price of property or services (other than trade payables incurred in the ordinary course of business);</w:t>
      </w:r>
    </w:p>
    <w:p>
      <w:pPr>
        <w:spacing w:after="0" w:line="173" w:lineRule="exact"/>
        <w:rPr>
          <w:rFonts w:ascii="Arial" w:cs="Arial" w:eastAsia="Arial" w:hAnsi="Arial"/>
          <w:sz w:val="22"/>
          <w:szCs w:val="22"/>
          <w:color w:val="auto"/>
        </w:rPr>
      </w:pPr>
    </w:p>
    <w:p>
      <w:pPr>
        <w:ind w:left="1320" w:hanging="672"/>
        <w:spacing w:after="0"/>
        <w:tabs>
          <w:tab w:leader="none" w:pos="13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obligations evidenced by a bond, debenture, note or similar instrument;</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Off-Balance Sheet Liabilities;</w:t>
      </w:r>
    </w:p>
    <w:p>
      <w:pPr>
        <w:spacing w:after="0" w:line="206" w:lineRule="exact"/>
        <w:rPr>
          <w:rFonts w:ascii="Arial" w:cs="Arial" w:eastAsia="Arial" w:hAnsi="Arial"/>
          <w:sz w:val="22"/>
          <w:szCs w:val="22"/>
          <w:color w:val="auto"/>
        </w:rPr>
      </w:pPr>
    </w:p>
    <w:p>
      <w:pPr>
        <w:ind w:firstLine="648"/>
        <w:spacing w:after="0" w:line="251" w:lineRule="auto"/>
        <w:tabs>
          <w:tab w:leader="none" w:pos="1415" w:val="left"/>
        </w:tabs>
        <w:numPr>
          <w:ilvl w:val="0"/>
          <w:numId w:val="20"/>
        </w:numPr>
        <w:rPr>
          <w:rFonts w:ascii="Arial" w:cs="Arial" w:eastAsia="Arial" w:hAnsi="Arial"/>
          <w:sz w:val="22"/>
          <w:szCs w:val="22"/>
          <w:color w:val="auto"/>
        </w:rPr>
      </w:pPr>
      <w:r>
        <w:rPr>
          <w:rFonts w:ascii="Arial" w:cs="Arial" w:eastAsia="Arial" w:hAnsi="Arial"/>
          <w:sz w:val="22"/>
          <w:szCs w:val="22"/>
          <w:color w:val="auto"/>
        </w:rPr>
        <w:t>obligations arising under Hedging Contracts (on a net basis to the extent netting is provided for in the applicable Hedging Contract);</w:t>
      </w:r>
    </w:p>
    <w:p>
      <w:pPr>
        <w:spacing w:after="0" w:line="173" w:lineRule="exact"/>
        <w:rPr>
          <w:rFonts w:ascii="Arial" w:cs="Arial" w:eastAsia="Arial" w:hAnsi="Arial"/>
          <w:sz w:val="22"/>
          <w:szCs w:val="22"/>
          <w:color w:val="auto"/>
        </w:rPr>
      </w:pPr>
    </w:p>
    <w:p>
      <w:pPr>
        <w:ind w:left="1300" w:hanging="652"/>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Capital Lease Obligations;</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20"/>
        </w:numPr>
        <w:rPr>
          <w:rFonts w:ascii="Arial" w:cs="Arial" w:eastAsia="Arial" w:hAnsi="Arial"/>
          <w:sz w:val="21"/>
          <w:szCs w:val="21"/>
          <w:color w:val="auto"/>
        </w:rPr>
      </w:pPr>
      <w:r>
        <w:rPr>
          <w:rFonts w:ascii="Arial" w:cs="Arial" w:eastAsia="Arial" w:hAnsi="Arial"/>
          <w:sz w:val="21"/>
          <w:szCs w:val="21"/>
          <w:color w:val="auto"/>
        </w:rPr>
        <w:t>obligations to pay money arising under conditional sales or other title retention agreements;</w:t>
      </w:r>
    </w:p>
    <w:p>
      <w:pPr>
        <w:spacing w:after="0" w:line="217" w:lineRule="exact"/>
        <w:rPr>
          <w:rFonts w:ascii="Arial" w:cs="Arial" w:eastAsia="Arial" w:hAnsi="Arial"/>
          <w:sz w:val="21"/>
          <w:szCs w:val="21"/>
          <w:color w:val="auto"/>
        </w:rPr>
      </w:pPr>
    </w:p>
    <w:p>
      <w:pPr>
        <w:ind w:firstLine="648"/>
        <w:spacing w:after="0" w:line="251" w:lineRule="auto"/>
        <w:tabs>
          <w:tab w:leader="none" w:pos="163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obligations owing under direct or indirect guaranties of Indebtedness of any other Person or otherwise constituting obligations to purchase or acquire or to otherwise protect or insure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69" w:name="page70"/>
    <w:bookmarkEnd w:id="69"/>
    <w:p>
      <w:pPr>
        <w:jc w:val="both"/>
        <w:spacing w:after="0" w:line="238" w:lineRule="auto"/>
        <w:rPr>
          <w:sz w:val="20"/>
          <w:szCs w:val="20"/>
          <w:color w:val="auto"/>
        </w:rPr>
      </w:pPr>
      <w:r>
        <w:rPr>
          <w:rFonts w:ascii="Arial" w:cs="Arial" w:eastAsia="Arial" w:hAnsi="Arial"/>
          <w:sz w:val="22"/>
          <w:szCs w:val="22"/>
          <w:color w:val="auto"/>
        </w:rPr>
        <w:t>a creditor against loss in respect of Indebtedness of any other Person (such as obligations under working capital maintenance agreements, agreements to keep-well, or agreements to purchase Indebtedness, assets, goods, securities or services), but excluding endorsements in the ordinary course of business of negotiable instruments in the course of collection;</w:t>
      </w:r>
    </w:p>
    <w:p>
      <w:pPr>
        <w:spacing w:after="0" w:line="186" w:lineRule="exact"/>
        <w:rPr>
          <w:sz w:val="20"/>
          <w:szCs w:val="20"/>
          <w:color w:val="auto"/>
        </w:rPr>
      </w:pPr>
    </w:p>
    <w:p>
      <w:pPr>
        <w:jc w:val="both"/>
        <w:ind w:firstLine="648"/>
        <w:spacing w:after="0" w:line="236" w:lineRule="auto"/>
        <w:tabs>
          <w:tab w:leader="none" w:pos="1419" w:val="left"/>
        </w:tabs>
        <w:numPr>
          <w:ilvl w:val="0"/>
          <w:numId w:val="21"/>
        </w:numPr>
        <w:rPr>
          <w:rFonts w:ascii="Arial" w:cs="Arial" w:eastAsia="Arial" w:hAnsi="Arial"/>
          <w:sz w:val="22"/>
          <w:szCs w:val="22"/>
          <w:color w:val="auto"/>
        </w:rPr>
      </w:pPr>
      <w:r>
        <w:rPr>
          <w:rFonts w:ascii="Arial" w:cs="Arial" w:eastAsia="Arial" w:hAnsi="Arial"/>
          <w:sz w:val="22"/>
          <w:szCs w:val="22"/>
          <w:color w:val="auto"/>
        </w:rPr>
        <w:t>obligations to purchase or redeem securities or other property, if such obligations arise out of or in connection with the sale or issuance of the same or similar securities or property (for example, repurchase agreements, mandatorily redeemable preferred stock and sale/leaseback agreements), except to the extent such purchase or redemption is to be made with the proceeds of a substantially concurrent issuance of Equity of such Person;</w:t>
      </w:r>
    </w:p>
    <w:p>
      <w:pPr>
        <w:spacing w:after="0" w:line="187" w:lineRule="exact"/>
        <w:rPr>
          <w:rFonts w:ascii="Arial" w:cs="Arial" w:eastAsia="Arial" w:hAnsi="Arial"/>
          <w:sz w:val="22"/>
          <w:szCs w:val="22"/>
          <w:color w:val="auto"/>
        </w:rPr>
      </w:pPr>
    </w:p>
    <w:p>
      <w:pPr>
        <w:jc w:val="both"/>
        <w:ind w:firstLine="648"/>
        <w:spacing w:after="0" w:line="238" w:lineRule="auto"/>
        <w:tabs>
          <w:tab w:leader="none" w:pos="15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obligations with respect to letters of credit or applications or reimbursement agreements therefor (but, for the avoidance of doubt, excluding any obligations with respect to (i) letters of credit to the extent they support other obligations constituting Indebtedness of a Restricted Person under this definition, and (ii) letters of credit that support performance obligations); or</w:t>
      </w:r>
    </w:p>
    <w:p>
      <w:pPr>
        <w:spacing w:after="0" w:line="185" w:lineRule="exact"/>
        <w:rPr>
          <w:rFonts w:ascii="Arial" w:cs="Arial" w:eastAsia="Arial" w:hAnsi="Arial"/>
          <w:sz w:val="22"/>
          <w:szCs w:val="22"/>
          <w:color w:val="auto"/>
        </w:rPr>
      </w:pPr>
    </w:p>
    <w:p>
      <w:pPr>
        <w:ind w:left="1340" w:hanging="692"/>
        <w:spacing w:after="0"/>
        <w:tabs>
          <w:tab w:leader="none" w:pos="13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obligations with respect to banker’s acceptances;</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“Indebtedness” of any Person shall not include (i) obligations incurred by such Person in the ordinary course of its business under purchasing cards or similar arrangements, or (ii) any obligations under Operating Leases.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Financial Statements</w:t>
      </w:r>
      <w:r>
        <w:rPr>
          <w:rFonts w:ascii="Arial" w:cs="Arial" w:eastAsia="Arial" w:hAnsi="Arial"/>
          <w:sz w:val="22"/>
          <w:szCs w:val="22"/>
          <w:color w:val="auto"/>
        </w:rPr>
        <w:t>” means (a) the audited annual Consolidated financial statements of Borrower dated as of December 31, 2009, and (b) the unaudited quarterly Consolidated financial statements of Borrower dated as of March 31, 2010.</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Intercreditor Agreement</w:t>
      </w:r>
      <w:r>
        <w:rPr>
          <w:rFonts w:ascii="Arial" w:cs="Arial" w:eastAsia="Arial" w:hAnsi="Arial"/>
          <w:sz w:val="22"/>
          <w:szCs w:val="22"/>
          <w:color w:val="auto"/>
        </w:rPr>
        <w:t>” means (i) that certain Intercreditor Agreement dated as of June 24, 2009 among Zurich American Insurance Company, a New York corporation, and Wachovia Bank, N.A., a national banking association, as predecessor to Lender Agent (as therein defined), as amended from time to time, and (ii) any other agreement to which Borrower, the Agent, and any surety are parties that establishes the priorities of the parties with respect to Bonded Receivables.</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xml:space="preserve">” means (a) with respect to each Base Rate Loan, the first Business Day of each Fiscal Quarter; and (b) with respect to each Eurodollar Loan, the last day of the Interest Period that is applicable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and, if such Interest Period is greater than three months in length, then respective dates that fall every three months after the beginning of such Interest Period shall also be Interest Payment Dates for such Eurodollar Loan.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each Eurodollar Loan, the period specified in the Borrowing Notice or Continuation/Conversion Notice applicable to such Eurodollar Loan, beginning on and including the date specified in such Borrowing Notice or Continuation/Conversion Notice (which must be a Business Day), and ending one, two, three, or six months thereafter, as Borrower may elect in such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Interest Period which would otherwise end on a day which is not a Business Day shall be extended to the next succeeding Business Day unless such Business Day falls in another calendar month, in which case such Interest Period shall end on the next preceding Business Day; (b) any Interest Period which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0" w:name="page71"/>
    <w:bookmarkEnd w:id="70"/>
    <w:p>
      <w:pPr>
        <w:jc w:val="both"/>
        <w:spacing w:after="0" w:line="249" w:lineRule="auto"/>
        <w:rPr>
          <w:sz w:val="20"/>
          <w:szCs w:val="20"/>
          <w:color w:val="auto"/>
        </w:rPr>
      </w:pPr>
      <w:r>
        <w:rPr>
          <w:rFonts w:ascii="Arial" w:cs="Arial" w:eastAsia="Arial" w:hAnsi="Arial"/>
          <w:sz w:val="21"/>
          <w:szCs w:val="21"/>
          <w:color w:val="auto"/>
        </w:rPr>
        <w:t>begins on the last Business Day in a calendar month (or on a day for which there is no numerically corresponding day in the calendar month at the end of such Interest Period) shall end on the last Business Day in a calendar month; and (c) notwithstanding the foregoing, any Interest Period which would otherwise end after the last day of the Commitment Period shall end on the last day of the Commitment Period (or, if the last day of the Commitment Period is not a Business Day, on the next preceding Business Day).</w:t>
      </w:r>
    </w:p>
    <w:p>
      <w:pPr>
        <w:spacing w:after="0" w:line="17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Revenue Code</w:t>
      </w:r>
      <w:r>
        <w:rPr>
          <w:rFonts w:ascii="Arial" w:cs="Arial" w:eastAsia="Arial" w:hAnsi="Arial"/>
          <w:sz w:val="19"/>
          <w:szCs w:val="19"/>
          <w:color w:val="auto"/>
        </w:rPr>
        <w:t>” means the United States Internal Revenue Code of 1986, as amended from time to time and any successor statute or statutes, together with all rules and regulations promulgated with respect thereto.</w:t>
      </w:r>
    </w:p>
    <w:p>
      <w:pPr>
        <w:spacing w:after="0" w:line="10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means any investment, made directly or indirectly, in any Person, whether by purchase, acquisition of equity interests, indebtedness or other obligations or securities or by extension of credit, loan, advance, capital contribution or otherwise and whether made in cash, by the transfer of property, or by any other means.</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means any statute, law, regulation, ordinance, rule, treaty, judgment, order, decree, permit, concession, franchise, license, agreement or other governmental restriction of the United States or any state or political subdivision thereof or of any foreign country or any department, province or other political subdivision thereof. Any reference to a Law includes any amendment or modification to such Law, and all regulations, rulings, and other Laws promulgated under such Law.</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Application</w:t>
      </w:r>
      <w:r>
        <w:rPr>
          <w:rFonts w:ascii="Arial" w:cs="Arial" w:eastAsia="Arial" w:hAnsi="Arial"/>
          <w:sz w:val="19"/>
          <w:szCs w:val="19"/>
          <w:color w:val="auto"/>
        </w:rPr>
        <w:t>” means any application for a Letter of Credit hereafter made by Borrower to LC Issuer.</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Collateral</w:t>
      </w:r>
      <w:r>
        <w:rPr>
          <w:rFonts w:ascii="Arial" w:cs="Arial" w:eastAsia="Arial" w:hAnsi="Arial"/>
          <w:sz w:val="22"/>
          <w:szCs w:val="22"/>
          <w:color w:val="auto"/>
        </w:rPr>
        <w:t xml:space="preserve">” has the meaning given to such term in </w:t>
      </w:r>
      <w:r>
        <w:rPr>
          <w:rFonts w:ascii="Arial" w:cs="Arial" w:eastAsia="Arial" w:hAnsi="Arial"/>
          <w:sz w:val="22"/>
          <w:szCs w:val="22"/>
          <w:u w:val="single" w:color="auto"/>
          <w:color w:val="auto"/>
        </w:rPr>
        <w:t>Section 2.14(a)</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Conditions</w:t>
      </w:r>
      <w:r>
        <w:rPr>
          <w:rFonts w:ascii="Arial" w:cs="Arial" w:eastAsia="Arial" w:hAnsi="Arial"/>
          <w:sz w:val="19"/>
          <w:szCs w:val="19"/>
          <w:color w:val="auto"/>
        </w:rPr>
        <w:t xml:space="preserve">” means the conditions for issuance of a Letter of Credit set forth in </w:t>
      </w:r>
      <w:r>
        <w:rPr>
          <w:rFonts w:ascii="Arial" w:cs="Arial" w:eastAsia="Arial" w:hAnsi="Arial"/>
          <w:sz w:val="19"/>
          <w:szCs w:val="19"/>
          <w:u w:val="single" w:color="auto"/>
          <w:color w:val="auto"/>
        </w:rPr>
        <w:t>Sections 2.9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2.10</w:t>
      </w:r>
      <w:r>
        <w:rPr>
          <w:rFonts w:ascii="Arial" w:cs="Arial" w:eastAsia="Arial" w:hAnsi="Arial"/>
          <w:sz w:val="19"/>
          <w:szCs w:val="19"/>
          <w:color w:val="auto"/>
        </w:rPr>
        <w:t>.</w:t>
      </w:r>
    </w:p>
    <w:p>
      <w:pPr>
        <w:spacing w:after="0" w:line="24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Exclusions</w:t>
      </w:r>
      <w:r>
        <w:rPr>
          <w:rFonts w:ascii="Arial" w:cs="Arial" w:eastAsia="Arial" w:hAnsi="Arial"/>
          <w:sz w:val="19"/>
          <w:szCs w:val="19"/>
          <w:color w:val="auto"/>
        </w:rPr>
        <w:t>” means the sum of (a) LC Obligations for Letters of Credit issued in the ordinary course of Borrower’s business for insurance, state qualification and routine licensing purposes and (b) LC Obligations, up to $2,000,000, for Letters of Credit issued for purposes other than those set forth in subsection (a) above.</w:t>
      </w:r>
    </w:p>
    <w:p>
      <w:pPr>
        <w:spacing w:after="0" w:line="1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Issuer</w:t>
      </w:r>
      <w:r>
        <w:rPr>
          <w:rFonts w:ascii="Arial" w:cs="Arial" w:eastAsia="Arial" w:hAnsi="Arial"/>
          <w:sz w:val="22"/>
          <w:szCs w:val="22"/>
          <w:color w:val="auto"/>
        </w:rPr>
        <w:t xml:space="preserve"> ” means Wells Fargo Bank, National Association in its capacity as the issuer of Letters of Credit hereunder, and its successors in such capacity, and any issuer of an Existing Letter of Credit. Agent may, with the consent of Borrower and the Lender in question, appoint any Lender hereunder as an LC Issuer in place of or in addition to Wells Fargo Bank, National Association.</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Obligations</w:t>
      </w:r>
      <w:r>
        <w:rPr>
          <w:rFonts w:ascii="Arial" w:cs="Arial" w:eastAsia="Arial" w:hAnsi="Arial"/>
          <w:sz w:val="22"/>
          <w:szCs w:val="22"/>
          <w:color w:val="auto"/>
        </w:rPr>
        <w:t>” means, at the time in question, the sum of all Matured LC Obligations plus the maximum amounts which LC Issuer might then or thereafter be called upon to advance under all Letters of Credit then outstanding.</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Lead Arranger</w:t>
      </w:r>
      <w:r>
        <w:rPr>
          <w:rFonts w:ascii="Arial" w:cs="Arial" w:eastAsia="Arial" w:hAnsi="Arial"/>
          <w:sz w:val="22"/>
          <w:szCs w:val="22"/>
          <w:color w:val="auto"/>
        </w:rPr>
        <w:t>” means Wells Fargo Securities, LLC.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1" w:name="page72"/>
    <w:bookmarkEnd w:id="71"/>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Bank Services Obligations</w:t>
      </w:r>
      <w:r>
        <w:rPr>
          <w:rFonts w:ascii="Arial" w:cs="Arial" w:eastAsia="Arial" w:hAnsi="Arial"/>
          <w:sz w:val="22"/>
          <w:szCs w:val="22"/>
          <w:color w:val="auto"/>
        </w:rPr>
        <w:t>” means obligations to a Lender or an Affiliate of a Lender arising out of any of the following bank services provided by such Lender or Affiliate to a Restricted Person: commercial credit cards, commercial checking accounts, stored value cards, and treasury management services (including, without limitation, controlled disbursements, automated clearinghouse transactions, return items, overdraft and interstate depository network services).</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Hedging Obligations</w:t>
      </w:r>
      <w:r>
        <w:rPr>
          <w:rFonts w:ascii="Arial" w:cs="Arial" w:eastAsia="Arial" w:hAnsi="Arial"/>
          <w:sz w:val="22"/>
          <w:szCs w:val="22"/>
          <w:color w:val="auto"/>
        </w:rPr>
        <w:t xml:space="preserve">” means Indebtedness to a Lender or an Affiliate of a Lender arising out of any Hedging Contract permitted under </w:t>
      </w:r>
      <w:r>
        <w:rPr>
          <w:rFonts w:ascii="Arial" w:cs="Arial" w:eastAsia="Arial" w:hAnsi="Arial"/>
          <w:sz w:val="22"/>
          <w:szCs w:val="22"/>
          <w:u w:val="single" w:color="auto"/>
          <w:color w:val="auto"/>
        </w:rPr>
        <w:t>Section 7.3</w:t>
      </w:r>
      <w:r>
        <w:rPr>
          <w:rFonts w:ascii="Arial" w:cs="Arial" w:eastAsia="Arial" w:hAnsi="Arial"/>
          <w:sz w:val="22"/>
          <w:szCs w:val="22"/>
          <w:color w:val="auto"/>
        </w:rPr>
        <w: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 Party</w:t>
      </w:r>
      <w:r>
        <w:rPr>
          <w:rFonts w:ascii="Arial" w:cs="Arial" w:eastAsia="Arial" w:hAnsi="Arial"/>
          <w:sz w:val="22"/>
          <w:szCs w:val="22"/>
          <w:color w:val="auto"/>
        </w:rPr>
        <w:t>” means Agent, LC Issuer, Swingline Lender and all Lenders.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means each signatory hereto (other than Borrower and any Restricted Person that is a party hereto), and the successors of each such party as Lender hereunder pursuant to </w:t>
      </w:r>
      <w:r>
        <w:rPr>
          <w:rFonts w:ascii="Arial" w:cs="Arial" w:eastAsia="Arial" w:hAnsi="Arial"/>
          <w:sz w:val="22"/>
          <w:szCs w:val="22"/>
          <w:u w:val="single" w:color="auto"/>
          <w:color w:val="auto"/>
        </w:rPr>
        <w:t>Section 10.5</w:t>
      </w:r>
      <w:r>
        <w:rPr>
          <w:rFonts w:ascii="Arial" w:cs="Arial" w:eastAsia="Arial" w:hAnsi="Arial"/>
          <w:sz w:val="22"/>
          <w:szCs w:val="22"/>
          <w:color w:val="auto"/>
        </w:rPr>
        <w: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 Schedule</w:t>
      </w:r>
      <w:r>
        <w:rPr>
          <w:rFonts w:ascii="Arial" w:cs="Arial" w:eastAsia="Arial" w:hAnsi="Arial"/>
          <w:sz w:val="22"/>
          <w:szCs w:val="22"/>
          <w:color w:val="auto"/>
        </w:rPr>
        <w:t xml:space="preserve">” means </w:t>
      </w:r>
      <w:r>
        <w:rPr>
          <w:rFonts w:ascii="Arial" w:cs="Arial" w:eastAsia="Arial" w:hAnsi="Arial"/>
          <w:sz w:val="22"/>
          <w:szCs w:val="22"/>
          <w:u w:val="single" w:color="auto"/>
          <w:color w:val="auto"/>
        </w:rPr>
        <w:t>Schedule 3.1</w:t>
      </w:r>
      <w:r>
        <w:rPr>
          <w:rFonts w:ascii="Arial" w:cs="Arial" w:eastAsia="Arial" w:hAnsi="Arial"/>
          <w:sz w:val="22"/>
          <w:szCs w:val="22"/>
          <w:color w:val="auto"/>
        </w:rPr>
        <w:t xml:space="preserve"> hereto.</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any letter of credit issued by LC Issuer hereunder at the application of Borrower, and shall include the Existing Letters of Credit, in each case as extended or otherwise modified by the LC Issuer from time to time.</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Liabilities</w:t>
      </w:r>
      <w:r>
        <w:rPr>
          <w:rFonts w:ascii="Arial" w:cs="Arial" w:eastAsia="Arial" w:hAnsi="Arial"/>
          <w:sz w:val="22"/>
          <w:szCs w:val="22"/>
          <w:color w:val="auto"/>
        </w:rPr>
        <w:t>” means, as to any Person, all liabilities that would appear as such on a balance sheet of such Person under GAAP.</w:t>
      </w:r>
    </w:p>
    <w:p>
      <w:pPr>
        <w:spacing w:after="0" w:line="17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property or assets, any right or interest therein of a creditor to secure Liabilities owed to it or any other arrangement with such creditor which provides for the payment of such Liabilities out of such property or assets or which allows such creditor to have such Liabilities satisfied out of such property or assets prior to the general creditors of any owner thereof, including any lien, mortgage, security interest, pledge, rights of a vendor under any title retention or conditional sale agreement or lease substantially equivalent thereto, Tax lien, mechanic’s or materialmen’s lien, or any other charge or encumbrance for security purposes, whether arising by Law or agreement or otherwise, but excluding any right of offset which arises without agreement in the ordinary course of business.</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the Notes, the Security Documents, the Guaranties, the LC Applications and the Intercreditor Agreements, and all other agreements, certificates, documents, instruments and writings at any time executed and delivered in connection herewith or therewith (exclusive of term sheets, commitment letters, any Hedging Contracts, and any agreements or arrangements pursuant to which Lender Bank Services Obligations are provided).</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xml:space="preserve">” means the (i) Revolving Loans as otherwise described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and (ii) the Swingline Loans as otherwise described in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Margin Stock</w:t>
      </w:r>
      <w:r>
        <w:rPr>
          <w:rFonts w:ascii="Arial" w:cs="Arial" w:eastAsia="Arial" w:hAnsi="Arial"/>
          <w:sz w:val="22"/>
          <w:szCs w:val="22"/>
          <w:color w:val="auto"/>
        </w:rPr>
        <w:t>” means margin stock, as such term is defined in Regulation U promulgated by the Board of Governors of the Federal Reserve System.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2" w:name="page73"/>
    <w:bookmarkEnd w:id="72"/>
    <w:p>
      <w:pPr>
        <w:jc w:val="both"/>
        <w:ind w:left="1"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means a material and adverse change, from the state of affairs presented in the Initial Financial Statements or as represented or warranted in any Loan Document, to (a) Borrower’s Consolidated financial condition, (b) Borrower’s Consolidated business, assets, operations or properties, considered as a whole,</w:t>
      </w:r>
    </w:p>
    <w:p>
      <w:pPr>
        <w:spacing w:after="0" w:line="2" w:lineRule="exact"/>
        <w:rPr>
          <w:sz w:val="20"/>
          <w:szCs w:val="20"/>
          <w:color w:val="auto"/>
        </w:rPr>
      </w:pPr>
    </w:p>
    <w:p>
      <w:pPr>
        <w:ind w:left="1" w:hanging="1"/>
        <w:spacing w:after="0" w:line="237" w:lineRule="auto"/>
        <w:tabs>
          <w:tab w:leader="none" w:pos="322" w:val="left"/>
        </w:tabs>
        <w:numPr>
          <w:ilvl w:val="0"/>
          <w:numId w:val="22"/>
        </w:numPr>
        <w:rPr>
          <w:rFonts w:ascii="Arial" w:cs="Arial" w:eastAsia="Arial" w:hAnsi="Arial"/>
          <w:sz w:val="22"/>
          <w:szCs w:val="22"/>
          <w:color w:val="auto"/>
        </w:rPr>
      </w:pPr>
      <w:r>
        <w:rPr>
          <w:rFonts w:ascii="Arial" w:cs="Arial" w:eastAsia="Arial" w:hAnsi="Arial"/>
          <w:sz w:val="22"/>
          <w:szCs w:val="22"/>
          <w:color w:val="auto"/>
        </w:rPr>
        <w:t>Borrower’s ability to timely pay the Obligations, or (d) the enforceability of the material terms of any Loan Documents.</w:t>
      </w:r>
    </w:p>
    <w:p>
      <w:pPr>
        <w:spacing w:after="0" w:line="185"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Matured LC Obligations</w:t>
      </w:r>
      <w:r>
        <w:rPr>
          <w:rFonts w:ascii="Arial" w:cs="Arial" w:eastAsia="Arial" w:hAnsi="Arial"/>
          <w:sz w:val="22"/>
          <w:szCs w:val="22"/>
          <w:color w:val="auto"/>
        </w:rPr>
        <w:t>” means all amounts paid by LC Issuer on drafts or demands for payment drawn or made under or purported to be made under any Letter of Credit and all other amounts due and owing to LC Issuer under any LC Application for any Letter of Credit, to the extent the same have not been repaid to LC Issuer (with the proceeds of Loans or otherwise).</w:t>
      </w:r>
    </w:p>
    <w:p>
      <w:pPr>
        <w:spacing w:after="0" w:line="185"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the fifth anniversary of the Amendment No. 5 Effective Date.</w:t>
      </w:r>
    </w:p>
    <w:p>
      <w:pPr>
        <w:spacing w:after="0" w:line="206" w:lineRule="exact"/>
        <w:rPr>
          <w:sz w:val="20"/>
          <w:szCs w:val="20"/>
          <w:color w:val="auto"/>
        </w:rPr>
      </w:pPr>
    </w:p>
    <w:p>
      <w:pPr>
        <w:jc w:val="both"/>
        <w:ind w:left="1"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Maximum Drawing Amount</w:t>
      </w:r>
      <w:r>
        <w:rPr>
          <w:rFonts w:ascii="Arial" w:cs="Arial" w:eastAsia="Arial" w:hAnsi="Arial"/>
          <w:sz w:val="19"/>
          <w:szCs w:val="19"/>
          <w:color w:val="auto"/>
        </w:rPr>
        <w:t>” means at the time in question the sum of the maximum amounts which LC Issuer might then or thereafter be called upon to advance under all Letters of Credit which are then outstanding.</w:t>
      </w:r>
    </w:p>
    <w:p>
      <w:pPr>
        <w:spacing w:after="0" w:line="105"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its successor.</w:t>
      </w:r>
    </w:p>
    <w:p>
      <w:pPr>
        <w:spacing w:after="0" w:line="206" w:lineRule="exact"/>
        <w:rPr>
          <w:sz w:val="20"/>
          <w:szCs w:val="20"/>
          <w:color w:val="auto"/>
        </w:rPr>
      </w:pPr>
    </w:p>
    <w:p>
      <w:pPr>
        <w:jc w:val="both"/>
        <w:ind w:left="1"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Casualty Proceeds</w:t>
      </w:r>
      <w:r>
        <w:rPr>
          <w:rFonts w:ascii="Arial" w:cs="Arial" w:eastAsia="Arial" w:hAnsi="Arial"/>
          <w:sz w:val="19"/>
          <w:szCs w:val="19"/>
          <w:color w:val="auto"/>
        </w:rPr>
        <w:t>” means (a) cash insurance proceeds (other than proceeds of business interruption insurance) received by Borrower or any of its Subsidiaries in connection with a loss, damage, destruction, or casualty of any or all of the assets of Borrower or any of its Subsidiaries (the “</w:t>
      </w:r>
      <w:r>
        <w:rPr>
          <w:rFonts w:ascii="Arial" w:cs="Arial" w:eastAsia="Arial" w:hAnsi="Arial"/>
          <w:sz w:val="19"/>
          <w:szCs w:val="19"/>
          <w:u w:val="single" w:color="auto"/>
          <w:color w:val="auto"/>
        </w:rPr>
        <w:t>Casualty Assets</w:t>
      </w:r>
      <w:r>
        <w:rPr>
          <w:rFonts w:ascii="Arial" w:cs="Arial" w:eastAsia="Arial" w:hAnsi="Arial"/>
          <w:sz w:val="19"/>
          <w:szCs w:val="19"/>
          <w:color w:val="auto"/>
        </w:rPr>
        <w:t xml:space="preserve">”), </w:t>
      </w:r>
      <w:r>
        <w:rPr>
          <w:rFonts w:ascii="Arial" w:cs="Arial" w:eastAsia="Arial" w:hAnsi="Arial"/>
          <w:sz w:val="19"/>
          <w:szCs w:val="19"/>
          <w:i w:val="1"/>
          <w:iCs w:val="1"/>
          <w:color w:val="auto"/>
        </w:rPr>
        <w:t>minus</w:t>
      </w:r>
      <w:r>
        <w:rPr>
          <w:rFonts w:ascii="Arial" w:cs="Arial" w:eastAsia="Arial" w:hAnsi="Arial"/>
          <w:sz w:val="19"/>
          <w:szCs w:val="19"/>
          <w:color w:val="auto"/>
        </w:rPr>
        <w:t xml:space="preserve"> (b) the amount of such cash insurance proceeds reinvested by the Borrower or any of its Subsidiaries, so long as such reinvestment is (i) consummated or irrevocably committed to be consummated within 365 days after the receipt of such proceeds and (ii) to restore, repair, or replace the Casualty Assets, or purchase other assets with substantially the same utility and in the same line of business as the Casualty Assets.</w:t>
      </w:r>
    </w:p>
    <w:p>
      <w:pPr>
        <w:spacing w:after="0" w:line="153"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Leverage Ratio</w:t>
      </w:r>
      <w:r>
        <w:rPr>
          <w:rFonts w:ascii="Arial" w:cs="Arial" w:eastAsia="Arial" w:hAnsi="Arial"/>
          <w:sz w:val="19"/>
          <w:szCs w:val="19"/>
          <w:color w:val="auto"/>
        </w:rPr>
        <w:t>” means the ratio, determined as of the end of each of Borrower’s Fiscal Quarters for the then most-recently ended four consecutive Fiscal Quarters, of (a) its Consolidated Total Indebtedness on such day minus the amount, if any, by which (i) its and its Subsidiaries’ cash and Cash Equivalents exceed</w:t>
      </w:r>
    </w:p>
    <w:p>
      <w:pPr>
        <w:spacing w:after="0" w:line="2" w:lineRule="exact"/>
        <w:rPr>
          <w:sz w:val="20"/>
          <w:szCs w:val="20"/>
          <w:color w:val="auto"/>
        </w:rPr>
      </w:pPr>
    </w:p>
    <w:p>
      <w:pPr>
        <w:jc w:val="both"/>
        <w:ind w:left="1" w:hanging="1"/>
        <w:spacing w:after="0" w:line="234" w:lineRule="auto"/>
        <w:tabs>
          <w:tab w:leader="none" w:pos="3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$20,000,000 to (b) its Consolidated EBITDA for such period. With respect to Non-Wholly Owned Subsidiaries, only that amount of cash and Cash Equivalents attributable to Borrower’s direct and indirect proportionate share shall be included for purposes of this calculation.</w:t>
      </w:r>
    </w:p>
    <w:p>
      <w:pPr>
        <w:spacing w:after="0" w:line="187"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Non-Wholly Owned Subsidiary</w:t>
      </w:r>
      <w:r>
        <w:rPr>
          <w:rFonts w:ascii="Arial" w:cs="Arial" w:eastAsia="Arial" w:hAnsi="Arial"/>
          <w:sz w:val="22"/>
          <w:szCs w:val="22"/>
          <w:color w:val="auto"/>
        </w:rPr>
        <w:t>” means, with respect to any Person, any entity in which such Person directly or indirectly owns equity interests which represent less than 100% of the total equity interests (other than qualifying shares required to be owned by directors) of such entity.</w:t>
      </w:r>
    </w:p>
    <w:p>
      <w:pPr>
        <w:spacing w:after="0" w:line="186"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means the Revolving Notes and the Swingline Note.</w:t>
      </w:r>
    </w:p>
    <w:p>
      <w:pPr>
        <w:spacing w:after="0" w:line="206"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all indebtedness, liabilities and obligations, whether matured or unmatured, liquidated or unliquidated, primary or secondary, direct or indirect, absolute, fixed or contingent, from time to time owing by any Restricted Person to any Lender Party under or pursuant to any of the Loan Documents, including all LC Obligations. “</w:t>
      </w:r>
      <w:r>
        <w:rPr>
          <w:rFonts w:ascii="Arial" w:cs="Arial" w:eastAsia="Arial" w:hAnsi="Arial"/>
          <w:sz w:val="22"/>
          <w:szCs w:val="22"/>
          <w:u w:val="single" w:color="auto"/>
          <w:color w:val="auto"/>
        </w:rPr>
        <w:t>Obligation</w:t>
      </w:r>
      <w:r>
        <w:rPr>
          <w:rFonts w:ascii="Arial" w:cs="Arial" w:eastAsia="Arial" w:hAnsi="Arial"/>
          <w:sz w:val="22"/>
          <w:szCs w:val="22"/>
          <w:color w:val="auto"/>
        </w:rPr>
        <w:t>” means any part of the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73" w:name="page74"/>
    <w:bookmarkEnd w:id="73"/>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means the U.S. Department of the Treasury’s Office of Foreign Assets Control.</w:t>
      </w:r>
    </w:p>
    <w:p>
      <w:pPr>
        <w:spacing w:after="0" w:line="20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Off-Balance Sheet Liability</w:t>
      </w:r>
      <w:r>
        <w:rPr>
          <w:rFonts w:ascii="Arial" w:cs="Arial" w:eastAsia="Arial" w:hAnsi="Arial"/>
          <w:sz w:val="22"/>
          <w:szCs w:val="22"/>
          <w:color w:val="auto"/>
        </w:rPr>
        <w:t>” of a Person means (a) any repurchase obligation or liability of such Person with respect to accounts or notes receivable sold by such Person, (b) Synthetic Lease Obligations, or (c) any obligation arising with respect to any other transaction which is the functional equivalent of or takes the place of borrowing but which does not constitute a liability on the balance sheets of such Person (but, for the avoidance of doubt, excluding any operating leases (as determined consistent with GAAP as in effect on the Closing Date) other than a Synthetic Lease).</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Operating Lease</w:t>
      </w:r>
      <w:r>
        <w:rPr>
          <w:rFonts w:ascii="Arial" w:cs="Arial" w:eastAsia="Arial" w:hAnsi="Arial"/>
          <w:sz w:val="22"/>
          <w:szCs w:val="22"/>
          <w:color w:val="auto"/>
        </w:rPr>
        <w:t>” means (i) an operating lease under GAAP, (ii) any lease that was treated as an operating lease under GAAP at the time it was entered into that later becomes a capital lease as a result of a change in GAAP during the life of such lease, including any renewals, and (iii) any lease entered into after the date of this Agreement that would have been considered an operating lease under the provisions of GAAP in effect as of December 31, 2017.</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Lender Party, Taxes imposed by reason of any present or former connection between such Lender Party and the jurisdiction imposing such Taxes (other than connections arising from such Lender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Percentage Share</w:t>
      </w:r>
      <w:r>
        <w:rPr>
          <w:rFonts w:ascii="Arial" w:cs="Arial" w:eastAsia="Arial" w:hAnsi="Arial"/>
          <w:sz w:val="21"/>
          <w:szCs w:val="21"/>
          <w:color w:val="auto"/>
        </w:rPr>
        <w:t xml:space="preserve">” means, with respect to any Lender (a) when used in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w:t>
      </w:r>
      <w:r>
        <w:rPr>
          <w:rFonts w:ascii="Arial" w:cs="Arial" w:eastAsia="Arial" w:hAnsi="Arial"/>
          <w:sz w:val="21"/>
          <w:szCs w:val="21"/>
          <w:u w:val="single" w:color="auto"/>
          <w:color w:val="auto"/>
        </w:rPr>
        <w:t>2.2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2.5</w:t>
      </w:r>
      <w:r>
        <w:rPr>
          <w:rFonts w:ascii="Arial" w:cs="Arial" w:eastAsia="Arial" w:hAnsi="Arial"/>
          <w:sz w:val="21"/>
          <w:szCs w:val="21"/>
          <w:color w:val="auto"/>
        </w:rPr>
        <w:t xml:space="preserve">, in any Borrowing Notice or when no Loans are outstanding hereunder, the percentage set forth opposite such Lender’s name on the Lenders Schedule or in the most recent Assignment and Acceptance, or Incremental Commitment Agreement, if any, executed by such Lender, as such amount may be adjusted, if at all, from time to time in accordance with this Agreement (including in connection with the reduction or termination of a Defaulting Lender’s Revolving Loan Commitment pursuant to </w:t>
      </w:r>
      <w:r>
        <w:rPr>
          <w:rFonts w:ascii="Arial" w:cs="Arial" w:eastAsia="Arial" w:hAnsi="Arial"/>
          <w:sz w:val="21"/>
          <w:szCs w:val="21"/>
          <w:u w:val="single" w:color="auto"/>
          <w:color w:val="auto"/>
        </w:rPr>
        <w:t>Section 2.18</w:t>
      </w:r>
      <w:r>
        <w:rPr>
          <w:rFonts w:ascii="Arial" w:cs="Arial" w:eastAsia="Arial" w:hAnsi="Arial"/>
          <w:sz w:val="21"/>
          <w:szCs w:val="21"/>
          <w:color w:val="auto"/>
        </w:rPr>
        <w:t xml:space="preserve">), and (b) when used otherwise, the percentage obtained by dividing (i) the sum of the unpaid principal balance of such Lender’s Loans at the time in question plus the Matured LC Obligations which such Lender has funded pursuant to </w:t>
      </w:r>
      <w:r>
        <w:rPr>
          <w:rFonts w:ascii="Arial" w:cs="Arial" w:eastAsia="Arial" w:hAnsi="Arial"/>
          <w:sz w:val="21"/>
          <w:szCs w:val="21"/>
          <w:u w:val="single" w:color="auto"/>
          <w:color w:val="auto"/>
        </w:rPr>
        <w:t>Section 2.11(c)</w:t>
      </w:r>
      <w:r>
        <w:rPr>
          <w:rFonts w:ascii="Arial" w:cs="Arial" w:eastAsia="Arial" w:hAnsi="Arial"/>
          <w:sz w:val="21"/>
          <w:szCs w:val="21"/>
          <w:color w:val="auto"/>
        </w:rPr>
        <w:t xml:space="preserve"> plus the portion of the Maximum Drawing Amount which such Lender might be obligated to fund under </w:t>
      </w:r>
      <w:r>
        <w:rPr>
          <w:rFonts w:ascii="Arial" w:cs="Arial" w:eastAsia="Arial" w:hAnsi="Arial"/>
          <w:sz w:val="21"/>
          <w:szCs w:val="21"/>
          <w:u w:val="single" w:color="auto"/>
          <w:color w:val="auto"/>
        </w:rPr>
        <w:t>Section 2.11(c)</w:t>
      </w:r>
      <w:r>
        <w:rPr>
          <w:rFonts w:ascii="Arial" w:cs="Arial" w:eastAsia="Arial" w:hAnsi="Arial"/>
          <w:sz w:val="21"/>
          <w:szCs w:val="21"/>
          <w:color w:val="auto"/>
        </w:rPr>
        <w:t>, by (ii) the sum of the aggregate unpaid principal balance of all Loans at such time plus the aggregate amount of LC Obligations outstanding at such time.</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Acquisition</w:t>
      </w:r>
      <w:r>
        <w:rPr>
          <w:rFonts w:ascii="Arial" w:cs="Arial" w:eastAsia="Arial" w:hAnsi="Arial"/>
          <w:sz w:val="22"/>
          <w:szCs w:val="22"/>
          <w:color w:val="auto"/>
        </w:rPr>
        <w:t xml:space="preserve">” means an Acquisition that is permitted by </w:t>
      </w:r>
      <w:r>
        <w:rPr>
          <w:rFonts w:ascii="Arial" w:cs="Arial" w:eastAsia="Arial" w:hAnsi="Arial"/>
          <w:sz w:val="22"/>
          <w:szCs w:val="22"/>
          <w:u w:val="single" w:color="auto"/>
          <w:color w:val="auto"/>
        </w:rPr>
        <w:t>Section 7.7(c)</w:t>
      </w:r>
      <w:r>
        <w:rPr>
          <w:rFonts w:ascii="Arial" w:cs="Arial" w:eastAsia="Arial" w:hAnsi="Arial"/>
          <w:sz w:val="22"/>
          <w:szCs w:val="22"/>
          <w:color w:val="auto"/>
        </w:rPr>
        <w: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06" w:lineRule="exact"/>
        <w:rPr>
          <w:sz w:val="20"/>
          <w:szCs w:val="20"/>
          <w:color w:val="auto"/>
        </w:rPr>
      </w:pPr>
    </w:p>
    <w:p>
      <w:pPr>
        <w:ind w:left="1320" w:hanging="672"/>
        <w:spacing w:after="0"/>
        <w:tabs>
          <w:tab w:leader="none" w:pos="13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Cash Equivalents;</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existing Investments described in the Disclosure Schedule;</w:t>
      </w:r>
    </w:p>
    <w:p>
      <w:pPr>
        <w:spacing w:after="0" w:line="206" w:lineRule="exact"/>
        <w:rPr>
          <w:rFonts w:ascii="Arial" w:cs="Arial" w:eastAsia="Arial" w:hAnsi="Arial"/>
          <w:sz w:val="22"/>
          <w:szCs w:val="22"/>
          <w:color w:val="auto"/>
        </w:rPr>
      </w:pPr>
    </w:p>
    <w:p>
      <w:pPr>
        <w:ind w:firstLine="648"/>
        <w:spacing w:after="0" w:line="274" w:lineRule="auto"/>
        <w:tabs>
          <w:tab w:leader="none" w:pos="1428" w:val="left"/>
        </w:tabs>
        <w:numPr>
          <w:ilvl w:val="0"/>
          <w:numId w:val="24"/>
        </w:numPr>
        <w:rPr>
          <w:rFonts w:ascii="Arial" w:cs="Arial" w:eastAsia="Arial" w:hAnsi="Arial"/>
          <w:sz w:val="21"/>
          <w:szCs w:val="21"/>
          <w:color w:val="auto"/>
        </w:rPr>
      </w:pPr>
      <w:r>
        <w:rPr>
          <w:rFonts w:ascii="Arial" w:cs="Arial" w:eastAsia="Arial" w:hAnsi="Arial"/>
          <w:sz w:val="21"/>
          <w:szCs w:val="21"/>
          <w:color w:val="auto"/>
        </w:rPr>
        <w:t>extensions of credit by Restricted Persons to their customers for buying goods and services in the ordinary course of business or to another Restricted Person in the ordinary course of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4" w:name="page75"/>
    <w:bookmarkEnd w:id="74"/>
    <w:p>
      <w:pPr>
        <w:ind w:firstLine="648"/>
        <w:spacing w:after="0" w:line="251" w:lineRule="auto"/>
        <w:tabs>
          <w:tab w:leader="none" w:pos="1346" w:val="left"/>
        </w:tabs>
        <w:numPr>
          <w:ilvl w:val="0"/>
          <w:numId w:val="25"/>
        </w:numPr>
        <w:rPr>
          <w:rFonts w:ascii="Arial" w:cs="Arial" w:eastAsia="Arial" w:hAnsi="Arial"/>
          <w:sz w:val="22"/>
          <w:szCs w:val="22"/>
          <w:color w:val="auto"/>
        </w:rPr>
      </w:pPr>
      <w:r>
        <w:rPr>
          <w:rFonts w:ascii="Arial" w:cs="Arial" w:eastAsia="Arial" w:hAnsi="Arial"/>
          <w:sz w:val="22"/>
          <w:szCs w:val="22"/>
          <w:color w:val="auto"/>
        </w:rPr>
        <w:t>extensions of credit among Restricted Persons which are subordinated to the Obligations upon terms and conditions reasonably satisfactory to the Agent;</w:t>
      </w:r>
    </w:p>
    <w:p>
      <w:pPr>
        <w:spacing w:after="0" w:line="173" w:lineRule="exact"/>
        <w:rPr>
          <w:rFonts w:ascii="Arial" w:cs="Arial" w:eastAsia="Arial" w:hAnsi="Arial"/>
          <w:sz w:val="22"/>
          <w:szCs w:val="22"/>
          <w:color w:val="auto"/>
        </w:rPr>
      </w:pPr>
    </w:p>
    <w:p>
      <w:pPr>
        <w:ind w:left="1320" w:hanging="672"/>
        <w:spacing w:after="0"/>
        <w:tabs>
          <w:tab w:leader="none" w:pos="13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Investments by Restricted Persons in the Equity of Subsidiaries of the Borrower;</w:t>
      </w:r>
    </w:p>
    <w:p>
      <w:pPr>
        <w:spacing w:after="0" w:line="206" w:lineRule="exact"/>
        <w:rPr>
          <w:rFonts w:ascii="Arial" w:cs="Arial" w:eastAsia="Arial" w:hAnsi="Arial"/>
          <w:sz w:val="22"/>
          <w:szCs w:val="22"/>
          <w:color w:val="auto"/>
        </w:rPr>
      </w:pPr>
    </w:p>
    <w:p>
      <w:pPr>
        <w:ind w:firstLine="648"/>
        <w:spacing w:after="0" w:line="251" w:lineRule="auto"/>
        <w:tabs>
          <w:tab w:leader="none" w:pos="1553"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Investments by Restricted Persons in the Equity of another Person made in connection with a Permitted Acquisition;</w:t>
      </w:r>
    </w:p>
    <w:p>
      <w:pPr>
        <w:spacing w:after="0" w:line="173" w:lineRule="exact"/>
        <w:rPr>
          <w:rFonts w:ascii="Arial" w:cs="Arial" w:eastAsia="Arial" w:hAnsi="Arial"/>
          <w:sz w:val="22"/>
          <w:szCs w:val="22"/>
          <w:color w:val="auto"/>
        </w:rPr>
      </w:pPr>
    </w:p>
    <w:p>
      <w:pPr>
        <w:ind w:left="1340" w:hanging="692"/>
        <w:spacing w:after="0"/>
        <w:tabs>
          <w:tab w:leader="none" w:pos="13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repurchases by Restricted Persons of their Equity that are permitted pursuant to </w:t>
      </w:r>
      <w:r>
        <w:rPr>
          <w:rFonts w:ascii="Arial" w:cs="Arial" w:eastAsia="Arial" w:hAnsi="Arial"/>
          <w:sz w:val="19"/>
          <w:szCs w:val="19"/>
          <w:u w:val="single" w:color="auto"/>
          <w:color w:val="auto"/>
        </w:rPr>
        <w:t>Section 7.6</w:t>
      </w:r>
      <w:r>
        <w:rPr>
          <w:rFonts w:ascii="Arial" w:cs="Arial" w:eastAsia="Arial" w:hAnsi="Arial"/>
          <w:sz w:val="19"/>
          <w:szCs w:val="19"/>
          <w:color w:val="auto"/>
        </w:rPr>
        <w:t>; and</w:t>
      </w:r>
    </w:p>
    <w:p>
      <w:pPr>
        <w:spacing w:after="0" w:line="240" w:lineRule="exact"/>
        <w:rPr>
          <w:rFonts w:ascii="Arial" w:cs="Arial" w:eastAsia="Arial" w:hAnsi="Arial"/>
          <w:sz w:val="19"/>
          <w:szCs w:val="19"/>
          <w:color w:val="auto"/>
        </w:rPr>
      </w:pPr>
    </w:p>
    <w:p>
      <w:pPr>
        <w:ind w:firstLine="648"/>
        <w:spacing w:after="0" w:line="251" w:lineRule="auto"/>
        <w:tabs>
          <w:tab w:leader="none" w:pos="1373"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any Investment made as a result of the receipt of non-cash consideration from a sale, transfer, lease, exchange, alienation, or disposition of assets that is permitted pursuant to </w:t>
      </w:r>
      <w:r>
        <w:rPr>
          <w:rFonts w:ascii="Arial" w:cs="Arial" w:eastAsia="Arial" w:hAnsi="Arial"/>
          <w:sz w:val="22"/>
          <w:szCs w:val="22"/>
          <w:u w:val="single" w:color="auto"/>
          <w:color w:val="auto"/>
        </w:rPr>
        <w:t>Section 7.5</w:t>
      </w:r>
      <w:r>
        <w:rPr>
          <w:rFonts w:ascii="Arial" w:cs="Arial" w:eastAsia="Arial" w:hAnsi="Arial"/>
          <w:sz w:val="22"/>
          <w:szCs w:val="22"/>
          <w:color w:val="auto"/>
        </w:rPr>
        <w: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w:t>
      </w:r>
    </w:p>
    <w:p>
      <w:pPr>
        <w:spacing w:after="0" w:line="206" w:lineRule="exact"/>
        <w:rPr>
          <w:sz w:val="20"/>
          <w:szCs w:val="20"/>
          <w:color w:val="auto"/>
        </w:rPr>
      </w:pPr>
    </w:p>
    <w:p>
      <w:pPr>
        <w:jc w:val="both"/>
        <w:ind w:firstLine="648"/>
        <w:spacing w:after="0"/>
        <w:tabs>
          <w:tab w:leader="none" w:pos="1469" w:val="left"/>
        </w:tabs>
        <w:numPr>
          <w:ilvl w:val="0"/>
          <w:numId w:val="26"/>
        </w:numPr>
        <w:rPr>
          <w:rFonts w:ascii="Arial" w:cs="Arial" w:eastAsia="Arial" w:hAnsi="Arial"/>
          <w:sz w:val="22"/>
          <w:szCs w:val="22"/>
          <w:color w:val="auto"/>
        </w:rPr>
      </w:pPr>
      <w:r>
        <w:rPr>
          <w:rFonts w:ascii="Arial" w:cs="Arial" w:eastAsia="Arial" w:hAnsi="Arial"/>
          <w:sz w:val="22"/>
          <w:szCs w:val="22"/>
          <w:color w:val="auto"/>
        </w:rPr>
        <w:t>statutory Liens for Taxes, assessments or other governmental charges or levies which are not yet delinquent or which are being contested in good faith by appropriate action and for which adequate reserves have been maintained in accordance with GAAP;</w:t>
      </w:r>
    </w:p>
    <w:p>
      <w:pPr>
        <w:spacing w:after="0" w:line="186" w:lineRule="exact"/>
        <w:rPr>
          <w:rFonts w:ascii="Arial" w:cs="Arial" w:eastAsia="Arial" w:hAnsi="Arial"/>
          <w:sz w:val="22"/>
          <w:szCs w:val="22"/>
          <w:color w:val="auto"/>
        </w:rPr>
      </w:pPr>
    </w:p>
    <w:p>
      <w:pPr>
        <w:jc w:val="both"/>
        <w:ind w:firstLine="648"/>
        <w:spacing w:after="0" w:line="287" w:lineRule="auto"/>
        <w:tabs>
          <w:tab w:leader="none" w:pos="1332" w:val="left"/>
        </w:tabs>
        <w:numPr>
          <w:ilvl w:val="0"/>
          <w:numId w:val="26"/>
        </w:numPr>
        <w:rPr>
          <w:rFonts w:ascii="Arial" w:cs="Arial" w:eastAsia="Arial" w:hAnsi="Arial"/>
          <w:sz w:val="19"/>
          <w:szCs w:val="19"/>
          <w:color w:val="auto"/>
        </w:rPr>
      </w:pPr>
      <w:r>
        <w:rPr>
          <w:rFonts w:ascii="Arial" w:cs="Arial" w:eastAsia="Arial" w:hAnsi="Arial"/>
          <w:sz w:val="19"/>
          <w:szCs w:val="19"/>
          <w:color w:val="auto"/>
        </w:rPr>
        <w:t>landlords’, operators’, carriers’, warehousemen’s, repairmen’s, mechanics’, materialmen’s, worker’s, suppliers or other like Liens, in each case only to the extent arising in the ordinary course of business and only to the extent securing obligations (i) which are not delinquent or which are being contested in good faith by appropriate proceedings; and (ii) for which adequate reserves have been maintained in accordance with GAAP;</w:t>
      </w:r>
    </w:p>
    <w:p>
      <w:pPr>
        <w:spacing w:after="0" w:line="143" w:lineRule="exact"/>
        <w:rPr>
          <w:rFonts w:ascii="Arial" w:cs="Arial" w:eastAsia="Arial" w:hAnsi="Arial"/>
          <w:sz w:val="19"/>
          <w:szCs w:val="19"/>
          <w:color w:val="auto"/>
        </w:rPr>
      </w:pPr>
    </w:p>
    <w:p>
      <w:pPr>
        <w:jc w:val="both"/>
        <w:ind w:firstLine="648"/>
        <w:spacing w:after="0"/>
        <w:tabs>
          <w:tab w:leader="none" w:pos="1536" w:val="left"/>
        </w:tabs>
        <w:numPr>
          <w:ilvl w:val="0"/>
          <w:numId w:val="26"/>
        </w:numPr>
        <w:rPr>
          <w:rFonts w:ascii="Arial" w:cs="Arial" w:eastAsia="Arial" w:hAnsi="Arial"/>
          <w:sz w:val="22"/>
          <w:szCs w:val="22"/>
          <w:color w:val="auto"/>
        </w:rPr>
      </w:pPr>
      <w:r>
        <w:rPr>
          <w:rFonts w:ascii="Arial" w:cs="Arial" w:eastAsia="Arial" w:hAnsi="Arial"/>
          <w:sz w:val="22"/>
          <w:szCs w:val="22"/>
          <w:color w:val="auto"/>
        </w:rPr>
        <w:t>zoning restrictions, easements, licenses, and minor defects and irregularities in title to any real property, so long as such defects and irregularities do not materially impair the value of such property or the use of such property for the purposes for which such property is held;</w:t>
      </w:r>
    </w:p>
    <w:p>
      <w:pPr>
        <w:spacing w:after="0" w:line="186" w:lineRule="exact"/>
        <w:rPr>
          <w:rFonts w:ascii="Arial" w:cs="Arial" w:eastAsia="Arial" w:hAnsi="Arial"/>
          <w:sz w:val="22"/>
          <w:szCs w:val="22"/>
          <w:color w:val="auto"/>
        </w:rPr>
      </w:pPr>
    </w:p>
    <w:p>
      <w:pPr>
        <w:jc w:val="both"/>
        <w:ind w:firstLine="648"/>
        <w:spacing w:after="0" w:line="236" w:lineRule="auto"/>
        <w:tabs>
          <w:tab w:leader="none" w:pos="1346" w:val="left"/>
        </w:tabs>
        <w:numPr>
          <w:ilvl w:val="0"/>
          <w:numId w:val="26"/>
        </w:numPr>
        <w:rPr>
          <w:rFonts w:ascii="Arial" w:cs="Arial" w:eastAsia="Arial" w:hAnsi="Arial"/>
          <w:sz w:val="22"/>
          <w:szCs w:val="22"/>
          <w:color w:val="auto"/>
        </w:rPr>
      </w:pPr>
      <w:r>
        <w:rPr>
          <w:rFonts w:ascii="Arial" w:cs="Arial" w:eastAsia="Arial" w:hAnsi="Arial"/>
          <w:sz w:val="22"/>
          <w:szCs w:val="22"/>
          <w:color w:val="auto"/>
        </w:rPr>
        <w:t>pledges or deposits of cash or securities to secure (i) the performance of bids, trade contracts, leases, statutory obligations and other obligations of a like nature (excluding appeal bonds) incurred in the ordinary course of business; (ii) obligations under worker’s compensation, unemployment insurance, social security, or public Laws or similar legislation (excluding Liens arising under ERISA); or (iii) letters of credit that support obligations described in clause (i) or (ii) above;</w:t>
      </w:r>
    </w:p>
    <w:p>
      <w:pPr>
        <w:spacing w:after="0" w:line="187" w:lineRule="exact"/>
        <w:rPr>
          <w:rFonts w:ascii="Arial" w:cs="Arial" w:eastAsia="Arial" w:hAnsi="Arial"/>
          <w:sz w:val="22"/>
          <w:szCs w:val="22"/>
          <w:color w:val="auto"/>
        </w:rPr>
      </w:pPr>
    </w:p>
    <w:p>
      <w:pPr>
        <w:ind w:left="1320" w:hanging="672"/>
        <w:spacing w:after="0"/>
        <w:tabs>
          <w:tab w:leader="none" w:pos="13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Liens under the Security Documents;</w:t>
      </w:r>
    </w:p>
    <w:p>
      <w:pPr>
        <w:spacing w:after="0" w:line="206" w:lineRule="exact"/>
        <w:rPr>
          <w:rFonts w:ascii="Arial" w:cs="Arial" w:eastAsia="Arial" w:hAnsi="Arial"/>
          <w:sz w:val="22"/>
          <w:szCs w:val="22"/>
          <w:color w:val="auto"/>
        </w:rPr>
      </w:pPr>
    </w:p>
    <w:p>
      <w:pPr>
        <w:ind w:firstLine="648"/>
        <w:spacing w:after="0" w:line="251" w:lineRule="auto"/>
        <w:tabs>
          <w:tab w:leader="none" w:pos="1458" w:val="left"/>
        </w:tabs>
        <w:numPr>
          <w:ilvl w:val="0"/>
          <w:numId w:val="26"/>
        </w:numPr>
        <w:rPr>
          <w:rFonts w:ascii="Arial" w:cs="Arial" w:eastAsia="Arial" w:hAnsi="Arial"/>
          <w:sz w:val="22"/>
          <w:szCs w:val="22"/>
          <w:color w:val="auto"/>
        </w:rPr>
      </w:pPr>
      <w:r>
        <w:rPr>
          <w:rFonts w:ascii="Arial" w:cs="Arial" w:eastAsia="Arial" w:hAnsi="Arial"/>
          <w:sz w:val="22"/>
          <w:szCs w:val="22"/>
          <w:color w:val="auto"/>
        </w:rPr>
        <w:t>with respect only to property subject to any particular Security Document, Liens burdening such property which are expressly allowed by such Security Document;</w:t>
      </w:r>
    </w:p>
    <w:p>
      <w:pPr>
        <w:spacing w:after="0" w:line="173" w:lineRule="exact"/>
        <w:rPr>
          <w:rFonts w:ascii="Arial" w:cs="Arial" w:eastAsia="Arial" w:hAnsi="Arial"/>
          <w:sz w:val="22"/>
          <w:szCs w:val="22"/>
          <w:color w:val="auto"/>
        </w:rPr>
      </w:pPr>
    </w:p>
    <w:p>
      <w:pPr>
        <w:ind w:left="1340" w:hanging="692"/>
        <w:spacing w:after="0"/>
        <w:tabs>
          <w:tab w:leader="none" w:pos="134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any Lien in favor of a surety that is subject to the provisions of an Intercreditor Agreement;</w:t>
      </w:r>
    </w:p>
    <w:p>
      <w:pPr>
        <w:spacing w:after="0" w:line="217" w:lineRule="exact"/>
        <w:rPr>
          <w:rFonts w:ascii="Arial" w:cs="Arial" w:eastAsia="Arial" w:hAnsi="Arial"/>
          <w:sz w:val="21"/>
          <w:szCs w:val="21"/>
          <w:color w:val="auto"/>
        </w:rPr>
      </w:pPr>
    </w:p>
    <w:p>
      <w:pPr>
        <w:ind w:firstLine="648"/>
        <w:spacing w:after="0" w:line="251" w:lineRule="auto"/>
        <w:tabs>
          <w:tab w:leader="none" w:pos="1332" w:val="left"/>
        </w:tabs>
        <w:numPr>
          <w:ilvl w:val="0"/>
          <w:numId w:val="26"/>
        </w:numPr>
        <w:rPr>
          <w:rFonts w:ascii="Arial" w:cs="Arial" w:eastAsia="Arial" w:hAnsi="Arial"/>
          <w:sz w:val="22"/>
          <w:szCs w:val="22"/>
          <w:color w:val="auto"/>
        </w:rPr>
      </w:pPr>
      <w:r>
        <w:rPr>
          <w:rFonts w:ascii="Arial" w:cs="Arial" w:eastAsia="Arial" w:hAnsi="Arial"/>
          <w:sz w:val="22"/>
          <w:szCs w:val="22"/>
          <w:color w:val="auto"/>
        </w:rPr>
        <w:t>deposits securing, or in lieu of, surety, appeal or customs bonds in proceedings to which Borrower or any of its Subsidiaries is a party;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5" w:name="page76"/>
    <w:bookmarkEnd w:id="75"/>
    <w:p>
      <w:pPr>
        <w:ind w:left="1340" w:hanging="692"/>
        <w:spacing w:after="0"/>
        <w:tabs>
          <w:tab w:leader="none" w:pos="13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any attachment or judgment Lien not constituting an Event of Default under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648"/>
        <w:spacing w:after="0" w:line="251" w:lineRule="auto"/>
        <w:tabs>
          <w:tab w:leader="none" w:pos="1406"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Liens existing on the date hereof and renewals and extensions thereof, which Liens are set forth on </w:t>
      </w:r>
      <w:r>
        <w:rPr>
          <w:rFonts w:ascii="Arial" w:cs="Arial" w:eastAsia="Arial" w:hAnsi="Arial"/>
          <w:sz w:val="22"/>
          <w:szCs w:val="22"/>
          <w:u w:val="single" w:color="auto"/>
          <w:color w:val="auto"/>
        </w:rPr>
        <w:t>Schedule 1.1(a)</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firstLine="648"/>
        <w:spacing w:after="0" w:line="251" w:lineRule="auto"/>
        <w:tabs>
          <w:tab w:leader="none" w:pos="1332"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by </w:t>
      </w:r>
      <w:r>
        <w:rPr>
          <w:rFonts w:ascii="Arial" w:cs="Arial" w:eastAsia="Arial" w:hAnsi="Arial"/>
          <w:sz w:val="22"/>
          <w:szCs w:val="22"/>
          <w:u w:val="single" w:color="auto"/>
          <w:color w:val="auto"/>
        </w:rPr>
        <w:t>Section 7.1(c)</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attach only to the assets financed by such Indebtedness and any proceeds thereof;</w:t>
      </w:r>
    </w:p>
    <w:p>
      <w:pPr>
        <w:spacing w:after="0" w:line="173" w:lineRule="exact"/>
        <w:rPr>
          <w:rFonts w:ascii="Arial" w:cs="Arial" w:eastAsia="Arial" w:hAnsi="Arial"/>
          <w:sz w:val="22"/>
          <w:szCs w:val="22"/>
          <w:color w:val="auto"/>
        </w:rPr>
      </w:pPr>
    </w:p>
    <w:p>
      <w:pPr>
        <w:ind w:firstLine="648"/>
        <w:spacing w:after="0" w:line="251" w:lineRule="auto"/>
        <w:tabs>
          <w:tab w:leader="none" w:pos="1676" w:val="left"/>
        </w:tabs>
        <w:numPr>
          <w:ilvl w:val="0"/>
          <w:numId w:val="27"/>
        </w:numPr>
        <w:rPr>
          <w:rFonts w:ascii="Arial" w:cs="Arial" w:eastAsia="Arial" w:hAnsi="Arial"/>
          <w:sz w:val="22"/>
          <w:szCs w:val="22"/>
          <w:color w:val="auto"/>
        </w:rPr>
      </w:pPr>
      <w:r>
        <w:rPr>
          <w:rFonts w:ascii="Arial" w:cs="Arial" w:eastAsia="Arial" w:hAnsi="Arial"/>
          <w:sz w:val="22"/>
          <w:szCs w:val="22"/>
          <w:color w:val="auto"/>
        </w:rPr>
        <w:t>common law security interests of a surety in the actual proceeds of a project subject to the underlying surety bond provided by such surety;</w:t>
      </w:r>
    </w:p>
    <w:p>
      <w:pPr>
        <w:spacing w:after="0" w:line="173" w:lineRule="exact"/>
        <w:rPr>
          <w:rFonts w:ascii="Arial" w:cs="Arial" w:eastAsia="Arial" w:hAnsi="Arial"/>
          <w:sz w:val="22"/>
          <w:szCs w:val="22"/>
          <w:color w:val="auto"/>
        </w:rPr>
      </w:pPr>
    </w:p>
    <w:p>
      <w:pPr>
        <w:ind w:left="1560" w:hanging="912"/>
        <w:spacing w:after="0"/>
        <w:tabs>
          <w:tab w:leader="none" w:pos="1560" w:val="left"/>
        </w:tabs>
        <w:numPr>
          <w:ilvl w:val="0"/>
          <w:numId w:val="27"/>
        </w:numPr>
        <w:rPr>
          <w:rFonts w:ascii="Arial" w:cs="Arial" w:eastAsia="Arial" w:hAnsi="Arial"/>
          <w:sz w:val="21"/>
          <w:szCs w:val="21"/>
          <w:color w:val="auto"/>
        </w:rPr>
      </w:pPr>
      <w:r>
        <w:rPr>
          <w:rFonts w:ascii="Arial" w:cs="Arial" w:eastAsia="Arial" w:hAnsi="Arial"/>
          <w:sz w:val="21"/>
          <w:szCs w:val="21"/>
          <w:color w:val="auto"/>
        </w:rPr>
        <w:t>inchoate Liens arising under ERISA to secure contingent Liabilities of Borrower or any of its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Subsidiaries;</w:t>
      </w:r>
    </w:p>
    <w:p>
      <w:pPr>
        <w:spacing w:after="0" w:line="188" w:lineRule="exact"/>
        <w:rPr>
          <w:rFonts w:ascii="Arial" w:cs="Arial" w:eastAsia="Arial" w:hAnsi="Arial"/>
          <w:sz w:val="21"/>
          <w:szCs w:val="21"/>
          <w:color w:val="auto"/>
        </w:rPr>
      </w:pPr>
    </w:p>
    <w:p>
      <w:pPr>
        <w:jc w:val="both"/>
        <w:ind w:firstLine="648"/>
        <w:spacing w:after="0" w:line="247" w:lineRule="auto"/>
        <w:tabs>
          <w:tab w:leader="none" w:pos="1359" w:val="left"/>
        </w:tabs>
        <w:numPr>
          <w:ilvl w:val="0"/>
          <w:numId w:val="27"/>
        </w:numPr>
        <w:rPr>
          <w:rFonts w:ascii="Arial" w:cs="Arial" w:eastAsia="Arial" w:hAnsi="Arial"/>
          <w:sz w:val="21"/>
          <w:szCs w:val="21"/>
          <w:color w:val="auto"/>
        </w:rPr>
      </w:pPr>
      <w:r>
        <w:rPr>
          <w:rFonts w:ascii="Arial" w:cs="Arial" w:eastAsia="Arial" w:hAnsi="Arial"/>
          <w:sz w:val="21"/>
          <w:szCs w:val="21"/>
          <w:color w:val="auto"/>
        </w:rPr>
        <w:t xml:space="preserve">Liens securing Indebtedness permitted by </w:t>
      </w:r>
      <w:r>
        <w:rPr>
          <w:rFonts w:ascii="Arial" w:cs="Arial" w:eastAsia="Arial" w:hAnsi="Arial"/>
          <w:sz w:val="21"/>
          <w:szCs w:val="21"/>
          <w:u w:val="single" w:color="auto"/>
          <w:color w:val="auto"/>
        </w:rPr>
        <w:t>Section 7.1(h)</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such Liens existed at the time such Person became a Subsidiary of the Borrower or at the time such assets were acquired, as the case may be, and were not created in anticipation thereof, (ii) such Liens do not apply to any property or assets of the Borrower or its Subsidiaries, as the case may be, other than (A) the assets of such Person that has become a Subsidiary of the Borrower and such Person’s Subsidiaries or (B) such acquired assets and their proceeds, and (iii) such Liens secure only those obligations that they secured on the date such Person became a Subsidiary of the Borrower or at the time such assets were acquired, as the case may be;</w:t>
      </w:r>
    </w:p>
    <w:p>
      <w:pPr>
        <w:spacing w:after="0" w:line="178" w:lineRule="exact"/>
        <w:rPr>
          <w:rFonts w:ascii="Arial" w:cs="Arial" w:eastAsia="Arial" w:hAnsi="Arial"/>
          <w:sz w:val="21"/>
          <w:szCs w:val="21"/>
          <w:color w:val="auto"/>
        </w:rPr>
      </w:pPr>
    </w:p>
    <w:p>
      <w:pPr>
        <w:ind w:left="1340" w:hanging="692"/>
        <w:spacing w:after="0"/>
        <w:tabs>
          <w:tab w:leader="none" w:pos="13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Liens securing Indebtedness permitted by </w:t>
      </w:r>
      <w:r>
        <w:rPr>
          <w:rFonts w:ascii="Arial" w:cs="Arial" w:eastAsia="Arial" w:hAnsi="Arial"/>
          <w:sz w:val="22"/>
          <w:szCs w:val="22"/>
          <w:u w:val="single" w:color="auto"/>
          <w:color w:val="auto"/>
        </w:rPr>
        <w:t>Section 7.1(j)</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Liens in respect of Operating Leases; and</w:t>
      </w:r>
    </w:p>
    <w:p>
      <w:pPr>
        <w:spacing w:after="0" w:line="206" w:lineRule="exact"/>
        <w:rPr>
          <w:rFonts w:ascii="Arial" w:cs="Arial" w:eastAsia="Arial" w:hAnsi="Arial"/>
          <w:sz w:val="22"/>
          <w:szCs w:val="22"/>
          <w:color w:val="auto"/>
        </w:rPr>
      </w:pPr>
    </w:p>
    <w:p>
      <w:pPr>
        <w:ind w:firstLine="648"/>
        <w:spacing w:after="0" w:line="251" w:lineRule="auto"/>
        <w:tabs>
          <w:tab w:leader="none" w:pos="1657" w:val="left"/>
        </w:tabs>
        <w:numPr>
          <w:ilvl w:val="0"/>
          <w:numId w:val="27"/>
        </w:numPr>
        <w:rPr>
          <w:rFonts w:ascii="Arial" w:cs="Arial" w:eastAsia="Arial" w:hAnsi="Arial"/>
          <w:sz w:val="22"/>
          <w:szCs w:val="22"/>
          <w:color w:val="auto"/>
        </w:rPr>
      </w:pPr>
      <w:r>
        <w:rPr>
          <w:rFonts w:ascii="Arial" w:cs="Arial" w:eastAsia="Arial" w:hAnsi="Arial"/>
          <w:sz w:val="22"/>
          <w:szCs w:val="22"/>
          <w:color w:val="auto"/>
        </w:rPr>
        <w:t>Liens on amounts escrowed or otherwise set aside in connection with a proposed Permitted Acquisition, Permitted Investment or other disposition permitted hereunder.</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 individual, corporation, general partnership, limited partnership, limited liability company, association, joint stock company, trust or trustee thereof, estate or executor thereof, Tribunal, or any other legally recognizable entity.</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Prescribed Forms</w:t>
      </w:r>
      <w:r>
        <w:rPr>
          <w:rFonts w:ascii="Arial" w:cs="Arial" w:eastAsia="Arial" w:hAnsi="Arial"/>
          <w:sz w:val="21"/>
          <w:szCs w:val="21"/>
          <w:color w:val="auto"/>
        </w:rPr>
        <w:t xml:space="preserve">” means (i) in the case of a Foreign Lender claiming the benefits of an income tax treaty to which the United States is a party (x) with respect to payments of interest under any Loan Document, executed copies of IRS Form W-8BEN, or W-8BEN-E, as applicable (or successor form),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 (ii) executed copies of IRS Form W-8ECI; (iii) in the case of a Foreign Lender claiming the benefits of the exemption for portfolio interest under Section 881(c) of the Code, (x) a certificate substantially in the form of </w:t>
      </w:r>
      <w:r>
        <w:rPr>
          <w:rFonts w:ascii="Arial" w:cs="Arial" w:eastAsia="Arial" w:hAnsi="Arial"/>
          <w:sz w:val="21"/>
          <w:szCs w:val="21"/>
          <w:u w:val="single" w:color="auto"/>
          <w:color w:val="auto"/>
        </w:rPr>
        <w:t>Exhibit 1.1-1</w:t>
      </w:r>
      <w:r>
        <w:rPr>
          <w:rFonts w:ascii="Arial" w:cs="Arial" w:eastAsia="Arial" w:hAnsi="Arial"/>
          <w:sz w:val="21"/>
          <w:szCs w:val="21"/>
          <w:color w:val="auto"/>
        </w:rPr>
        <w:t xml:space="preserve"> to the effect that such Foreign Lender is not a “bank” within the meaning of Section 881(c)(3)(A) of the Code, a “10 percent shareholder” of Borrower within the meaning of Section 881(c)(3)(B) of the Code, or a “controlled foreign corporation” described in Section 881(c)(3)(C) of the Code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6" w:name="page77"/>
    <w:bookmarkEnd w:id="76"/>
    <w:p>
      <w:pPr>
        <w:ind w:left="1"/>
        <w:spacing w:after="0"/>
        <w:rPr>
          <w:sz w:val="20"/>
          <w:szCs w:val="20"/>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copies of IRS Form W-8BEN or W-8BEN-E, as applicable;</w:t>
      </w:r>
    </w:p>
    <w:p>
      <w:pPr>
        <w:spacing w:after="0" w:line="43" w:lineRule="exact"/>
        <w:rPr>
          <w:sz w:val="20"/>
          <w:szCs w:val="20"/>
          <w:color w:val="auto"/>
        </w:rPr>
      </w:pPr>
    </w:p>
    <w:p>
      <w:pPr>
        <w:jc w:val="both"/>
        <w:ind w:left="1" w:hanging="1"/>
        <w:spacing w:after="0" w:line="272" w:lineRule="auto"/>
        <w:tabs>
          <w:tab w:leader="none" w:pos="370"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copies of IRS Form W-8IMY, accompanied by IRS Form W-8ECI, IRS Form W-8BEN or W-8BEN-E, as applicable (or successor form), a U.S. Tax Compliance Certificate substantially in the form of </w:t>
      </w:r>
      <w:r>
        <w:rPr>
          <w:rFonts w:ascii="Arial" w:cs="Arial" w:eastAsia="Arial" w:hAnsi="Arial"/>
          <w:sz w:val="19"/>
          <w:szCs w:val="19"/>
          <w:u w:val="single" w:color="auto"/>
          <w:color w:val="auto"/>
        </w:rPr>
        <w:t>Exhibit 1.1-2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1.1-3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1.1-4</w:t>
      </w:r>
      <w:r>
        <w:rPr>
          <w:rFonts w:ascii="Arial" w:cs="Arial" w:eastAsia="Arial" w:hAnsi="Arial"/>
          <w:sz w:val="19"/>
          <w:szCs w:val="19"/>
          <w:color w:val="auto"/>
        </w:rPr>
        <w:t xml:space="preserve"> on behalf of each such direct and indirect partner; and/or (v) executed copies of any other form prescribed by applicable law as a basis for claiming exemption from or a reduction in U.S. federal withholding Tax, duly completed, together with such supplementary documentation as may be prescribed by applicable law.</w:t>
      </w:r>
    </w:p>
    <w:p>
      <w:pPr>
        <w:spacing w:after="0" w:line="157"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Pricing Schedule</w:t>
      </w:r>
      <w:r>
        <w:rPr>
          <w:rFonts w:ascii="Arial" w:cs="Arial" w:eastAsia="Arial" w:hAnsi="Arial"/>
          <w:sz w:val="22"/>
          <w:szCs w:val="22"/>
          <w:color w:val="auto"/>
        </w:rPr>
        <w:t>” means the Schedule attached hereto identified as such.</w:t>
      </w:r>
    </w:p>
    <w:p>
      <w:pPr>
        <w:spacing w:after="0" w:line="206"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Agent</w:t>
      </w:r>
      <w:r>
        <w:rPr>
          <w:rFonts w:ascii="Arial" w:cs="Arial" w:eastAsia="Arial" w:hAnsi="Arial"/>
          <w:sz w:val="22"/>
          <w:szCs w:val="22"/>
          <w:color w:val="auto"/>
        </w:rPr>
        <w:t>” means Capital One, N.A., a national banking association formerly known as Hibernia National Bank, in its capacity as agent under the Prior Credit Documents.</w:t>
      </w:r>
    </w:p>
    <w:p>
      <w:pPr>
        <w:spacing w:after="0" w:line="173" w:lineRule="exact"/>
        <w:rPr>
          <w:sz w:val="20"/>
          <w:szCs w:val="20"/>
          <w:color w:val="auto"/>
        </w:rPr>
      </w:pPr>
    </w:p>
    <w:p>
      <w:pPr>
        <w:jc w:val="both"/>
        <w:ind w:left="1"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 Credit Agreement</w:t>
      </w:r>
      <w:r>
        <w:rPr>
          <w:rFonts w:ascii="Arial" w:cs="Arial" w:eastAsia="Arial" w:hAnsi="Arial"/>
          <w:sz w:val="22"/>
          <w:szCs w:val="22"/>
          <w:color w:val="auto"/>
        </w:rPr>
        <w:t>” means that certain Credit Agreement dated as of June 30, 2005, as amended from time to time heretofore, among Borrower, the Prior Agent, as agent and a lender thereunder, and the other financial institutions party thereto, as lenders.</w:t>
      </w:r>
    </w:p>
    <w:p>
      <w:pPr>
        <w:spacing w:after="0" w:line="186" w:lineRule="exact"/>
        <w:rPr>
          <w:sz w:val="20"/>
          <w:szCs w:val="20"/>
          <w:color w:val="auto"/>
        </w:rPr>
      </w:pPr>
    </w:p>
    <w:p>
      <w:pPr>
        <w:jc w:val="both"/>
        <w:ind w:left="1"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Prior Credit Documents</w:t>
      </w:r>
      <w:r>
        <w:rPr>
          <w:rFonts w:ascii="Arial" w:cs="Arial" w:eastAsia="Arial" w:hAnsi="Arial"/>
          <w:sz w:val="19"/>
          <w:szCs w:val="19"/>
          <w:color w:val="auto"/>
        </w:rPr>
        <w:t>” means the Prior Credit Agreement, together with the promissory notes made by Borrower thereunder and any and all other documents and instruments executed in connection therewith.</w:t>
      </w:r>
    </w:p>
    <w:p>
      <w:pPr>
        <w:spacing w:after="0" w:line="105" w:lineRule="exact"/>
        <w:rPr>
          <w:sz w:val="20"/>
          <w:szCs w:val="20"/>
          <w:color w:val="auto"/>
        </w:rPr>
      </w:pPr>
    </w:p>
    <w:p>
      <w:pPr>
        <w:jc w:val="both"/>
        <w:ind w:left="1"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Receivables</w:t>
      </w:r>
      <w:r>
        <w:rPr>
          <w:rFonts w:ascii="Arial" w:cs="Arial" w:eastAsia="Arial" w:hAnsi="Arial"/>
          <w:sz w:val="19"/>
          <w:szCs w:val="19"/>
          <w:color w:val="auto"/>
        </w:rPr>
        <w:t>” means all present and future rights of Borrower or any Subsidiary of Borrower to payment for goods sold or leased or for services rendered (except those evidenced by instruments or chattel paper), whether now existing or hereafter arising and wherever arising and whether or not earned by performance.</w:t>
      </w:r>
    </w:p>
    <w:p>
      <w:pPr>
        <w:spacing w:after="0" w:line="134"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D</w:t>
      </w:r>
      <w:r>
        <w:rPr>
          <w:rFonts w:ascii="Arial" w:cs="Arial" w:eastAsia="Arial" w:hAnsi="Arial"/>
          <w:sz w:val="22"/>
          <w:szCs w:val="22"/>
          <w:color w:val="auto"/>
        </w:rPr>
        <w:t>” means Regulation D of the Board of Governors of the Federal Reserve System as from time to time in effect.</w:t>
      </w:r>
    </w:p>
    <w:p>
      <w:pPr>
        <w:spacing w:after="0" w:line="173" w:lineRule="exact"/>
        <w:rPr>
          <w:sz w:val="20"/>
          <w:szCs w:val="20"/>
          <w:color w:val="auto"/>
        </w:rPr>
      </w:pPr>
    </w:p>
    <w:p>
      <w:pPr>
        <w:ind w:left="641"/>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Rate</w:t>
      </w:r>
      <w:r>
        <w:rPr>
          <w:rFonts w:ascii="Arial" w:cs="Arial" w:eastAsia="Arial" w:hAnsi="Arial"/>
          <w:sz w:val="22"/>
          <w:szCs w:val="22"/>
          <w:color w:val="auto"/>
        </w:rPr>
        <w:t xml:space="preserve">” has the meaning ascribed to it in </w:t>
      </w:r>
      <w:r>
        <w:rPr>
          <w:rFonts w:ascii="Arial" w:cs="Arial" w:eastAsia="Arial" w:hAnsi="Arial"/>
          <w:sz w:val="22"/>
          <w:szCs w:val="22"/>
          <w:u w:val="single" w:color="auto"/>
          <w:color w:val="auto"/>
        </w:rPr>
        <w:t>Section 3.7(b)</w:t>
      </w:r>
      <w:r>
        <w:rPr>
          <w:rFonts w:ascii="Arial" w:cs="Arial" w:eastAsia="Arial" w:hAnsi="Arial"/>
          <w:sz w:val="22"/>
          <w:szCs w:val="22"/>
          <w:color w:val="auto"/>
        </w:rPr>
        <w:t>.</w:t>
      </w:r>
    </w:p>
    <w:p>
      <w:pPr>
        <w:spacing w:after="0" w:line="206" w:lineRule="exact"/>
        <w:rPr>
          <w:sz w:val="20"/>
          <w:szCs w:val="20"/>
          <w:color w:val="auto"/>
        </w:rPr>
      </w:pPr>
    </w:p>
    <w:p>
      <w:pPr>
        <w:jc w:val="both"/>
        <w:ind w:left="1"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Required Lenders</w:t>
      </w:r>
      <w:r>
        <w:rPr>
          <w:rFonts w:ascii="Arial" w:cs="Arial" w:eastAsia="Arial" w:hAnsi="Arial"/>
          <w:sz w:val="21"/>
          <w:szCs w:val="21"/>
          <w:color w:val="auto"/>
        </w:rPr>
        <w:t>” means Lenders having aggregate Revolving Loan Commitments representing at least sixty-six and two-thirds percent (66⅔%) of the Aggregate Commitment or, if the Revolving Loan Commitments have been terminated, Lenders holding Loans representing at least sixty-six and two-thirds percent (66⅔%) of the aggregate principal amount of the Loans then outstanding.</w:t>
      </w:r>
    </w:p>
    <w:p>
      <w:pPr>
        <w:spacing w:after="0" w:line="165"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 Requirement</w:t>
      </w:r>
      <w:r>
        <w:rPr>
          <w:rFonts w:ascii="Arial" w:cs="Arial" w:eastAsia="Arial" w:hAnsi="Arial"/>
          <w:sz w:val="22"/>
          <w:szCs w:val="22"/>
          <w:color w:val="auto"/>
        </w:rPr>
        <w:t>” means, at any time, the maximum rate at which reserves (including any marginal, special, supplemental, or emergency reserves) are required to be maintained under regulations issued from time to time by the Board of Governors of the Federal Reserve System (or any successor) by member banks of the Federal Reserve System against “Eurocurrency liabilities” (as such term is used in Regulation D). Without limiting the effect of the foregoing, the Reserve Requirement shall reflect any other reserves required to be maintained by such member banks with</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77" w:name="page78"/>
    <w:bookmarkEnd w:id="77"/>
    <w:p>
      <w:pPr>
        <w:jc w:val="both"/>
        <w:spacing w:after="0" w:line="329" w:lineRule="auto"/>
        <w:rPr>
          <w:sz w:val="20"/>
          <w:szCs w:val="20"/>
          <w:color w:val="auto"/>
        </w:rPr>
      </w:pPr>
      <w:r>
        <w:rPr>
          <w:rFonts w:ascii="Arial" w:cs="Arial" w:eastAsia="Arial" w:hAnsi="Arial"/>
          <w:sz w:val="19"/>
          <w:szCs w:val="19"/>
          <w:color w:val="auto"/>
        </w:rPr>
        <w:t>respect to (a) any category of liabilities which includes deposits by reference to which the Adjusted Eurodollar Rate is to be determined, or (b) any category of extensions of credit or other assets which include Eurodollar Loans.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Person</w:t>
      </w:r>
      <w:r>
        <w:rPr>
          <w:rFonts w:ascii="Arial" w:cs="Arial" w:eastAsia="Arial" w:hAnsi="Arial"/>
          <w:sz w:val="22"/>
          <w:szCs w:val="22"/>
          <w:color w:val="auto"/>
        </w:rPr>
        <w:t>” means any of Borrower and each Guarantor.</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Facility Usage</w:t>
      </w:r>
      <w:r>
        <w:rPr>
          <w:rFonts w:ascii="Arial" w:cs="Arial" w:eastAsia="Arial" w:hAnsi="Arial"/>
          <w:sz w:val="22"/>
          <w:szCs w:val="22"/>
          <w:color w:val="auto"/>
        </w:rPr>
        <w:t>” means, at the time in question, without duplication, the aggregate principal amount of outstanding Revolving Loans, Swingline Loans, and LC Obligations at such time.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Lenders</w:t>
      </w:r>
      <w:r>
        <w:rPr>
          <w:rFonts w:ascii="Arial" w:cs="Arial" w:eastAsia="Arial" w:hAnsi="Arial"/>
          <w:sz w:val="22"/>
          <w:szCs w:val="22"/>
          <w:color w:val="auto"/>
        </w:rPr>
        <w:t>” means those Lenders having a Revolving Loan Commitment.</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Loan(s)</w:t>
      </w:r>
      <w:r>
        <w:rPr>
          <w:rFonts w:ascii="Arial" w:cs="Arial" w:eastAsia="Arial" w:hAnsi="Arial"/>
          <w:sz w:val="22"/>
          <w:szCs w:val="22"/>
          <w:color w:val="auto"/>
        </w:rPr>
        <w:t xml:space="preserve">” means a loan made to Borrower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 Commitment</w:t>
      </w:r>
      <w:r>
        <w:rPr>
          <w:rFonts w:ascii="Arial" w:cs="Arial" w:eastAsia="Arial" w:hAnsi="Arial"/>
          <w:sz w:val="22"/>
          <w:szCs w:val="22"/>
          <w:color w:val="auto"/>
        </w:rPr>
        <w:t>” means as to any Lender, the commitment of such Lender to make its Percentage Share of Revolving Loans or incur its Percentage Share of Swingline Loans or LC Obligations as set forth on the Lenders Schedule or in the most recent Assignment and Acceptance or Incremental Commitment Agreement, if any, executed by such Lender, as such amount may be adjusted, if at all, from time to time in accordance with this Agreement.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Notes</w:t>
      </w:r>
      <w:r>
        <w:rPr>
          <w:rFonts w:ascii="Arial" w:cs="Arial" w:eastAsia="Arial" w:hAnsi="Arial"/>
          <w:sz w:val="22"/>
          <w:szCs w:val="22"/>
          <w:color w:val="auto"/>
        </w:rPr>
        <w:t xml:space="preserve">” has the meaning ascribed to it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 &amp; P</w:t>
      </w:r>
      <w:r>
        <w:rPr>
          <w:rFonts w:ascii="Arial" w:cs="Arial" w:eastAsia="Arial" w:hAnsi="Arial"/>
          <w:sz w:val="22"/>
          <w:szCs w:val="22"/>
          <w:color w:val="auto"/>
        </w:rPr>
        <w:t>” means Standard &amp; Poor’s Ratings Services (a division of The McGraw Hill Companies), or its successor.</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Leaseback Transaction</w:t>
      </w:r>
      <w:r>
        <w:rPr>
          <w:rFonts w:ascii="Arial" w:cs="Arial" w:eastAsia="Arial" w:hAnsi="Arial"/>
          <w:sz w:val="22"/>
          <w:szCs w:val="22"/>
          <w:color w:val="auto"/>
        </w:rPr>
        <w:t>” means any transaction or series of related transactions under which the Borrower or any of its Subsidiaries (a) sells, transfers or otherwise disposes of any property, real or personal, whether now owned or hereafter acquired, and (b) as part of that transaction, thereafter rents or leases that property or other property that it intends to use for substantially the same purpose or purposes as the property being sold, transferred or disposed of.</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means at any time, a country or territory which is itself the subject or target of any Sanctions.</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OFAC, the U.S. Department of State, the United Nations Security Council, the European Union or Her Majesty’s Treasury, (b) any Person operating, organized or resident in a Sanctioned Country, (c) any Person owned in the aggregate, directly or indirectly, 50% or more by any such Person or Persons described in clauses (a) and (b) or (d) any Person controlled by any such Person or Persons described in clauses (a) and (b).</w:t>
      </w:r>
    </w:p>
    <w:p>
      <w:pPr>
        <w:spacing w:after="0" w:line="14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economic or financial sanctions or trade embargoes imposed, administered or enforced from time to time by the U.S. government (including those administered by OFAC), the United Nations Security Council, the European Union or Her Majesty’s Treasury.</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xml:space="preserve">” means all Obligations, Lender Hedging Obligations, and Lender Bank Services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“Secured Obligations” shall exclude any Excluded Swap Obligations.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8" w:name="page79"/>
    <w:bookmarkEnd w:id="78"/>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Party</w:t>
      </w:r>
      <w:r>
        <w:rPr>
          <w:rFonts w:ascii="Arial" w:cs="Arial" w:eastAsia="Arial" w:hAnsi="Arial"/>
          <w:sz w:val="22"/>
          <w:szCs w:val="22"/>
          <w:color w:val="auto"/>
        </w:rPr>
        <w:t>” means each Lender Party and each Affiliate of a Lender that holds Lender Hedging Obligations or Lender Bank Services Obligations.</w:t>
      </w:r>
    </w:p>
    <w:p>
      <w:pPr>
        <w:spacing w:after="0" w:line="1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xml:space="preserve">” means the instruments listed on </w:t>
      </w:r>
      <w:r>
        <w:rPr>
          <w:rFonts w:ascii="Arial" w:cs="Arial" w:eastAsia="Arial" w:hAnsi="Arial"/>
          <w:sz w:val="22"/>
          <w:szCs w:val="22"/>
          <w:u w:val="single" w:color="auto"/>
          <w:color w:val="auto"/>
        </w:rPr>
        <w:t>Schedule 4.1</w:t>
      </w:r>
      <w:r>
        <w:rPr>
          <w:rFonts w:ascii="Arial" w:cs="Arial" w:eastAsia="Arial" w:hAnsi="Arial"/>
          <w:sz w:val="22"/>
          <w:szCs w:val="22"/>
          <w:color w:val="auto"/>
        </w:rPr>
        <w:t xml:space="preserve"> and all other security agreements, deeds of trust, mortgages, chattel mortgages, pledges, financing statements, continuation statements, extension agreements and other agreements or instruments now, heretofore, or hereafter delivered by any Restricted Person to Agent in connection with this Agreement or any transaction contemplated hereby to secure the payment of any part of the Secured Obligations or the performance of any Restricted Person’s other duties and obligations under the Loan Documents.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on a particular date, that on such date (a) the fair value of the property of such Person is greater than the total amount of liabilities, including subordinated and contingent liabilities, of such Person; (b) the present fair saleable value of the assets of such Person is not less than the amount that will be required to pay the probable liability of such Person on its debts and liabilities, including subordinated and contingent liabilities as they become absolute and matured; (c) such Person does not intend to, and does not believe that it will, incur debts or liabilities beyond such Person’s ability to pay as such debts and liabilities mature; and (d) such Person is not engaged in a business or transaction, and is not about to engage in a business or transaction, for which such Person’s property would constitute an unreasonably small capital. The amount of contingent liabilities (such as litigation, guaranties and pension plan liabilities) at any time shall be computed as the amount that, in light of all the facts and circumstances existing at the time, represents the amount that can be reasonably be expected to become an actual or matured liability.</w:t>
      </w:r>
    </w:p>
    <w:p>
      <w:pPr>
        <w:spacing w:after="0" w:line="15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Southeast Acquisition Entity</w:t>
      </w:r>
      <w:r>
        <w:rPr>
          <w:rFonts w:ascii="Arial" w:cs="Arial" w:eastAsia="Arial" w:hAnsi="Arial"/>
          <w:sz w:val="22"/>
          <w:szCs w:val="22"/>
          <w:color w:val="auto"/>
        </w:rPr>
        <w:t>” means a direct or indirect Subsidiary or Non-Wholly Owned Subsidiary of the Borrower that owns or acquires all or part of the assets or equity interests of a single target company (and any of its affiliates) located in the southeastern United States that has been disclosed in writing to the Agent prior to the Amendment No. 1 Effective Date.</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Debt</w:t>
      </w:r>
      <w:r>
        <w:rPr>
          <w:rFonts w:ascii="Arial" w:cs="Arial" w:eastAsia="Arial" w:hAnsi="Arial"/>
          <w:sz w:val="22"/>
          <w:szCs w:val="22"/>
          <w:color w:val="auto"/>
        </w:rPr>
        <w:t>” means unsecured Indebtedness that is subordinated to the Obligations in a manner and form reasonably satisfactory to Agent, as to the right and time of payment and as to any and all other rights and remedies thereunder.</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any corporation, association, partnership, limited liability company, joint venture, or other business or corporate entity, enterprise or organization which is directly or indirectly (through one or more intermediaries) controlled by or owned fifty percent or more by such Person.</w:t>
      </w:r>
    </w:p>
    <w:p>
      <w:pPr>
        <w:spacing w:after="0" w:line="13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Obligations</w:t>
      </w:r>
      <w:r>
        <w:rPr>
          <w:rFonts w:ascii="Arial" w:cs="Arial" w:eastAsia="Arial" w:hAnsi="Arial"/>
          <w:sz w:val="22"/>
          <w:szCs w:val="22"/>
          <w:color w:val="auto"/>
        </w:rPr>
        <w:t>” means, with respect to any Guarantor, any obligation to pay or perform under any Lender Hedging Contract that constitutes a “swap” within the meaning of Section 1a(47) of the Commodity Exchange Act.</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Wells Fargo Bank, National Association, in its capacity as lender of Swingline Loans hereunder.</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xml:space="preserve">” means a loan made pursuant to </w:t>
      </w:r>
      <w:r>
        <w:rPr>
          <w:rFonts w:ascii="Arial" w:cs="Arial" w:eastAsia="Arial" w:hAnsi="Arial"/>
          <w:sz w:val="22"/>
          <w:szCs w:val="22"/>
          <w:u w:val="single" w:color="auto"/>
          <w:color w:val="auto"/>
        </w:rPr>
        <w:t>Section 2.16</w:t>
      </w:r>
      <w:r>
        <w:rPr>
          <w:rFonts w:ascii="Arial" w:cs="Arial" w:eastAsia="Arial" w:hAnsi="Arial"/>
          <w:sz w:val="22"/>
          <w:szCs w:val="22"/>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9" w:name="page80"/>
    <w:bookmarkEnd w:id="79"/>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Note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2.16(d)</w:t>
      </w:r>
      <w:r>
        <w:rPr>
          <w:rFonts w:ascii="Arial" w:cs="Arial" w:eastAsia="Arial" w:hAnsi="Arial"/>
          <w:sz w:val="22"/>
          <w:szCs w:val="22"/>
          <w:color w:val="auto"/>
        </w:rPr>
        <w:t>.</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Synthetic Lease Obligations</w:t>
      </w:r>
      <w:r>
        <w:rPr>
          <w:rFonts w:ascii="Arial" w:cs="Arial" w:eastAsia="Arial" w:hAnsi="Arial"/>
          <w:sz w:val="22"/>
          <w:szCs w:val="22"/>
          <w:color w:val="auto"/>
        </w:rPr>
        <w:t>” means an arrangement treated as an operating lease for financial accounting purposes and a financing lease for Tax purposes.</w:t>
      </w:r>
    </w:p>
    <w:p>
      <w:pPr>
        <w:spacing w:after="0" w:line="17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any and all present or future taxes, levies, imposts, duties, deductions, charges or withholdings imposed by any Governmental Authority, including any interest, fines, additions to tax or penalties applicable thereto.</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Termination Event</w:t>
      </w:r>
      <w:r>
        <w:rPr>
          <w:rFonts w:ascii="Arial" w:cs="Arial" w:eastAsia="Arial" w:hAnsi="Arial"/>
          <w:sz w:val="19"/>
          <w:szCs w:val="19"/>
          <w:color w:val="auto"/>
        </w:rPr>
        <w:t>” means (a) the occurrence with respect to any ERISA Plan of (i) an event described in Section 4041A of ERISA, or (ii) the withdrawal of any ERISA Affiliate from an ERISA Plan if such withdrawal is described in Section 4201(a) of ERISA, or (iii) a reportable event described in Section 4043(c)(5) or (6) of ERISA or (iv) any other reportable event described in Section 4043(c) of ERISA other than a reportable event not subject to the provision for 30-day notice to the Pension Benefit Guaranty Corporation pursuant to a waiver by such corporation (determined under final regulations promulgated by the Pension Benefit Guaranty Corporation regarding such waivers as in effect on the date of this Credit Agreement) under Section 4043(a) or 4043(b)(4) of ERISA, or (b) the withdrawal of any ERISA Affiliate from an ERISA Plan during a plan year in which it was a “substantial employer” as defined in Section 4001(a)(2) of ERISA, or (c) the filing of a notice of intent to terminate any ERISA Plan or the treatment of any ERISA Plan amendment as a termination under Section 4041(c) of ERISA, or (d) the institution of proceedings to terminate any ERISA Plan by the Pension Benefit Guaranty Corporation under Section 4042 of ERISA, or (e) any other event or condition which might constitute grounds under Section 4042 of ERISA for the termination of, or the appointment of a trustee to administer, any ERISA Plan.</w:t>
      </w:r>
    </w:p>
    <w:p>
      <w:pPr>
        <w:spacing w:after="0" w:line="15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Total Leverage Ratio</w:t>
      </w:r>
      <w:r>
        <w:rPr>
          <w:rFonts w:ascii="Arial" w:cs="Arial" w:eastAsia="Arial" w:hAnsi="Arial"/>
          <w:sz w:val="22"/>
          <w:szCs w:val="22"/>
          <w:color w:val="auto"/>
        </w:rPr>
        <w:t>” means the ratio, determined as of the end of each of Borrower’s Fiscal Quarters for the then most-recently ended four consecutive Fiscal Quarters, of (a) its Consolidated Total Indebtedness on such day to (b) its Consolidated EBITDA for such period.</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Tribunal</w:t>
      </w:r>
      <w:r>
        <w:rPr>
          <w:rFonts w:ascii="Arial" w:cs="Arial" w:eastAsia="Arial" w:hAnsi="Arial"/>
          <w:sz w:val="22"/>
          <w:szCs w:val="22"/>
          <w:color w:val="auto"/>
        </w:rPr>
        <w:t>” means any government, any arbitration panel, any court or any governmental department, commission, board, bureau, agency or instrumentality of the United States of America or any state, province, commonwealth, nation, territory, possession, county, parish, town, township, village or municipality, whether now or hereafter constituted or existing.</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means, with respect to any Loans, the characterization of such Loans as either Base Rate Loans or Eurodollar Loans.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Person</w:t>
      </w:r>
      <w:r>
        <w:rPr>
          <w:rFonts w:ascii="Arial" w:cs="Arial" w:eastAsia="Arial" w:hAnsi="Arial"/>
          <w:sz w:val="19"/>
          <w:szCs w:val="19"/>
          <w:color w:val="auto"/>
        </w:rPr>
        <w:t>” means any Person that is a “United States Person” as defined in Section 7701(a)(30)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xml:space="preserve">” means a direct or indirect Non-Wholly Owned Subsidiary of the Borrower that has been designated as an Unrestricted Subsidiary in a written notice by the Borrower to the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Southeast Acquisition Entity shall be an Unrestricted Subsidiary.</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means, with respect to any EEA Resolution Authority, the write-down and conversion powers of such EEA Resolution Authority from time to</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0" w:name="page81"/>
    <w:bookmarkEnd w:id="80"/>
    <w:p>
      <w:pPr>
        <w:jc w:val="both"/>
        <w:ind w:left="1"/>
        <w:spacing w:after="0" w:line="251" w:lineRule="auto"/>
        <w:rPr>
          <w:sz w:val="20"/>
          <w:szCs w:val="20"/>
          <w:color w:val="auto"/>
        </w:rPr>
      </w:pPr>
      <w:r>
        <w:rPr>
          <w:rFonts w:ascii="Arial" w:cs="Arial" w:eastAsia="Arial" w:hAnsi="Arial"/>
          <w:sz w:val="22"/>
          <w:szCs w:val="22"/>
          <w:color w:val="auto"/>
        </w:rPr>
        <w:t>time under the Bail-In Legislation for the applicable EEA Member Country, which write-down and conversion powers are described in the EU Bail-In Legislation Schedule.</w:t>
      </w:r>
    </w:p>
    <w:p>
      <w:pPr>
        <w:spacing w:after="0" w:line="174" w:lineRule="exact"/>
        <w:rPr>
          <w:sz w:val="20"/>
          <w:szCs w:val="20"/>
          <w:color w:val="auto"/>
        </w:rPr>
      </w:pPr>
    </w:p>
    <w:p>
      <w:pPr>
        <w:jc w:val="both"/>
        <w:ind w:left="1" w:firstLine="648"/>
        <w:spacing w:after="0" w:line="297"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Exhibits and Schedules; Additional Definitions</w:t>
      </w:r>
      <w:r>
        <w:rPr>
          <w:rFonts w:ascii="Arial" w:cs="Arial" w:eastAsia="Arial" w:hAnsi="Arial"/>
          <w:sz w:val="19"/>
          <w:szCs w:val="19"/>
          <w:color w:val="auto"/>
        </w:rPr>
        <w:t xml:space="preserve">. All Exhibits and Schedules attached to this Agreement are a part hereof for all purposes. Reference is hereby made to </w:t>
      </w:r>
      <w:r>
        <w:rPr>
          <w:rFonts w:ascii="Arial" w:cs="Arial" w:eastAsia="Arial" w:hAnsi="Arial"/>
          <w:sz w:val="19"/>
          <w:szCs w:val="19"/>
          <w:u w:val="single" w:color="auto"/>
          <w:color w:val="auto"/>
        </w:rPr>
        <w:t>Schedule 4.1</w:t>
      </w:r>
      <w:r>
        <w:rPr>
          <w:rFonts w:ascii="Arial" w:cs="Arial" w:eastAsia="Arial" w:hAnsi="Arial"/>
          <w:sz w:val="19"/>
          <w:szCs w:val="19"/>
          <w:color w:val="auto"/>
        </w:rPr>
        <w:t xml:space="preserve"> for the meaning of certain terms defined therein and used but not defined herein, which definitions are incorporated herein by reference.</w:t>
      </w:r>
    </w:p>
    <w:p>
      <w:pPr>
        <w:spacing w:after="0" w:line="134" w:lineRule="exact"/>
        <w:rPr>
          <w:sz w:val="20"/>
          <w:szCs w:val="20"/>
          <w:color w:val="auto"/>
        </w:rPr>
      </w:pPr>
    </w:p>
    <w:p>
      <w:pPr>
        <w:jc w:val="both"/>
        <w:ind w:left="1" w:firstLine="648"/>
        <w:spacing w:after="0" w:line="249"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Amendment of Defined Instruments</w:t>
      </w:r>
      <w:r>
        <w:rPr>
          <w:rFonts w:ascii="Arial" w:cs="Arial" w:eastAsia="Arial" w:hAnsi="Arial"/>
          <w:sz w:val="21"/>
          <w:szCs w:val="21"/>
          <w:color w:val="auto"/>
        </w:rPr>
        <w:t>. Unless the context otherwise requires or unless otherwise provided herein the terms defined in this Agreement which refer to a particular agreement, instrument or document also refer to and include all renewals, extensions, modifications, amendments and restatements of such agreement, instrument or document, provided that nothing contained in this Section shall be construed to authorize any such renewal, extension, modification, amendment or restatement.</w:t>
      </w:r>
    </w:p>
    <w:p>
      <w:pPr>
        <w:spacing w:after="0" w:line="179"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References and Titles</w:t>
      </w:r>
      <w:r>
        <w:rPr>
          <w:rFonts w:ascii="Arial" w:cs="Arial" w:eastAsia="Arial" w:hAnsi="Arial"/>
          <w:sz w:val="19"/>
          <w:szCs w:val="19"/>
          <w:color w:val="auto"/>
        </w:rPr>
        <w:t>. All references in this Agreement to Exhibits, Schedules, articles, sections, subsections and other subdivisions refer to the Exhibits, Schedules, articles, sections, subsections and other subdivisions of this Agreement unless expressly provided otherwise. Exhibits and Schedules to any Loan Document shall be deemed incorporated by reference in such Loan Document. References to any document, instrument, or agreement (a) shall include all exhibits, schedules, and other attachments thereto, and (b) shall include all documents, instruments, or agreements issued or executed in replacement thereof. Titles appearing at the beginning of any subdivisions are for convenience only and do not constitute any part of such subdivisions and shall be disregarded in construing the language contained in such subdivisions. The words “this Agreement”, “this instrument”, “herein”, “hereof”, “hereby”, “hereunder” and words of similar import refer to this Agreement as a whole and not to any particular subdivision unless expressly so limited. The phrases “this section” and “this subsection” and similar phrases refer only to the sections or subsections hereof in which such phrases occur. The word “or” is not exclusive, and the word “including” (in its various forms) means “including without limitation”. Pronouns in masculine, feminine and neuter genders shall be construed to include any other gender, and words in the singular form shall be construed to include the plural and vice versa, unless the context otherwise requires. Accounting terms have the meanings assigned to them by GAAP, as applied by the accounting entity to which they refer. References to “days” shall mean calendar days, unless the term “Business Day” is used. Unless otherwise specified, references herein to any particular Person also refer to its successors and permitted assigns.</w:t>
      </w:r>
    </w:p>
    <w:p>
      <w:pPr>
        <w:spacing w:after="0" w:line="170"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 xml:space="preserve">Section 1.5 </w:t>
      </w:r>
      <w:r>
        <w:rPr>
          <w:rFonts w:ascii="Arial" w:cs="Arial" w:eastAsia="Arial" w:hAnsi="Arial"/>
          <w:sz w:val="19"/>
          <w:szCs w:val="19"/>
          <w:u w:val="single" w:color="auto"/>
          <w:color w:val="auto"/>
        </w:rPr>
        <w:t>Calculations and Determinations</w:t>
      </w:r>
      <w:r>
        <w:rPr>
          <w:rFonts w:ascii="Arial" w:cs="Arial" w:eastAsia="Arial" w:hAnsi="Arial"/>
          <w:sz w:val="19"/>
          <w:szCs w:val="19"/>
          <w:color w:val="auto"/>
        </w:rPr>
        <w:t xml:space="preserve">. All calculations under the Loan Documents of interest chargeable with respect to Eurodollar Loans and of fees shall be made on the basis of actual days elapsed (including the first day but excluding the last) and a year of 360 days. All other calculations of interest made under the Loan Documents shall be made on the basis of actual days elapsed (including the first day but excluding the last) and a year of 365 or 366 days, as appropriate. Each determination by a Lender Party of amounts to be paid under </w:t>
      </w:r>
      <w:r>
        <w:rPr>
          <w:rFonts w:ascii="Arial" w:cs="Arial" w:eastAsia="Arial" w:hAnsi="Arial"/>
          <w:sz w:val="19"/>
          <w:szCs w:val="19"/>
          <w:u w:val="single" w:color="auto"/>
          <w:color w:val="auto"/>
        </w:rPr>
        <w:t>Article</w:t>
      </w:r>
    </w:p>
    <w:p>
      <w:pPr>
        <w:spacing w:after="0" w:line="4" w:lineRule="exact"/>
        <w:rPr>
          <w:sz w:val="20"/>
          <w:szCs w:val="20"/>
          <w:color w:val="auto"/>
        </w:rPr>
      </w:pPr>
    </w:p>
    <w:p>
      <w:pPr>
        <w:jc w:val="both"/>
        <w:ind w:left="1" w:hanging="1"/>
        <w:spacing w:after="0" w:line="233" w:lineRule="auto"/>
        <w:tabs>
          <w:tab w:leader="none" w:pos="299" w:val="left"/>
        </w:tabs>
        <w:numPr>
          <w:ilvl w:val="0"/>
          <w:numId w:val="29"/>
        </w:numPr>
        <w:rPr>
          <w:rFonts w:ascii="Arial" w:cs="Arial" w:eastAsia="Arial" w:hAnsi="Arial"/>
          <w:sz w:val="22"/>
          <w:szCs w:val="22"/>
          <w:u w:val="single" w:color="auto"/>
          <w:color w:val="auto"/>
        </w:rPr>
      </w:pPr>
      <w:r>
        <w:rPr>
          <w:rFonts w:ascii="Arial" w:cs="Arial" w:eastAsia="Arial" w:hAnsi="Arial"/>
          <w:sz w:val="22"/>
          <w:szCs w:val="22"/>
          <w:color w:val="auto"/>
        </w:rPr>
        <w:t>or any other matters which are to be determined hereunder by a Lender Party (such as any Eurodollar Rate, Adjusted Eurodollar Rate, Business Day, Interest Period, or Reserve Requirement) shall, in the absence of manifest error, be conclusive and binding. Unless otherwise expressly provided herein or unless Required Lenders otherwise consent all financial statements and reports furnished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81" w:name="page82"/>
    <w:bookmarkEnd w:id="81"/>
    <w:p>
      <w:pPr>
        <w:jc w:val="both"/>
        <w:spacing w:after="0" w:line="251" w:lineRule="auto"/>
        <w:rPr>
          <w:sz w:val="20"/>
          <w:szCs w:val="20"/>
          <w:color w:val="auto"/>
        </w:rPr>
      </w:pPr>
      <w:r>
        <w:rPr>
          <w:rFonts w:ascii="Arial" w:cs="Arial" w:eastAsia="Arial" w:hAnsi="Arial"/>
          <w:sz w:val="22"/>
          <w:szCs w:val="22"/>
          <w:color w:val="auto"/>
        </w:rPr>
        <w:t>to any Lender Party hereunder shall be prepared and all financial computations and determinations pursuant hereto shall be made in accordance with GAAP.</w:t>
      </w:r>
    </w:p>
    <w:p>
      <w:pPr>
        <w:spacing w:after="0" w:line="17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Joint Preparation; Construction of Indemnities and Releases</w:t>
      </w:r>
      <w:r>
        <w:rPr>
          <w:rFonts w:ascii="Arial" w:cs="Arial" w:eastAsia="Arial" w:hAnsi="Arial"/>
          <w:sz w:val="22"/>
          <w:szCs w:val="22"/>
          <w:color w:val="auto"/>
        </w:rPr>
        <w:t>. This Agreement and the other Loan Documents have been reviewed and negotiated by sophisticated parties with access to legal counsel and no rule of construction shall apply hereto or thereto which would require or allow any Loan Document to be construed against any party because of its role in drafting such Loan Document. All indemnification and release provisions of this Agreement shall be construed broadly (and not narrowly) in favor of the Persons receiving indemnification or being released.</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1.7 </w:t>
      </w:r>
      <w:r>
        <w:rPr>
          <w:rFonts w:ascii="Arial" w:cs="Arial" w:eastAsia="Arial" w:hAnsi="Arial"/>
          <w:sz w:val="22"/>
          <w:szCs w:val="22"/>
          <w:u w:val="single" w:color="auto"/>
          <w:color w:val="auto"/>
        </w:rPr>
        <w:t>Rates</w:t>
      </w:r>
      <w:r>
        <w:rPr>
          <w:rFonts w:ascii="Arial" w:cs="Arial" w:eastAsia="Arial" w:hAnsi="Arial"/>
          <w:sz w:val="22"/>
          <w:szCs w:val="22"/>
          <w:color w:val="auto"/>
        </w:rPr>
        <w:t>. Agent does not warrant or accept responsibility for, and shall not have any liability with respect to, the administration, submission or any other matter related to the rates in the definition of “Eurodollar Rate”.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THE LOANS AND LETTERS OF CREDIT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2.1 </w:t>
      </w:r>
      <w:r>
        <w:rPr>
          <w:rFonts w:ascii="Arial" w:cs="Arial" w:eastAsia="Arial" w:hAnsi="Arial"/>
          <w:sz w:val="19"/>
          <w:szCs w:val="19"/>
          <w:u w:val="single" w:color="auto"/>
          <w:color w:val="auto"/>
        </w:rPr>
        <w:t>Commitments to Lend; Notes</w:t>
      </w:r>
      <w:r>
        <w:rPr>
          <w:rFonts w:ascii="Arial" w:cs="Arial" w:eastAsia="Arial" w:hAnsi="Arial"/>
          <w:sz w:val="19"/>
          <w:szCs w:val="19"/>
          <w:color w:val="auto"/>
        </w:rPr>
        <w:t xml:space="preserve">. Subject to the terms and conditions hereof, each Revolving Lender agrees, severally and not jointly, to make Revolving Loans to Borrower upon the request of Borrower from time to time during the Commitment Period, provided that (a) subject to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Revolving Loans of the same Type made on the same day shall be made by Revolving Lenders in accordance with their respective Percentage Shares and as part of the same Borrowing; and (b) after giving effect to such Revolving Loans, the Revolving Facility Usage does not exceed the Aggregate Commitment then in effect. The amount of all Revolving Loans in any Borrowing must be greater than or equal to $100,000, or must equal the remaining availability under the Aggregate Commitment. The obligation of Borrower to repay to each Revolving Lender the aggregate amount of all Revolving Loans made by such Revolving Lender, together with interest accruing in connection therewith, shall be evidenced by one or more promissory notes made by Borrower payable to the order of such Revolving Lender in the principal amount of the Revolving Loan Commitment of the applicable Revolving Lender, substantially in the form of </w:t>
      </w:r>
      <w:r>
        <w:rPr>
          <w:rFonts w:ascii="Arial" w:cs="Arial" w:eastAsia="Arial" w:hAnsi="Arial"/>
          <w:sz w:val="19"/>
          <w:szCs w:val="19"/>
          <w:u w:val="single" w:color="auto"/>
          <w:color w:val="auto"/>
        </w:rPr>
        <w:t>Exhibit 2.1</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Revolving Note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Revolving Notes</w:t>
      </w:r>
      <w:r>
        <w:rPr>
          <w:rFonts w:ascii="Arial" w:cs="Arial" w:eastAsia="Arial" w:hAnsi="Arial"/>
          <w:sz w:val="19"/>
          <w:szCs w:val="19"/>
          <w:color w:val="auto"/>
        </w:rPr>
        <w:t>”). The amount of principal owing on any Revolving Note at any given time shall be the aggregate amount of all Revolving Loans theretofore made by such Revolving Lender minus all payments of principal theretofore received by such Revolving Lender on such Revolving Note. Interest on each Revolving Note shall accrue and be due and payable as provided herein. Each Revolving Note shall be due and payable as provided herein, and shall be due and payable in full on the Maturity Date. Subject to the terms and conditions hereof, Borrower may borrow, repay, and reborrow Revolving Loans hereunder.</w:t>
      </w: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2.2 </w:t>
      </w:r>
      <w:r>
        <w:rPr>
          <w:rFonts w:ascii="Arial" w:cs="Arial" w:eastAsia="Arial" w:hAnsi="Arial"/>
          <w:sz w:val="21"/>
          <w:szCs w:val="21"/>
          <w:u w:val="single" w:color="auto"/>
          <w:color w:val="auto"/>
        </w:rPr>
        <w:t>Requests for Revolving Loans</w:t>
      </w:r>
      <w:r>
        <w:rPr>
          <w:rFonts w:ascii="Arial" w:cs="Arial" w:eastAsia="Arial" w:hAnsi="Arial"/>
          <w:sz w:val="21"/>
          <w:szCs w:val="21"/>
          <w:color w:val="auto"/>
        </w:rPr>
        <w:t>. Borrower must give to Agent written or electronic notice (or telephonic notice promptly confirmed in writing) of any requested Borrowing of new Revolving Loans to be advanced by Revolving Lenders. Each such notice constitutes a “Borrowing Notice” hereunder and must:</w:t>
      </w:r>
    </w:p>
    <w:p>
      <w:pPr>
        <w:spacing w:after="0" w:line="167" w:lineRule="exact"/>
        <w:rPr>
          <w:sz w:val="20"/>
          <w:szCs w:val="20"/>
          <w:color w:val="auto"/>
        </w:rPr>
      </w:pPr>
    </w:p>
    <w:p>
      <w:pPr>
        <w:ind w:firstLine="648"/>
        <w:spacing w:after="0" w:line="251" w:lineRule="auto"/>
        <w:tabs>
          <w:tab w:leader="none" w:pos="1442" w:val="left"/>
        </w:tabs>
        <w:numPr>
          <w:ilvl w:val="0"/>
          <w:numId w:val="30"/>
        </w:numPr>
        <w:rPr>
          <w:rFonts w:ascii="Arial" w:cs="Arial" w:eastAsia="Arial" w:hAnsi="Arial"/>
          <w:sz w:val="22"/>
          <w:szCs w:val="22"/>
          <w:color w:val="auto"/>
        </w:rPr>
      </w:pPr>
      <w:r>
        <w:rPr>
          <w:rFonts w:ascii="Arial" w:cs="Arial" w:eastAsia="Arial" w:hAnsi="Arial"/>
          <w:sz w:val="22"/>
          <w:szCs w:val="22"/>
          <w:color w:val="auto"/>
        </w:rPr>
        <w:t>specify (i) the aggregate amount of any such Borrowing of new Base Rate Loans and the date on which such Base Rate Loans are to be advanced, or (ii) the aggregate amount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2" w:name="page83"/>
    <w:bookmarkEnd w:id="82"/>
    <w:p>
      <w:pPr>
        <w:jc w:val="both"/>
        <w:spacing w:after="0" w:line="241" w:lineRule="auto"/>
        <w:rPr>
          <w:sz w:val="20"/>
          <w:szCs w:val="20"/>
          <w:color w:val="auto"/>
        </w:rPr>
      </w:pPr>
      <w:r>
        <w:rPr>
          <w:rFonts w:ascii="Arial" w:cs="Arial" w:eastAsia="Arial" w:hAnsi="Arial"/>
          <w:sz w:val="22"/>
          <w:szCs w:val="22"/>
          <w:color w:val="auto"/>
        </w:rPr>
        <w:t>any such Borrowing of new Eurodollar Loans, the date on which such Eurodollar Loans are to be advanced (which shall be the first day of the Interest Period which is to apply thereto), and the length of the applicable Interest Period; and</w:t>
      </w:r>
    </w:p>
    <w:p>
      <w:pPr>
        <w:spacing w:after="0" w:line="184" w:lineRule="exact"/>
        <w:rPr>
          <w:sz w:val="20"/>
          <w:szCs w:val="20"/>
          <w:color w:val="auto"/>
        </w:rPr>
      </w:pPr>
    </w:p>
    <w:p>
      <w:pPr>
        <w:jc w:val="both"/>
        <w:ind w:firstLine="648"/>
        <w:spacing w:after="0"/>
        <w:tabs>
          <w:tab w:leader="none" w:pos="1441" w:val="left"/>
        </w:tabs>
        <w:numPr>
          <w:ilvl w:val="0"/>
          <w:numId w:val="31"/>
        </w:numPr>
        <w:rPr>
          <w:rFonts w:ascii="Arial" w:cs="Arial" w:eastAsia="Arial" w:hAnsi="Arial"/>
          <w:sz w:val="22"/>
          <w:szCs w:val="22"/>
          <w:color w:val="auto"/>
        </w:rPr>
      </w:pPr>
      <w:r>
        <w:rPr>
          <w:rFonts w:ascii="Arial" w:cs="Arial" w:eastAsia="Arial" w:hAnsi="Arial"/>
          <w:sz w:val="22"/>
          <w:szCs w:val="22"/>
          <w:color w:val="auto"/>
        </w:rPr>
        <w:t>be received by Agent not later than 11:00 a.m., Houston, Texas time, on (i) the day on which any such Base Rate Loans are to be made, or (ii) the third Business Day preceding the day on which any such Eurodollar Loans are to be made.</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 xml:space="preserve">Each such written request or confirmation must be made in the form and substance of the “Borrowing Notice” attached hereto as </w:t>
      </w:r>
      <w:r>
        <w:rPr>
          <w:rFonts w:ascii="Arial" w:cs="Arial" w:eastAsia="Arial" w:hAnsi="Arial"/>
          <w:sz w:val="19"/>
          <w:szCs w:val="19"/>
          <w:u w:val="single" w:color="auto"/>
          <w:color w:val="auto"/>
        </w:rPr>
        <w:t>Exhibit 2.2(b)</w:t>
      </w:r>
      <w:r>
        <w:rPr>
          <w:rFonts w:ascii="Arial" w:cs="Arial" w:eastAsia="Arial" w:hAnsi="Arial"/>
          <w:sz w:val="19"/>
          <w:szCs w:val="19"/>
          <w:color w:val="auto"/>
        </w:rPr>
        <w:t>, duly completed. Each such telephonic request shall be deemed a representation, warranty, acknowledgment and agreement by Borrower as to the matters which are required to be set out in such written confirmation. Upon receipt of any such Borrowing Notice, Agent shall give each Lender prompt notice of the terms thereof. If all conditions precedent to such new Revolving Loans have been met, each Revolving Lender will on the date requested promptly remit to Agent at Agent’s office in Houston, Texas the amount of such Revolving Lender’s new Revolving Loan in immediately available funds, and upon receipt of such funds, unless to its actual knowledge any conditions precedent to such Revolving Loans have been neither met nor waived as provided herein, Agent shall promptly make such Revolving Loans available to Borrower. Unless Agent shall have received prompt notice from a Revolving Lender that such Revolving Lender will not make available to Agent such Revolving Lender’s new Revolving Loan, Agent may in its discretion assume that such Revolving Lender has made such Revolving Loan available to Agent in accordance with this Section and Agent may if it chooses, in reliance upon such assumption, make such Revolving Loan available to Borrower. If and to the extent such Revolving Lender shall not so make its new Revolving Loan available to Agent, such Revolving Lender and Borrower severally agree to pay or repay to Agent within three days after demand the amount of such Revolving Loan together with interest thereon, for each day from the date such amount was made available to Borrower until the date such amount is paid or repaid to Agent, with interest at (i) the Federal Funds Rate, if such Revolving Lender is making such payment and (ii) the interest rate applicable at the time to the other new Revolving Loans made on such date, if Borrower is making such repayment. If neither such Revolving Lender nor Borrower pays or repays to Agent such amount within such three-day period, Agent shall in addition to such amount be entitled to recover from such Revolving Lender and from Borrower, on demand, interest thereon at the Default Rate, calculated from the date such amount was made available to Borrower. The failure of any Revolving Lender to make any new Revolving Loan to be made by it hereunder shall not relieve any other Revolving Lender of its obligation hereunder, if any, to make its new Revolving Loan, but no Revolving Lender shall be responsible for the failure of any other Revolving Lender to make any new Revolving Loan to be made by such other Revolving Lender.</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u w:val="single" w:color="auto"/>
          <w:color w:val="auto"/>
        </w:rPr>
        <w:t>Continuations and Conversions of Existing Loans</w:t>
      </w:r>
      <w:r>
        <w:rPr>
          <w:rFonts w:ascii="Arial" w:cs="Arial" w:eastAsia="Arial" w:hAnsi="Arial"/>
          <w:sz w:val="19"/>
          <w:szCs w:val="19"/>
          <w:color w:val="auto"/>
        </w:rPr>
        <w:t xml:space="preserve">. Borrower may make the following elections with respect to Loans already outstanding: to convert Base Rate Loans to Eurodollar Loans, to convert Eurodollar Loans to Base Rate Loans on the last day of the Interest Period applicable thereto, and to continue Eurodollar Loans beyond the expiration of such Interest Period by designating a new Interest Period to take effect at the time of such expiration. In making such elections, Borrower may combine existing Loans made pursuant to separate Borrowings into one new Borrowing or divide existing Loans made pursuant to one Borrowing into separate new Borrowings;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 may have no more than five Borrowings of Eurodollar Loans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3" w:name="page84"/>
    <w:bookmarkEnd w:id="83"/>
    <w:p>
      <w:pPr>
        <w:jc w:val="both"/>
        <w:spacing w:after="0" w:line="238" w:lineRule="auto"/>
        <w:rPr>
          <w:sz w:val="20"/>
          <w:szCs w:val="20"/>
          <w:color w:val="auto"/>
        </w:rPr>
      </w:pPr>
      <w:r>
        <w:rPr>
          <w:rFonts w:ascii="Arial" w:cs="Arial" w:eastAsia="Arial" w:hAnsi="Arial"/>
          <w:sz w:val="22"/>
          <w:szCs w:val="22"/>
          <w:color w:val="auto"/>
        </w:rPr>
        <w:t>outstanding at any time. To make any such election, Borrower must give to Agent written notice (or telephonic notice promptly confirmed in writing) of any such Conversion or Continuation of existing Loans, with a separate notice given for each new Borrowing. Each such notice constitutes a “Continuation/Conversion Notice” hereunder and must:</w:t>
      </w:r>
    </w:p>
    <w:p>
      <w:pPr>
        <w:spacing w:after="0" w:line="185" w:lineRule="exact"/>
        <w:rPr>
          <w:sz w:val="20"/>
          <w:szCs w:val="20"/>
          <w:color w:val="auto"/>
        </w:rPr>
      </w:pPr>
    </w:p>
    <w:p>
      <w:pPr>
        <w:ind w:left="1320" w:hanging="672"/>
        <w:spacing w:after="0"/>
        <w:tabs>
          <w:tab w:leader="none" w:pos="13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specify the existing Loans which are to be Continued or Converted;</w:t>
      </w:r>
    </w:p>
    <w:p>
      <w:pPr>
        <w:spacing w:after="0" w:line="206" w:lineRule="exact"/>
        <w:rPr>
          <w:rFonts w:ascii="Arial" w:cs="Arial" w:eastAsia="Arial" w:hAnsi="Arial"/>
          <w:sz w:val="22"/>
          <w:szCs w:val="22"/>
          <w:color w:val="auto"/>
        </w:rPr>
      </w:pPr>
    </w:p>
    <w:p>
      <w:pPr>
        <w:jc w:val="both"/>
        <w:ind w:firstLine="648"/>
        <w:spacing w:after="0" w:line="282" w:lineRule="auto"/>
        <w:tabs>
          <w:tab w:leader="none" w:pos="1481" w:val="left"/>
        </w:tabs>
        <w:numPr>
          <w:ilvl w:val="0"/>
          <w:numId w:val="32"/>
        </w:numPr>
        <w:rPr>
          <w:rFonts w:ascii="Arial" w:cs="Arial" w:eastAsia="Arial" w:hAnsi="Arial"/>
          <w:sz w:val="19"/>
          <w:szCs w:val="19"/>
          <w:color w:val="auto"/>
        </w:rPr>
      </w:pPr>
      <w:r>
        <w:rPr>
          <w:rFonts w:ascii="Arial" w:cs="Arial" w:eastAsia="Arial" w:hAnsi="Arial"/>
          <w:sz w:val="19"/>
          <w:szCs w:val="19"/>
          <w:color w:val="auto"/>
        </w:rPr>
        <w:t>specify (i) the aggregate amount of any Borrowing of Base Rate Loans into which such existing Loans are to be converted and the date on which such Continuation or Conversion is to occur, or (ii) the aggregate amount of any Borrowing of Eurodollar Loans into which such existing Loans are to be continued or converted, the date on which such Continuation or Conversion is to occur (which shall be the first day of the Interest Period which is to apply to such Eurodollar Loans), and the length of the applicable Interest Period; and</w:t>
      </w:r>
    </w:p>
    <w:p>
      <w:pPr>
        <w:spacing w:after="0" w:line="147" w:lineRule="exact"/>
        <w:rPr>
          <w:rFonts w:ascii="Arial" w:cs="Arial" w:eastAsia="Arial" w:hAnsi="Arial"/>
          <w:sz w:val="19"/>
          <w:szCs w:val="19"/>
          <w:color w:val="auto"/>
        </w:rPr>
      </w:pPr>
    </w:p>
    <w:p>
      <w:pPr>
        <w:jc w:val="both"/>
        <w:ind w:firstLine="648"/>
        <w:spacing w:after="0"/>
        <w:tabs>
          <w:tab w:leader="none" w:pos="1428" w:val="left"/>
        </w:tabs>
        <w:numPr>
          <w:ilvl w:val="0"/>
          <w:numId w:val="32"/>
        </w:numPr>
        <w:rPr>
          <w:rFonts w:ascii="Arial" w:cs="Arial" w:eastAsia="Arial" w:hAnsi="Arial"/>
          <w:sz w:val="22"/>
          <w:szCs w:val="22"/>
          <w:color w:val="auto"/>
        </w:rPr>
      </w:pPr>
      <w:r>
        <w:rPr>
          <w:rFonts w:ascii="Arial" w:cs="Arial" w:eastAsia="Arial" w:hAnsi="Arial"/>
          <w:sz w:val="22"/>
          <w:szCs w:val="22"/>
          <w:color w:val="auto"/>
        </w:rPr>
        <w:t>be received by Agent not later than 11:00 a.m., Houston, Texas time, on (i) the day on which any such conversion to Base Rate Loans is to occur, or (ii) the third Business Day preceding the day on which any such Continuation or Conversion to Eurodollar Loans is to occur.</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Each such written request or confirmation must be made in the form and substance of the “Continuation/Conversion Notice” attached hereto as </w:t>
      </w:r>
      <w:r>
        <w:rPr>
          <w:rFonts w:ascii="Arial" w:cs="Arial" w:eastAsia="Arial" w:hAnsi="Arial"/>
          <w:sz w:val="19"/>
          <w:szCs w:val="19"/>
          <w:u w:val="single" w:color="auto"/>
          <w:color w:val="auto"/>
        </w:rPr>
        <w:t>Exhibit 2.3(c)</w:t>
      </w:r>
      <w:r>
        <w:rPr>
          <w:rFonts w:ascii="Arial" w:cs="Arial" w:eastAsia="Arial" w:hAnsi="Arial"/>
          <w:sz w:val="19"/>
          <w:szCs w:val="19"/>
          <w:color w:val="auto"/>
        </w:rPr>
        <w:t>, duly completed. Each such telephonic request shall be deemed a representation, warranty, acknowledgment and agreement by Borrower as to the matters which are required to be set out in such written confirmation. Upon receipt of any such Continuation/Conversion Notice, Agent shall give each Lender prompt notice of the terms thereof. Each Continuation/Conversion Notice shall be irrevocable and binding on Borrower. During the continuance of any Default, Borrower may not make any election to convert existing Loans into Eurodollar Loans or continue existing Loans as Eurodollar Loans. If (due to the existence of a Default or for any other reason) Borrower fails to timely and properly give any Continuation/Conversion Notice with respect to a Borrowing of existing Eurodollar Loans at least three days prior to the end of the Interest Period applicable thereto, such Eurodollar Loans shall automatically be converted into Base Rate Loans at the end of such Interest Period. No new funds shall be repaid by Borrower or advanced by any Lender in connection with any Continuation or Conversion of existing Loans pursuant to this Section, and no such Continuation or Conversion shall be deemed to be a new advance of funds for any purpose; such Continuations and Conversions merely constitute a change in the interest rate applicable to already outstanding Loans.</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Borrower shall use the Loans to provide working capital for its operations and for other general corporate purposes. Borrower shall use all Letters of Credit for its general corporate purposes. In no event shall the funds from any Loan or any Letter of Credit be used directly or indirectly by any Person for personal, family, household or agricultural purposes or for the purpose, whether immediate, incidental or ultimate, of purchasing, acquiring or carrying any Margin Stock (except in connection with an acquisition or Investment permitted under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which does not violate Regulation U of the Board of Governors of the Federal Reserve System) or to extend credit to others directly or indirectly for the purpose of purchasing or carrying any such Margin Stock. Borrower represents and warrants that Borrower is not engaged principally, or as one of Borrower’s important activities, in the business of extending credit to others for the purpose of purchasing or carrying such Margin Stock. No Loan or Letter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4" w:name="page85"/>
    <w:bookmarkEnd w:id="84"/>
    <w:p>
      <w:pPr>
        <w:jc w:val="both"/>
        <w:ind w:left="1"/>
        <w:spacing w:after="0" w:line="248" w:lineRule="auto"/>
        <w:rPr>
          <w:sz w:val="20"/>
          <w:szCs w:val="20"/>
          <w:color w:val="auto"/>
        </w:rPr>
      </w:pPr>
      <w:r>
        <w:rPr>
          <w:rFonts w:ascii="Arial" w:cs="Arial" w:eastAsia="Arial" w:hAnsi="Arial"/>
          <w:sz w:val="21"/>
          <w:szCs w:val="21"/>
          <w:color w:val="auto"/>
        </w:rPr>
        <w:t>of Credit will be requested and no proceeds of any Loan or Letter of Credit will be used (i) in furtherance of an offer, payment, promise to pay, or authorization of the payment or giving of money, or anything else of value, to any Person in violation of any Anti-Corruption Laws, (ii) to fund any activities or business (A) of or with any Person, that, at the time of such funding, is the subject of Sanctions or (B) in any country or territory that, at the time of such funding, is, or whose government is, the subject of Sanctions, or (iii) in any manner that would result in the violation of any Sanctions applicable to any party hereto.</w:t>
      </w:r>
    </w:p>
    <w:p>
      <w:pPr>
        <w:spacing w:after="0" w:line="178" w:lineRule="exact"/>
        <w:rPr>
          <w:sz w:val="20"/>
          <w:szCs w:val="20"/>
          <w:color w:val="auto"/>
        </w:rPr>
      </w:pPr>
    </w:p>
    <w:p>
      <w:pPr>
        <w:ind w:left="641"/>
        <w:spacing w:after="0"/>
        <w:tabs>
          <w:tab w:leader="none" w:pos="1920" w:val="left"/>
        </w:tabs>
        <w:rPr>
          <w:sz w:val="20"/>
          <w:szCs w:val="20"/>
          <w:color w:val="auto"/>
        </w:rPr>
      </w:pPr>
      <w:r>
        <w:rPr>
          <w:rFonts w:ascii="Arial" w:cs="Arial" w:eastAsia="Arial" w:hAnsi="Arial"/>
          <w:sz w:val="22"/>
          <w:szCs w:val="22"/>
          <w:color w:val="auto"/>
        </w:rPr>
        <w:t>Section 2.5</w:t>
      </w:r>
      <w:r>
        <w:rPr>
          <w:sz w:val="20"/>
          <w:szCs w:val="20"/>
          <w:color w:val="auto"/>
        </w:rPr>
        <w:tab/>
      </w:r>
      <w:r>
        <w:rPr>
          <w:rFonts w:ascii="Arial" w:cs="Arial" w:eastAsia="Arial" w:hAnsi="Arial"/>
          <w:sz w:val="18"/>
          <w:szCs w:val="18"/>
          <w:u w:val="single" w:color="auto"/>
          <w:color w:val="auto"/>
        </w:rPr>
        <w:t>Interest Rates and Fees; Payment Dates</w:t>
      </w:r>
      <w:r>
        <w:rPr>
          <w:rFonts w:ascii="Arial" w:cs="Arial" w:eastAsia="Arial" w:hAnsi="Arial"/>
          <w:sz w:val="18"/>
          <w:szCs w:val="18"/>
          <w:color w:val="auto"/>
        </w:rPr>
        <w:t>.</w:t>
      </w:r>
    </w:p>
    <w:p>
      <w:pPr>
        <w:spacing w:after="0" w:line="206" w:lineRule="exact"/>
        <w:rPr>
          <w:sz w:val="20"/>
          <w:szCs w:val="20"/>
          <w:color w:val="auto"/>
        </w:rPr>
      </w:pPr>
    </w:p>
    <w:p>
      <w:pPr>
        <w:jc w:val="both"/>
        <w:ind w:left="1" w:firstLine="648"/>
        <w:spacing w:after="0" w:line="277" w:lineRule="auto"/>
        <w:tabs>
          <w:tab w:leader="none" w:pos="1321"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Subject to subsection (b) below, (i) each Base Rate Loan shall bear interest on each day it is outstanding at the Adjusted Base Rate in effect on such day, (ii) each Eurodollar Loan shall bear interest on each day during the related Interest Period at the related Adjusted Eurodollar Rate in effect on such day, and (iii) if an Event of Default has occurred and is continuing, the Loans shall bear interest as set forth in </w:t>
      </w:r>
      <w:r>
        <w:rPr>
          <w:rFonts w:ascii="Arial" w:cs="Arial" w:eastAsia="Arial" w:hAnsi="Arial"/>
          <w:sz w:val="19"/>
          <w:szCs w:val="19"/>
          <w:u w:val="single" w:color="auto"/>
          <w:color w:val="auto"/>
        </w:rPr>
        <w:t>Section 2.5(b)</w:t>
      </w:r>
      <w:r>
        <w:rPr>
          <w:rFonts w:ascii="Arial" w:cs="Arial" w:eastAsia="Arial" w:hAnsi="Arial"/>
          <w:sz w:val="19"/>
          <w:szCs w:val="19"/>
          <w:color w:val="auto"/>
        </w:rPr>
        <w:t xml:space="preserve"> below. Notwithstanding the foregoing, Borrower may request from time to time that Borrower and the Lender enter into a Hedging Contract providing for interest rate protection (A) for a term expiring no earlier than one year after the Closing Date; and (B) with other terms and conditions reasonably satisfactory to Agent.</w:t>
      </w:r>
    </w:p>
    <w:p>
      <w:pPr>
        <w:spacing w:after="0" w:line="152" w:lineRule="exact"/>
        <w:rPr>
          <w:rFonts w:ascii="Arial" w:cs="Arial" w:eastAsia="Arial" w:hAnsi="Arial"/>
          <w:sz w:val="19"/>
          <w:szCs w:val="19"/>
          <w:color w:val="auto"/>
        </w:rPr>
      </w:pPr>
    </w:p>
    <w:p>
      <w:pPr>
        <w:ind w:left="1461" w:hanging="812"/>
        <w:spacing w:after="0"/>
        <w:tabs>
          <w:tab w:leader="none" w:pos="1461"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If an Event of Default shall have occurred and be continuing under </w:t>
      </w:r>
      <w:r>
        <w:rPr>
          <w:rFonts w:ascii="Arial" w:cs="Arial" w:eastAsia="Arial" w:hAnsi="Arial"/>
          <w:sz w:val="19"/>
          <w:szCs w:val="19"/>
          <w:u w:val="single" w:color="auto"/>
          <w:color w:val="auto"/>
        </w:rPr>
        <w:t>Section 8.1(a)</w:t>
      </w:r>
      <w:r>
        <w:rPr>
          <w:rFonts w:ascii="Arial" w:cs="Arial" w:eastAsia="Arial" w:hAnsi="Arial"/>
          <w:sz w:val="19"/>
          <w:szCs w:val="19"/>
          <w:color w:val="auto"/>
        </w:rPr>
        <w:t>,</w:t>
      </w:r>
    </w:p>
    <w:p>
      <w:pPr>
        <w:spacing w:after="0" w:line="42" w:lineRule="exact"/>
        <w:rPr>
          <w:rFonts w:ascii="Arial" w:cs="Arial" w:eastAsia="Arial" w:hAnsi="Arial"/>
          <w:sz w:val="19"/>
          <w:szCs w:val="19"/>
          <w:color w:val="auto"/>
        </w:rPr>
      </w:pPr>
    </w:p>
    <w:p>
      <w:pPr>
        <w:jc w:val="both"/>
        <w:ind w:left="1" w:firstLine="54"/>
        <w:spacing w:after="0" w:line="267" w:lineRule="auto"/>
        <w:rPr>
          <w:rFonts w:ascii="Arial" w:cs="Arial" w:eastAsia="Arial" w:hAnsi="Arial"/>
          <w:sz w:val="19"/>
          <w:szCs w:val="19"/>
          <w:color w:val="auto"/>
        </w:rPr>
      </w:pP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(j)(i)</w:t>
      </w:r>
      <w:r>
        <w:rPr>
          <w:rFonts w:ascii="Arial" w:cs="Arial" w:eastAsia="Arial" w:hAnsi="Arial"/>
          <w:sz w:val="19"/>
          <w:szCs w:val="19"/>
          <w:color w:val="auto"/>
        </w:rPr>
        <w:t xml:space="preserve">, </w:t>
      </w:r>
      <w:r>
        <w:rPr>
          <w:rFonts w:ascii="Arial" w:cs="Arial" w:eastAsia="Arial" w:hAnsi="Arial"/>
          <w:sz w:val="19"/>
          <w:szCs w:val="19"/>
          <w:u w:val="single" w:color="auto"/>
          <w:color w:val="auto"/>
        </w:rPr>
        <w:t>(j)(ii)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(j)(iii)</w:t>
      </w:r>
      <w:r>
        <w:rPr>
          <w:rFonts w:ascii="Arial" w:cs="Arial" w:eastAsia="Arial" w:hAnsi="Arial"/>
          <w:sz w:val="19"/>
          <w:szCs w:val="19"/>
          <w:color w:val="auto"/>
        </w:rPr>
        <w:t xml:space="preserve">, all outstanding Loans shall bear interest at the applicable Default Rate. In addition, if an Event of Default shall have occurred and be continuing (other than under </w:t>
      </w:r>
      <w:r>
        <w:rPr>
          <w:rFonts w:ascii="Arial" w:cs="Arial" w:eastAsia="Arial" w:hAnsi="Arial"/>
          <w:sz w:val="19"/>
          <w:szCs w:val="19"/>
          <w:u w:val="single" w:color="auto"/>
          <w:color w:val="auto"/>
        </w:rPr>
        <w:t>Section 8.1(a)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(j)(i)</w:t>
      </w:r>
      <w:r>
        <w:rPr>
          <w:rFonts w:ascii="Arial" w:cs="Arial" w:eastAsia="Arial" w:hAnsi="Arial"/>
          <w:sz w:val="19"/>
          <w:szCs w:val="19"/>
          <w:color w:val="auto"/>
        </w:rPr>
        <w:t xml:space="preserve">, </w:t>
      </w:r>
      <w:r>
        <w:rPr>
          <w:rFonts w:ascii="Arial" w:cs="Arial" w:eastAsia="Arial" w:hAnsi="Arial"/>
          <w:sz w:val="19"/>
          <w:szCs w:val="19"/>
          <w:u w:val="single" w:color="auto"/>
          <w:color w:val="auto"/>
        </w:rPr>
        <w:t>(j)(ii)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(j)</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Required Lenders may, by notice to Borrower, elect to have the outstanding Loans bear interest at the applicable Default Rate, whereupon such Loans shall bear interest at the applicable Default Rate until the earlier of</w:t>
      </w:r>
    </w:p>
    <w:p>
      <w:pPr>
        <w:ind w:left="1" w:hanging="1"/>
        <w:spacing w:after="0" w:line="237" w:lineRule="auto"/>
        <w:tabs>
          <w:tab w:leader="none" w:pos="276"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first date thereafter upon which there shall be no Event of Default continuing and (ii) the date upon which Required Lenders shall have rescinded such notice.</w:t>
      </w:r>
    </w:p>
    <w:p>
      <w:pPr>
        <w:spacing w:after="0" w:line="184" w:lineRule="exact"/>
        <w:rPr>
          <w:rFonts w:ascii="Arial" w:cs="Arial" w:eastAsia="Arial" w:hAnsi="Arial"/>
          <w:sz w:val="22"/>
          <w:szCs w:val="22"/>
          <w:color w:val="auto"/>
        </w:rPr>
      </w:pPr>
    </w:p>
    <w:p>
      <w:pPr>
        <w:jc w:val="both"/>
        <w:ind w:left="1" w:firstLine="648"/>
        <w:spacing w:after="0" w:line="275" w:lineRule="auto"/>
        <w:tabs>
          <w:tab w:leader="none" w:pos="1564"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Commitment Fees</w:t>
      </w:r>
      <w:r>
        <w:rPr>
          <w:rFonts w:ascii="Arial" w:cs="Arial" w:eastAsia="Arial" w:hAnsi="Arial"/>
          <w:sz w:val="19"/>
          <w:szCs w:val="19"/>
          <w:color w:val="auto"/>
        </w:rPr>
        <w:t>. In consideration of each Revolving Loan Commitment of each Revolving Lender to make Revolving Loans, Borrower will pay to Agent for the account of each Revolving Lender a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determined on a daily basis by multiplying the applicable Commitment Fee Rate by the Percentage Share of such Revolving Lender of the unused portion of the aggregate Revolving Loan Commitments on each day during the Commitment Period, determined for each such day by deducting from the amount of the aggregate Revolving Loan Commitments at the end of such day the Revolving Facility Usage at the end of such day (calculated as if no Swingline Loans were outstanding). This Commitment Fee shall be due and payable in arrears on the first day of each Fiscal Quarter and at the end of the Commitment Period.</w:t>
      </w:r>
    </w:p>
    <w:p>
      <w:pPr>
        <w:spacing w:after="0" w:line="158" w:lineRule="exact"/>
        <w:rPr>
          <w:rFonts w:ascii="Arial" w:cs="Arial" w:eastAsia="Arial" w:hAnsi="Arial"/>
          <w:sz w:val="19"/>
          <w:szCs w:val="19"/>
          <w:color w:val="auto"/>
        </w:rPr>
      </w:pPr>
    </w:p>
    <w:p>
      <w:pPr>
        <w:jc w:val="both"/>
        <w:ind w:left="1" w:firstLine="648"/>
        <w:spacing w:after="0"/>
        <w:tabs>
          <w:tab w:leader="none" w:pos="163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Additional Fees</w:t>
      </w:r>
      <w:r>
        <w:rPr>
          <w:rFonts w:ascii="Arial" w:cs="Arial" w:eastAsia="Arial" w:hAnsi="Arial"/>
          <w:sz w:val="22"/>
          <w:szCs w:val="22"/>
          <w:color w:val="auto"/>
        </w:rPr>
        <w:t>. In addition to all other amounts due to Agent under the Loan Documents, Borrower will pay fees to the Lead Arranger as described in a letter dated March 1, 2018, among Lead Arranger, Wells Fargo Bank, National Association and Borrower.</w:t>
      </w:r>
    </w:p>
    <w:p>
      <w:pPr>
        <w:spacing w:after="0" w:line="186" w:lineRule="exact"/>
        <w:rPr>
          <w:rFonts w:ascii="Arial" w:cs="Arial" w:eastAsia="Arial" w:hAnsi="Arial"/>
          <w:sz w:val="22"/>
          <w:szCs w:val="22"/>
          <w:color w:val="auto"/>
        </w:rPr>
      </w:pPr>
    </w:p>
    <w:p>
      <w:pPr>
        <w:jc w:val="both"/>
        <w:ind w:left="1" w:firstLine="648"/>
        <w:spacing w:after="0"/>
        <w:tabs>
          <w:tab w:leader="none" w:pos="1375"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Payment Dates</w:t>
      </w:r>
      <w:r>
        <w:rPr>
          <w:rFonts w:ascii="Arial" w:cs="Arial" w:eastAsia="Arial" w:hAnsi="Arial"/>
          <w:sz w:val="22"/>
          <w:szCs w:val="22"/>
          <w:color w:val="auto"/>
        </w:rPr>
        <w:t>. On each Interest Payment Date relating to Base Rate Loans, Borrower shall pay to the Lenders all unpaid interest which has accrued on the Base Rate Loans to but not including such Interest Payment Date. On each Interest Payment Date relating to 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85" w:name="page86"/>
    <w:bookmarkEnd w:id="85"/>
    <w:p>
      <w:pPr>
        <w:jc w:val="both"/>
        <w:spacing w:after="0" w:line="251" w:lineRule="auto"/>
        <w:rPr>
          <w:sz w:val="20"/>
          <w:szCs w:val="20"/>
          <w:color w:val="auto"/>
        </w:rPr>
      </w:pPr>
      <w:r>
        <w:rPr>
          <w:rFonts w:ascii="Arial" w:cs="Arial" w:eastAsia="Arial" w:hAnsi="Arial"/>
          <w:sz w:val="22"/>
          <w:szCs w:val="22"/>
          <w:color w:val="auto"/>
        </w:rPr>
        <w:t>Eurodollar Loan, Borrower shall pay to Lenders all unpaid interest which has accrued on such Eurodollar Loan to but not including such Interest Payment Date.</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2.6 </w:t>
      </w:r>
      <w:r>
        <w:rPr>
          <w:rFonts w:ascii="Arial" w:cs="Arial" w:eastAsia="Arial" w:hAnsi="Arial"/>
          <w:sz w:val="19"/>
          <w:szCs w:val="19"/>
          <w:u w:val="single" w:color="auto"/>
          <w:color w:val="auto"/>
        </w:rPr>
        <w:t>Optional Prepayments</w:t>
      </w:r>
      <w:r>
        <w:rPr>
          <w:rFonts w:ascii="Arial" w:cs="Arial" w:eastAsia="Arial" w:hAnsi="Arial"/>
          <w:sz w:val="19"/>
          <w:szCs w:val="19"/>
          <w:color w:val="auto"/>
        </w:rPr>
        <w:t xml:space="preserve">. Borrower may, without penalty, (a) upon notice to Agent to be received no later than 11:00 a.m., Houston, Texas time, with respect to any Base Rate Loan and (b) upon three Business Days’ notice to each Lender with respect to any Eurodollar Loan, from time to time and without premium or penalty prepay the Loans, in whole or in part, provided (i) that the aggregate amounts of all partial prepayments of principal on the Notes equals $100,000 or any higher integral multiple of $100,000; and (ii) that if Borrower prepays any Eurodollar Loan on any day other than the last day of the Interest Period applicable thereto, it shall pay to Lenders any amounts due under </w:t>
      </w:r>
      <w:r>
        <w:rPr>
          <w:rFonts w:ascii="Arial" w:cs="Arial" w:eastAsia="Arial" w:hAnsi="Arial"/>
          <w:sz w:val="19"/>
          <w:szCs w:val="19"/>
          <w:u w:val="single" w:color="auto"/>
          <w:color w:val="auto"/>
        </w:rPr>
        <w:t>Section 3.5</w:t>
      </w:r>
      <w:r>
        <w:rPr>
          <w:rFonts w:ascii="Arial" w:cs="Arial" w:eastAsia="Arial" w:hAnsi="Arial"/>
          <w:sz w:val="19"/>
          <w:szCs w:val="19"/>
          <w:color w:val="auto"/>
        </w:rPr>
        <w:t>. Each prepayment of principal of any Eurodollar Loan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62"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Mandatory Prepayments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2" w:lineRule="auto"/>
        <w:tabs>
          <w:tab w:leader="none" w:pos="1401"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If at any time the Revolving Facility Usage exceeds the Aggregate Commitment (whether due to a reduction in the Revolving Loan Commitments in accordance with this Agreement, or otherwise), Borrower shall immediately upon demand prepay the principal of the Loans (and after the Loans are repaid in full, provide LC Collateral in accordance with </w:t>
      </w:r>
      <w:r>
        <w:rPr>
          <w:rFonts w:ascii="Arial" w:cs="Arial" w:eastAsia="Arial" w:hAnsi="Arial"/>
          <w:sz w:val="21"/>
          <w:szCs w:val="21"/>
          <w:u w:val="single" w:color="auto"/>
          <w:color w:val="auto"/>
        </w:rPr>
        <w:t>Section 2.14(a)</w:t>
      </w:r>
      <w:r>
        <w:rPr>
          <w:rFonts w:ascii="Arial" w:cs="Arial" w:eastAsia="Arial" w:hAnsi="Arial"/>
          <w:sz w:val="21"/>
          <w:szCs w:val="21"/>
          <w:color w:val="auto"/>
        </w:rPr>
        <w:t>) in an amount at least equal to such excess.</w:t>
      </w:r>
    </w:p>
    <w:p>
      <w:pPr>
        <w:spacing w:after="0" w:line="174" w:lineRule="exact"/>
        <w:rPr>
          <w:rFonts w:ascii="Arial" w:cs="Arial" w:eastAsia="Arial" w:hAnsi="Arial"/>
          <w:sz w:val="21"/>
          <w:szCs w:val="21"/>
          <w:color w:val="auto"/>
        </w:rPr>
      </w:pPr>
    </w:p>
    <w:p>
      <w:pPr>
        <w:jc w:val="both"/>
        <w:ind w:firstLine="648"/>
        <w:spacing w:after="0" w:line="238" w:lineRule="auto"/>
        <w:tabs>
          <w:tab w:leader="none" w:pos="1413"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 later than the 366</w:t>
      </w:r>
      <w:r>
        <w:rPr>
          <w:rFonts w:ascii="Arial" w:cs="Arial" w:eastAsia="Arial" w:hAnsi="Arial"/>
          <w:sz w:val="10"/>
          <w:szCs w:val="10"/>
          <w:color w:val="auto"/>
        </w:rPr>
        <w:t>th</w:t>
      </w:r>
      <w:r>
        <w:rPr>
          <w:rFonts w:ascii="Arial" w:cs="Arial" w:eastAsia="Arial" w:hAnsi="Arial"/>
          <w:sz w:val="22"/>
          <w:szCs w:val="22"/>
          <w:color w:val="auto"/>
        </w:rPr>
        <w:t xml:space="preserve"> day after the receipt of any Net Casualty Proceeds aggregating in excess of $2,000,000 for any single transaction or related series of transactions, Borrower shall apply such Net Casualty Proceeds to repay the Revolving Loans, and the Revolving Loan Commitment shall be permanently reduced in an aggregate amount equal to such Net Casualty Proceeds.</w:t>
      </w:r>
    </w:p>
    <w:p>
      <w:pPr>
        <w:spacing w:after="0" w:line="185" w:lineRule="exact"/>
        <w:rPr>
          <w:rFonts w:ascii="Arial" w:cs="Arial" w:eastAsia="Arial" w:hAnsi="Arial"/>
          <w:sz w:val="22"/>
          <w:szCs w:val="22"/>
          <w:color w:val="auto"/>
        </w:rPr>
      </w:pPr>
    </w:p>
    <w:p>
      <w:pPr>
        <w:jc w:val="both"/>
        <w:ind w:firstLine="648"/>
        <w:spacing w:after="0" w:line="238" w:lineRule="auto"/>
        <w:tabs>
          <w:tab w:leader="none" w:pos="1415" w:val="left"/>
        </w:tabs>
        <w:numPr>
          <w:ilvl w:val="0"/>
          <w:numId w:val="35"/>
        </w:numPr>
        <w:rPr>
          <w:rFonts w:ascii="Arial" w:cs="Arial" w:eastAsia="Arial" w:hAnsi="Arial"/>
          <w:sz w:val="22"/>
          <w:szCs w:val="22"/>
          <w:color w:val="auto"/>
        </w:rPr>
      </w:pPr>
      <w:r>
        <w:rPr>
          <w:rFonts w:ascii="Arial" w:cs="Arial" w:eastAsia="Arial" w:hAnsi="Arial"/>
          <w:sz w:val="22"/>
          <w:szCs w:val="22"/>
          <w:color w:val="auto"/>
        </w:rPr>
        <w:t>Each prepayment of principal under this Section shall be accompanied by all interest then accrued and unpaid on the principal so prepaid. Any principal or interest prepaid pursuant to this Section shall be in addition to, and not in lieu of, all payments otherwise required to be paid under the Loan Documents at the time of such prepayment.</w:t>
      </w:r>
    </w:p>
    <w:p>
      <w:pPr>
        <w:spacing w:after="0" w:line="18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Termination and Reduction of Revolving Loan Commitments</w:t>
      </w:r>
      <w:r>
        <w:rPr>
          <w:rFonts w:ascii="Arial" w:cs="Arial" w:eastAsia="Arial" w:hAnsi="Arial"/>
          <w:sz w:val="19"/>
          <w:szCs w:val="19"/>
          <w:color w:val="auto"/>
        </w:rPr>
        <w:t>.</w:t>
      </w:r>
    </w:p>
    <w:p>
      <w:pPr>
        <w:spacing w:after="0" w:line="206" w:lineRule="exact"/>
        <w:rPr>
          <w:sz w:val="20"/>
          <w:szCs w:val="20"/>
          <w:color w:val="auto"/>
        </w:rPr>
      </w:pPr>
    </w:p>
    <w:p>
      <w:pPr>
        <w:ind w:left="1500" w:hanging="852"/>
        <w:spacing w:after="0"/>
        <w:tabs>
          <w:tab w:leader="none" w:pos="15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Unless previously terminated, the Revolving Loan Commitments will terminate on the Maturity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88" w:lineRule="exact"/>
        <w:rPr>
          <w:sz w:val="20"/>
          <w:szCs w:val="20"/>
          <w:color w:val="auto"/>
        </w:rPr>
      </w:pPr>
    </w:p>
    <w:p>
      <w:pPr>
        <w:jc w:val="both"/>
        <w:ind w:firstLine="648"/>
        <w:spacing w:after="0" w:line="279" w:lineRule="auto"/>
        <w:tabs>
          <w:tab w:leader="none" w:pos="1373" w:val="left"/>
        </w:tabs>
        <w:numPr>
          <w:ilvl w:val="0"/>
          <w:numId w:val="37"/>
        </w:numPr>
        <w:rPr>
          <w:rFonts w:ascii="Arial" w:cs="Arial" w:eastAsia="Arial" w:hAnsi="Arial"/>
          <w:sz w:val="19"/>
          <w:szCs w:val="19"/>
          <w:color w:val="auto"/>
        </w:rPr>
      </w:pPr>
      <w:r>
        <w:rPr>
          <w:rFonts w:ascii="Arial" w:cs="Arial" w:eastAsia="Arial" w:hAnsi="Arial"/>
          <w:sz w:val="19"/>
          <w:szCs w:val="19"/>
          <w:color w:val="auto"/>
        </w:rPr>
        <w:t xml:space="preserve">The Borrower may at any time terminate, or from time to time reduce, without premium or penalty, the Revolving Loan Commitments, but (i) each reduction of the Commitments must be in an amount that is an integral multiple of $100,000 (unless such reduction would reduce the unused Revolving Loan Commitments to zero) and (ii) the Borrower shall not terminate or reduce the Revolving Loan Commitments if, after giving effect to any concurrent prepayment of the Loans in accordance with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w:t>
      </w:r>
      <w:r>
        <w:rPr>
          <w:rFonts w:ascii="Arial" w:cs="Arial" w:eastAsia="Arial" w:hAnsi="Arial"/>
          <w:sz w:val="19"/>
          <w:szCs w:val="19"/>
          <w:color w:val="auto"/>
        </w:rPr>
        <w:t>, the sum of the aggregate Revolving Facility Usage would exceed the Aggregate Commitment then in effect.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6" w:name="page87"/>
    <w:bookmarkEnd w:id="86"/>
    <w:p>
      <w:pPr>
        <w:jc w:val="both"/>
        <w:ind w:firstLine="648"/>
        <w:spacing w:after="0" w:line="244" w:lineRule="auto"/>
        <w:tabs>
          <w:tab w:leader="none" w:pos="1374" w:val="left"/>
        </w:tabs>
        <w:numPr>
          <w:ilvl w:val="0"/>
          <w:numId w:val="38"/>
        </w:numPr>
        <w:rPr>
          <w:rFonts w:ascii="Arial" w:cs="Arial" w:eastAsia="Arial" w:hAnsi="Arial"/>
          <w:sz w:val="21"/>
          <w:szCs w:val="21"/>
          <w:color w:val="auto"/>
        </w:rPr>
      </w:pPr>
      <w:r>
        <w:rPr>
          <w:rFonts w:ascii="Arial" w:cs="Arial" w:eastAsia="Arial" w:hAnsi="Arial"/>
          <w:sz w:val="21"/>
          <w:szCs w:val="21"/>
          <w:color w:val="auto"/>
        </w:rPr>
        <w:t xml:space="preserve">The Borrower shall notify the Agent of any election to terminate or reduce the Commitments under </w:t>
      </w:r>
      <w:r>
        <w:rPr>
          <w:rFonts w:ascii="Arial" w:cs="Arial" w:eastAsia="Arial" w:hAnsi="Arial"/>
          <w:sz w:val="21"/>
          <w:szCs w:val="21"/>
          <w:u w:val="single" w:color="auto"/>
          <w:color w:val="auto"/>
        </w:rPr>
        <w:t>Section 2.8(b)</w:t>
      </w:r>
      <w:r>
        <w:rPr>
          <w:rFonts w:ascii="Arial" w:cs="Arial" w:eastAsia="Arial" w:hAnsi="Arial"/>
          <w:sz w:val="21"/>
          <w:szCs w:val="21"/>
          <w:color w:val="auto"/>
        </w:rPr>
        <w:t xml:space="preserve"> at least three Business Days prior to the effective date of that termination or reduction, specifying that election and the effective date thereof. Promptly following receipt of any notice, the Agent shall advise the Lenders of the contents thereof. Each notice delivered by the Borrower pursuant to this Section will be irrevocable, except that a notice of termination of the Revolving Loan Commitments delivered by the Borrower may state that such notice is conditioned upon the effectiveness of other credit facilities, in which case such notice may be revoked by the Borrower (by notice to the Agent on or prior to the specified effective date) if such condition is not satisfied. Except as provided in the immediately preceding sentence, any termination or reduction of the Revolving Loan Commitments will be permanent and such Revolving Loan Commitments will not be reinstated except pursuant to, and in accordance with, </w:t>
      </w:r>
      <w:r>
        <w:rPr>
          <w:rFonts w:ascii="Arial" w:cs="Arial" w:eastAsia="Arial" w:hAnsi="Arial"/>
          <w:sz w:val="21"/>
          <w:szCs w:val="21"/>
          <w:u w:val="single" w:color="auto"/>
          <w:color w:val="auto"/>
        </w:rPr>
        <w:t>Section 2.17</w:t>
      </w:r>
      <w:r>
        <w:rPr>
          <w:rFonts w:ascii="Arial" w:cs="Arial" w:eastAsia="Arial" w:hAnsi="Arial"/>
          <w:sz w:val="21"/>
          <w:szCs w:val="21"/>
          <w:color w:val="auto"/>
        </w:rPr>
        <w:t xml:space="preserve">. Except as provided in </w:t>
      </w:r>
      <w:r>
        <w:rPr>
          <w:rFonts w:ascii="Arial" w:cs="Arial" w:eastAsia="Arial" w:hAnsi="Arial"/>
          <w:sz w:val="21"/>
          <w:szCs w:val="21"/>
          <w:u w:val="single" w:color="auto"/>
          <w:color w:val="auto"/>
        </w:rPr>
        <w:t>Section 2.18</w:t>
      </w:r>
      <w:r>
        <w:rPr>
          <w:rFonts w:ascii="Arial" w:cs="Arial" w:eastAsia="Arial" w:hAnsi="Arial"/>
          <w:sz w:val="21"/>
          <w:szCs w:val="21"/>
          <w:color w:val="auto"/>
        </w:rPr>
        <w:t>, each reduction of the Revolving Loan Commitments must be made ratably among the Lenders in accordance with their respective Revolving Loan Commitments.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2.9 </w:t>
      </w:r>
      <w:r>
        <w:rPr>
          <w:rFonts w:ascii="Arial" w:cs="Arial" w:eastAsia="Arial" w:hAnsi="Arial"/>
          <w:sz w:val="22"/>
          <w:szCs w:val="22"/>
          <w:u w:val="single" w:color="auto"/>
          <w:color w:val="auto"/>
        </w:rPr>
        <w:t>Letters of Credit</w:t>
      </w:r>
      <w:r>
        <w:rPr>
          <w:rFonts w:ascii="Arial" w:cs="Arial" w:eastAsia="Arial" w:hAnsi="Arial"/>
          <w:sz w:val="22"/>
          <w:szCs w:val="22"/>
          <w:color w:val="auto"/>
        </w:rPr>
        <w:t xml:space="preserve">. Subject to the terms and conditions hereof, Borrower may during the Commitment Period request LC Issuer to, and LC Issuer shall, issue one or more Letters of Credit;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taking such Letter of Credit into account:</w:t>
      </w:r>
    </w:p>
    <w:p>
      <w:pPr>
        <w:spacing w:after="0" w:line="186" w:lineRule="exact"/>
        <w:rPr>
          <w:sz w:val="20"/>
          <w:szCs w:val="20"/>
          <w:color w:val="auto"/>
        </w:rPr>
      </w:pPr>
    </w:p>
    <w:p>
      <w:pPr>
        <w:ind w:firstLine="648"/>
        <w:spacing w:after="0" w:line="274" w:lineRule="auto"/>
        <w:tabs>
          <w:tab w:leader="none" w:pos="1604"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Revolving Facility Usage does not exceed the Aggregate Commitment (whether due to a reduction in the Aggregate Commitment in accordance with this Agreement, or otherwise) at such time;</w:t>
      </w:r>
    </w:p>
    <w:p>
      <w:pPr>
        <w:spacing w:after="0" w:line="150" w:lineRule="exact"/>
        <w:rPr>
          <w:rFonts w:ascii="Arial" w:cs="Arial" w:eastAsia="Arial" w:hAnsi="Arial"/>
          <w:sz w:val="21"/>
          <w:szCs w:val="21"/>
          <w:color w:val="auto"/>
        </w:rPr>
      </w:pPr>
    </w:p>
    <w:p>
      <w:pPr>
        <w:ind w:left="1340" w:hanging="692"/>
        <w:spacing w:after="0"/>
        <w:tabs>
          <w:tab w:leader="none" w:pos="13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aggregate LC Obligations at such time do not exceed $125,000,000; and</w:t>
      </w:r>
    </w:p>
    <w:p>
      <w:pPr>
        <w:spacing w:after="0" w:line="206" w:lineRule="exact"/>
        <w:rPr>
          <w:rFonts w:ascii="Arial" w:cs="Arial" w:eastAsia="Arial" w:hAnsi="Arial"/>
          <w:sz w:val="22"/>
          <w:szCs w:val="22"/>
          <w:color w:val="auto"/>
        </w:rPr>
      </w:pPr>
    </w:p>
    <w:p>
      <w:pPr>
        <w:ind w:left="1320" w:hanging="672"/>
        <w:spacing w:after="0"/>
        <w:tabs>
          <w:tab w:leader="none" w:pos="132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expiration date of such Letter of Credit is prior to the end of the Commitment Period.</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All Existing Letters of Credit shall be deemed to have been issued pursuant hereto, and from and after the Closing Date, shall be subject to and governed by the terms and conditions hereof.</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Requesting Letters of Credit</w:t>
      </w:r>
      <w:r>
        <w:rPr>
          <w:rFonts w:ascii="Arial" w:cs="Arial" w:eastAsia="Arial" w:hAnsi="Arial"/>
          <w:sz w:val="19"/>
          <w:szCs w:val="19"/>
          <w:color w:val="auto"/>
        </w:rPr>
        <w:t xml:space="preserve">. Borrower must make written application for any Letter of Credit at least two (2) Business Days (or such shorter period as LC Issuer may in its discretion from time to time agree) before the date on which Borrower desires for LC Issuer to issue such Letter of Credit. By making any such written application, Borrower shall be deemed to have represented and warranted that the LC Conditions described in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will be met as of the date of issuance of such Letter of Credit. Each such written application for a Letter of Credit must be made in writing in the form and substance of </w:t>
      </w:r>
      <w:r>
        <w:rPr>
          <w:rFonts w:ascii="Arial" w:cs="Arial" w:eastAsia="Arial" w:hAnsi="Arial"/>
          <w:sz w:val="19"/>
          <w:szCs w:val="19"/>
          <w:u w:val="single" w:color="auto"/>
          <w:color w:val="auto"/>
        </w:rPr>
        <w:t>Exhibit 2.10</w:t>
      </w:r>
      <w:r>
        <w:rPr>
          <w:rFonts w:ascii="Arial" w:cs="Arial" w:eastAsia="Arial" w:hAnsi="Arial"/>
          <w:sz w:val="19"/>
          <w:szCs w:val="19"/>
          <w:color w:val="auto"/>
        </w:rPr>
        <w:t>, the terms and provisions of which are hereby incorporated herein by reference (or in such other form as may mutually be agreed upon by LC Issuer and Borrower). Two (2) Business Days after the LC Conditions for a Letter of Credit have been met (or if LC Issuer otherwise desires to issue such Letter of Credit), LC Issuer will issue such Letter of Credit at LC Issuer’s office in Houston, Texas. If any provisions of any LC Application conflict with any provisions of this Agreement, the provisions of this Agreement shall govern and control. Borrower shall promptly examine a copy of each Letter of Credit and each amendment thereto that is delivered to it and, in the event of any claim of noncompliance with Borrower’s instructions or other irregularity, Borrower will promptly notify LC Issuer.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7" w:name="page88"/>
    <w:bookmarkEnd w:id="87"/>
    <w:p>
      <w:pPr>
        <w:ind w:left="640"/>
        <w:spacing w:after="0"/>
        <w:tabs>
          <w:tab w:leader="none" w:pos="192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u w:val="single" w:color="auto"/>
          <w:color w:val="auto"/>
        </w:rPr>
        <w:t>Reimbursement and Participations</w:t>
      </w:r>
      <w:r>
        <w:rPr>
          <w:rFonts w:ascii="Arial" w:cs="Arial" w:eastAsia="Arial" w:hAnsi="Arial"/>
          <w:sz w:val="19"/>
          <w:szCs w:val="19"/>
          <w:color w:val="auto"/>
        </w:rPr>
        <w:t>.</w:t>
      </w:r>
    </w:p>
    <w:p>
      <w:pPr>
        <w:spacing w:after="0" w:line="207" w:lineRule="exact"/>
        <w:rPr>
          <w:sz w:val="20"/>
          <w:szCs w:val="20"/>
          <w:color w:val="auto"/>
        </w:rPr>
      </w:pPr>
    </w:p>
    <w:p>
      <w:pPr>
        <w:jc w:val="both"/>
        <w:ind w:firstLine="648"/>
        <w:spacing w:after="0" w:line="269" w:lineRule="auto"/>
        <w:tabs>
          <w:tab w:leader="none" w:pos="142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Reimbursement by Borrower</w:t>
      </w:r>
      <w:r>
        <w:rPr>
          <w:rFonts w:ascii="Arial" w:cs="Arial" w:eastAsia="Arial" w:hAnsi="Arial"/>
          <w:sz w:val="19"/>
          <w:szCs w:val="19"/>
          <w:color w:val="auto"/>
        </w:rPr>
        <w:t>. Each Matured LC Obligation shall constitute a Revolving Loan by LC Issuer to Borrower if not paid by the Borrower in accordance with the following sentence. Borrower promises to pay to LC Issuer, or to LC Issuer’s order, on the Business Day immediately following the day on which a demand is made, the full amount of each Matured LC Obligation, together with interest thereon at the Default Rate applicable to Base Rate Loans. The obligation of Borrower to reimburse LC Issuer for each Matured LC Obligation shall be absolute, unconditional and irrevocable, and shall be paid strictly in accordance with the terms of this Agreement (including any LC Application) under all circumstances, including the following: (i) any lack of validity or enforceability of such Letter of Credit or any other agreement or instrument relating thereto; (ii) the existence of any claim, counterclaim, set-off, defense or other right that Borrower may have at any time against any beneficiary or any transferee of such Letter of Credit (or any Person for whom any such beneficiary or any such transferee may be acting), LC Issuer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any payment by LC Issuer under such Letter of Credit against presentation of a draft or certificate that does not strictly comply with the terms of such Letter of Credit; or (v) any other circumstance or happening whatsoever, whether or not similar to any of the foregoing. Without limiting the generality of the foregoing, it is expressly agreed that the absolute and unconditional nature of Borrower’s obligations under this Section to reimburse LC Issuer for each drawing under a Letter of Credit will not be excused by the gross negligence or willful misconduct of LC Issuer. However, the foregoing shall not be construed to excuse LC Issuer from liability to Borrower to the extent of any direct damages (as opposed to consequential damages, claims in respect of which are hereby waived by Borrower to the extent permitted by applicable Law) suffered by Borrower that are caused by LC Issuer’s gross negligence or willful misconduct in determining whether drafts and other documents presented under a Letter of Credit comply with the terms thereof.</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48"/>
        <w:spacing w:after="0" w:line="246" w:lineRule="auto"/>
        <w:tabs>
          <w:tab w:leader="none" w:pos="137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Letter of Credit Advances</w:t>
      </w:r>
      <w:r>
        <w:rPr>
          <w:rFonts w:ascii="Arial" w:cs="Arial" w:eastAsia="Arial" w:hAnsi="Arial"/>
          <w:sz w:val="21"/>
          <w:szCs w:val="21"/>
          <w:color w:val="auto"/>
        </w:rPr>
        <w:t xml:space="preserve">. If the beneficiary of any Letter of Credit makes a draft or other demand for payment thereunder then Borrower may, during the interval between the making thereof and the honoring thereof by LC Issuer, request Lenders to make Loans to Borrower in the amount of such draft or demand, which Loans shall be made concurrently with LC Issuer’s payment of such draft or demand and shall be immediately used by LC Issuer to repay the amount of the resulting Matured LC Obligation. Such a request by Borrower shall be made in compliance with all of the provisions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purposes of the first sentence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2.1(b)</w:t>
      </w:r>
      <w:r>
        <w:rPr>
          <w:rFonts w:ascii="Arial" w:cs="Arial" w:eastAsia="Arial" w:hAnsi="Arial"/>
          <w:sz w:val="21"/>
          <w:szCs w:val="21"/>
          <w:color w:val="auto"/>
        </w:rPr>
        <w:t>, the amount of such Loans shall be considered, but the amount of the Matured LC Obligation to be concurrently paid by such Loans shall not be considered.</w:t>
      </w:r>
    </w:p>
    <w:p>
      <w:pPr>
        <w:spacing w:after="0" w:line="180" w:lineRule="exact"/>
        <w:rPr>
          <w:rFonts w:ascii="Arial" w:cs="Arial" w:eastAsia="Arial" w:hAnsi="Arial"/>
          <w:sz w:val="21"/>
          <w:szCs w:val="21"/>
          <w:color w:val="auto"/>
        </w:rPr>
      </w:pPr>
    </w:p>
    <w:p>
      <w:pPr>
        <w:jc w:val="both"/>
        <w:ind w:firstLine="648"/>
        <w:spacing w:after="0" w:line="236" w:lineRule="auto"/>
        <w:tabs>
          <w:tab w:leader="none" w:pos="1415"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Participation by Lenders</w:t>
      </w:r>
      <w:r>
        <w:rPr>
          <w:rFonts w:ascii="Arial" w:cs="Arial" w:eastAsia="Arial" w:hAnsi="Arial"/>
          <w:sz w:val="22"/>
          <w:szCs w:val="22"/>
          <w:color w:val="auto"/>
        </w:rPr>
        <w:t>. LC Issuer irrevocably agrees to grant and hereby grants to each Lender, and to induce LC Issuer to issue Letters of Credit hereunder each Lender irrevocably agrees to accept and purchase and hereby accepts and purchases from LC Issuer, on the terms and conditions hereinafter stated and for such Lender’s own account and risk, an undivided interest equal to such Lender’s Percentage Share of LC Issuer’s obligations and rights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8" w:name="page89"/>
    <w:bookmarkEnd w:id="88"/>
    <w:p>
      <w:pPr>
        <w:jc w:val="both"/>
        <w:spacing w:after="0" w:line="271" w:lineRule="auto"/>
        <w:rPr>
          <w:sz w:val="20"/>
          <w:szCs w:val="20"/>
          <w:color w:val="auto"/>
        </w:rPr>
      </w:pPr>
      <w:r>
        <w:rPr>
          <w:rFonts w:ascii="Arial" w:cs="Arial" w:eastAsia="Arial" w:hAnsi="Arial"/>
          <w:sz w:val="19"/>
          <w:szCs w:val="19"/>
          <w:color w:val="auto"/>
        </w:rPr>
        <w:t>under each Letter of Credit issued hereunder and the amount of each Matured LC Obligation paid by LC Issuer thereunder. Each Lender unconditionally and irrevocably agrees with LC Issuer that, if a Matured LC Obligation is paid under any Letter of Credit for which LC Issuer is not reimbursed in full by Borrower in accordance with the terms of this Agreement and the related LC Application (including any reimbursement by means of concurrent Loans or by the application of LC Collateral), such Lender shall (in all circumstances and without set-off or counterclaim) pay to LC Issuer on demand, in immediately available funds at LC Issuer’s address for notices hereunder, such Lender’s Percentage Share of such Matured LC Obligation (or any portion thereof which has not been reimbursed by Borrower). Each Lender’s obligation to pay LC Issuer pursuant to the terms of this subsection is irrevocable and unconditional. If any amount required to be paid by any Lender to LC Issuer pursuant to this subsection is paid by such Lender to LC Issuer within three Business Days after the date such payment is due, LC Issuer shall in addition to such amount be entitled to recover from such Lender, on demand, interest thereon calculated from such due date at the Federal Funds Rate. If any amount required to be paid by any Lender to LC Issuer pursuant to this subsection is not paid by such Lender to LC Issuer within three Business Days after the date such payment is due, LC Issuer shall in addition to such amount be entitled to recover from such Lender, on demand, interest thereon calculated from such due date at the Default Rate.</w:t>
      </w:r>
    </w:p>
    <w:p>
      <w:pPr>
        <w:spacing w:after="0" w:line="162" w:lineRule="exact"/>
        <w:rPr>
          <w:sz w:val="20"/>
          <w:szCs w:val="20"/>
          <w:color w:val="auto"/>
        </w:rPr>
      </w:pPr>
    </w:p>
    <w:p>
      <w:pPr>
        <w:jc w:val="both"/>
        <w:ind w:firstLine="648"/>
        <w:spacing w:after="0" w:line="275" w:lineRule="auto"/>
        <w:tabs>
          <w:tab w:leader="none" w:pos="133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Distributions to Participants</w:t>
      </w:r>
      <w:r>
        <w:rPr>
          <w:rFonts w:ascii="Arial" w:cs="Arial" w:eastAsia="Arial" w:hAnsi="Arial"/>
          <w:sz w:val="19"/>
          <w:szCs w:val="19"/>
          <w:color w:val="auto"/>
        </w:rPr>
        <w:t xml:space="preserve">. Whenever LC Issuer has in accordance with this Section received from any Lender payment of such Lender’s Percentage Share of any Matured LC Obligation, if LC Issuer thereafter receives any payment of such Matured LC Obligation or any payment of interest thereon (whether directly from Borrower or by application of LC Collateral or otherwise, and excluding only interest for any period prior to LC Issuer’s demand that such Lender make such payment of its Percentage Share), LC Issuer will distribute to such Lender its Percentage Share of the amounts so received by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such payment received by LC Issuer must thereafter be returned by LC Issuer, such Lender shall return to LC Issuer the portion thereof which LC Issuer has previously distributed to it.</w:t>
      </w:r>
    </w:p>
    <w:p>
      <w:pPr>
        <w:spacing w:after="0" w:line="158" w:lineRule="exact"/>
        <w:rPr>
          <w:rFonts w:ascii="Arial" w:cs="Arial" w:eastAsia="Arial" w:hAnsi="Arial"/>
          <w:sz w:val="19"/>
          <w:szCs w:val="19"/>
          <w:color w:val="auto"/>
        </w:rPr>
      </w:pPr>
    </w:p>
    <w:p>
      <w:pPr>
        <w:jc w:val="both"/>
        <w:ind w:firstLine="648"/>
        <w:spacing w:after="0"/>
        <w:tabs>
          <w:tab w:leader="none" w:pos="1536"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Calculations</w:t>
      </w:r>
      <w:r>
        <w:rPr>
          <w:rFonts w:ascii="Arial" w:cs="Arial" w:eastAsia="Arial" w:hAnsi="Arial"/>
          <w:sz w:val="22"/>
          <w:szCs w:val="22"/>
          <w:color w:val="auto"/>
        </w:rPr>
        <w:t>. A written advice setting forth in reasonable detail the amounts owing under this Section, submitted by LC Issuer to Borrower or any Lender from time to time, shall be conclusive, absent manifest error, as to the amounts thereof.</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Letter of Credit Fees</w:t>
      </w:r>
      <w:r>
        <w:rPr>
          <w:rFonts w:ascii="Arial" w:cs="Arial" w:eastAsia="Arial" w:hAnsi="Arial"/>
          <w:sz w:val="19"/>
          <w:szCs w:val="19"/>
          <w:color w:val="auto"/>
        </w:rPr>
        <w:t>. In consideration of LC Issuer’s issuance of any Letters of Credit, Borrower agrees to pay (a) to Agent, for the account of all Lenders in accordance with their respective Percentage Shares, (i) with respect to each Letter of Credit supporting non-financial contractual obligations, a per annum letter of credit fee on the undrawn face amount of such Letter of Credit at a rate equal to 50% of the rate specified as the LC Rate on the Pricing Schedule and (ii) with respect to each other Letter of Credit, a per annum letter of credit fee on the undrawn face amount of such Letter of Credit at a rate equal to the rate specified as the LC Rate on the Pricing Schedule and (b) to such LC Issuer for its own account, a letter of credit fronting fee at a rate equal to 0.125% per annum. The letter of credit fee and the letter of credit fronting fee will be calculated on the undrawn face amount of each Letter of Credit outstanding on each day at the above-applicable rates and will be due and payable in arrears on the first day of each Fiscal Quarter and at the end of the Commitment Period.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9" w:name="page90"/>
    <w:bookmarkEnd w:id="89"/>
    <w:p>
      <w:pPr>
        <w:ind w:left="640"/>
        <w:spacing w:after="0"/>
        <w:tabs>
          <w:tab w:leader="none" w:pos="192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u w:val="single" w:color="auto"/>
          <w:color w:val="auto"/>
        </w:rPr>
        <w:t>No Duty to Inquire</w:t>
      </w:r>
      <w:r>
        <w:rPr>
          <w:rFonts w:ascii="Arial" w:cs="Arial" w:eastAsia="Arial" w:hAnsi="Arial"/>
          <w:sz w:val="19"/>
          <w:szCs w:val="19"/>
          <w:color w:val="auto"/>
        </w:rPr>
        <w:t>.</w:t>
      </w:r>
    </w:p>
    <w:p>
      <w:pPr>
        <w:spacing w:after="0" w:line="207" w:lineRule="exact"/>
        <w:rPr>
          <w:sz w:val="20"/>
          <w:szCs w:val="20"/>
          <w:color w:val="auto"/>
        </w:rPr>
      </w:pPr>
    </w:p>
    <w:p>
      <w:pPr>
        <w:jc w:val="both"/>
        <w:ind w:firstLine="648"/>
        <w:spacing w:after="0" w:line="272" w:lineRule="auto"/>
        <w:tabs>
          <w:tab w:leader="none" w:pos="1388"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Drafts and Demands</w:t>
      </w:r>
      <w:r>
        <w:rPr>
          <w:rFonts w:ascii="Arial" w:cs="Arial" w:eastAsia="Arial" w:hAnsi="Arial"/>
          <w:sz w:val="19"/>
          <w:szCs w:val="19"/>
          <w:color w:val="auto"/>
        </w:rPr>
        <w:t xml:space="preserve">. LC Issuer is authorized and instructed to accept and pay drafts and demands for payment under any Letter of Credit without requiring, and without responsibility for, any determination as to the existence of any event giving rise to said draft, either at the time of acceptance or payment or thereafter. LC Issuer is under no duty to determine the proper identity of anyone presenting such a draft or making such a demand (whether by tested telex or otherwise) as the officer, representative or Agent of any beneficiary under any Letter of Credit, and payment by LC Issuer to any such beneficiary when requested by any such purported officer, representative or Agent is hereby authorized and approved. Borrower releases each Lender Party from, and agrees to hold each Lender Party harmless and indemnified against, any liability or claim in connection with or arising out of the subject matter of this Section, </w:t>
      </w:r>
      <w:r>
        <w:rPr>
          <w:rFonts w:ascii="Arial" w:cs="Arial" w:eastAsia="Arial" w:hAnsi="Arial"/>
          <w:sz w:val="19"/>
          <w:szCs w:val="19"/>
          <w:b w:val="1"/>
          <w:bCs w:val="1"/>
          <w:u w:val="single" w:color="auto"/>
          <w:color w:val="auto"/>
        </w:rPr>
        <w:t>which indemnity shall apply whether or not any such liability or claim is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in any way or to any extent caused, in whole or in part, by any negligent act or omission of any kind by any Lender Party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only that no Lender Party shall be entitled to indemnification for that portion, if any, of</w:t>
      </w:r>
      <w:r>
        <w:rPr>
          <w:rFonts w:ascii="Arial" w:cs="Arial" w:eastAsia="Arial" w:hAnsi="Arial"/>
          <w:sz w:val="19"/>
          <w:szCs w:val="19"/>
          <w:b w:val="1"/>
          <w:bCs w:val="1"/>
          <w:color w:val="auto"/>
        </w:rPr>
        <w:t xml:space="preserve"> </w:t>
      </w:r>
      <w:r>
        <w:rPr>
          <w:rFonts w:ascii="Arial" w:cs="Arial" w:eastAsia="Arial" w:hAnsi="Arial"/>
          <w:sz w:val="19"/>
          <w:szCs w:val="19"/>
          <w:color w:val="auto"/>
        </w:rPr>
        <w:t>any liability or claim which is proximately caused by its own individual gross negligence or willful misconduct, as determined in a final judgment by a court of competent jurisdiction.</w:t>
      </w:r>
    </w:p>
    <w:p>
      <w:pPr>
        <w:spacing w:after="0" w:line="157" w:lineRule="exact"/>
        <w:rPr>
          <w:rFonts w:ascii="Arial" w:cs="Arial" w:eastAsia="Arial" w:hAnsi="Arial"/>
          <w:sz w:val="19"/>
          <w:szCs w:val="19"/>
          <w:color w:val="auto"/>
        </w:rPr>
      </w:pPr>
    </w:p>
    <w:p>
      <w:pPr>
        <w:jc w:val="both"/>
        <w:ind w:firstLine="648"/>
        <w:spacing w:after="0" w:line="277" w:lineRule="auto"/>
        <w:tabs>
          <w:tab w:leader="none" w:pos="137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Extension of Maturity</w:t>
      </w:r>
      <w:r>
        <w:rPr>
          <w:rFonts w:ascii="Arial" w:cs="Arial" w:eastAsia="Arial" w:hAnsi="Arial"/>
          <w:sz w:val="19"/>
          <w:szCs w:val="19"/>
          <w:color w:val="auto"/>
        </w:rPr>
        <w:t>. If the maturity of any Letter of Credit is extended by its terms or by Law or governmental action, if any extension of the maturity or time for presentation of drafts or any other modification of the terms of any Letter of Credit is made at the request of any Restricted Person, or if the amount of any Letter of Credit is increased at the request of any Restricted Person, this Agreement shall be binding upon all Restricted Persons with respect to such Letter of Credit as so extended, increased or otherwise modified, with respect to drafts and property covered thereby, and with respect to any action taken by LC Issuer, LC Issuer’s correspondents, or any Lender Party in accordance with such extension, increase or other modification.</w:t>
      </w:r>
    </w:p>
    <w:p>
      <w:pPr>
        <w:spacing w:after="0" w:line="152" w:lineRule="exact"/>
        <w:rPr>
          <w:rFonts w:ascii="Arial" w:cs="Arial" w:eastAsia="Arial" w:hAnsi="Arial"/>
          <w:sz w:val="19"/>
          <w:szCs w:val="19"/>
          <w:color w:val="auto"/>
        </w:rPr>
      </w:pPr>
    </w:p>
    <w:p>
      <w:pPr>
        <w:jc w:val="both"/>
        <w:ind w:firstLine="648"/>
        <w:spacing w:after="0" w:line="273" w:lineRule="auto"/>
        <w:tabs>
          <w:tab w:leader="none" w:pos="144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Transferees of Letters of Credit</w:t>
      </w:r>
      <w:r>
        <w:rPr>
          <w:rFonts w:ascii="Arial" w:cs="Arial" w:eastAsia="Arial" w:hAnsi="Arial"/>
          <w:sz w:val="19"/>
          <w:szCs w:val="19"/>
          <w:color w:val="auto"/>
        </w:rPr>
        <w:t xml:space="preserve">. If any Letter of Credit provides that it is transferable, LC Issuer shall have no duty to determine the proper identity of anyone appearing as transferee of such Letter of Credit, nor shall LC Issuer be charged with responsibility of any nature or character for the validity or correctness of any transfer or successive transfers, and payment by LC Issuer to any purported transferee or transferees as determined by LC Issuer is hereby authorized and approved, and Borrower releases each Lender Party from, and agrees to hold each Lender Party harmless and indemnified against, any liability or claim in connection with or arising out of the foregoing, </w:t>
      </w:r>
      <w:r>
        <w:rPr>
          <w:rFonts w:ascii="Arial" w:cs="Arial" w:eastAsia="Arial" w:hAnsi="Arial"/>
          <w:sz w:val="19"/>
          <w:szCs w:val="19"/>
          <w:b w:val="1"/>
          <w:bCs w:val="1"/>
          <w:u w:val="single" w:color="auto"/>
          <w:color w:val="auto"/>
        </w:rPr>
        <w:t>which indemnity shall apply whether or not any such liability or claim is in any way or to any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extent caused, in whole or in part, by any negligent act or omission of any kind by any Lender Party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only that no Lender Party shall be entitled to indemnification for that portion, if any, of any liability or claim which is proximately caused by its own individual gross negligence or willful misconduct, as determined in a final judgment by a court of competent jurisdiction.</w:t>
      </w:r>
    </w:p>
    <w:p>
      <w:pPr>
        <w:spacing w:after="0" w:line="200" w:lineRule="exact"/>
        <w:rPr>
          <w:sz w:val="20"/>
          <w:szCs w:val="20"/>
          <w:color w:val="auto"/>
        </w:rPr>
      </w:pPr>
    </w:p>
    <w:p>
      <w:pPr>
        <w:spacing w:after="0" w:line="205"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2.14</w:t>
      </w:r>
      <w:r>
        <w:rPr>
          <w:sz w:val="20"/>
          <w:szCs w:val="20"/>
          <w:color w:val="auto"/>
        </w:rPr>
        <w:tab/>
      </w:r>
      <w:r>
        <w:rPr>
          <w:rFonts w:ascii="Arial" w:cs="Arial" w:eastAsia="Arial" w:hAnsi="Arial"/>
          <w:sz w:val="19"/>
          <w:szCs w:val="19"/>
          <w:u w:val="single" w:color="auto"/>
          <w:color w:val="auto"/>
        </w:rPr>
        <w:t>LC Collateral</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38" w:lineRule="auto"/>
        <w:tabs>
          <w:tab w:leader="none" w:pos="1347"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Acceleration of LC Obligations</w:t>
      </w:r>
      <w:r>
        <w:rPr>
          <w:rFonts w:ascii="Arial" w:cs="Arial" w:eastAsia="Arial" w:hAnsi="Arial"/>
          <w:sz w:val="22"/>
          <w:szCs w:val="22"/>
          <w:color w:val="auto"/>
        </w:rPr>
        <w:t xml:space="preserve">. If the Obligations or any part thereof become immediately due and payable pursuant to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then, unless Required Lenders otherwise specifically elect to the contrary (which election may thereafter be retracted by Required Lenders at any time), all LC Obligations shall be deemed to become immediately due and payable without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0" w:name="page91"/>
    <w:bookmarkEnd w:id="90"/>
    <w:p>
      <w:pPr>
        <w:jc w:val="both"/>
        <w:spacing w:after="0" w:line="236" w:lineRule="auto"/>
        <w:rPr>
          <w:sz w:val="20"/>
          <w:szCs w:val="20"/>
          <w:color w:val="auto"/>
        </w:rPr>
      </w:pPr>
      <w:r>
        <w:rPr>
          <w:rFonts w:ascii="Arial" w:cs="Arial" w:eastAsia="Arial" w:hAnsi="Arial"/>
          <w:sz w:val="22"/>
          <w:szCs w:val="22"/>
          <w:color w:val="auto"/>
        </w:rPr>
        <w:t>regard to whether or not actual drawings or payments on the Letters of Credit have occurred, and Borrower shall be obligated to pay to LC Issuer immediately an amount equal to the aggregate LC Obligations which are then outstanding, which amount shall be held by LC Issuer as security for LC Obligations (the “</w:t>
      </w:r>
      <w:r>
        <w:rPr>
          <w:rFonts w:ascii="Arial" w:cs="Arial" w:eastAsia="Arial" w:hAnsi="Arial"/>
          <w:sz w:val="22"/>
          <w:szCs w:val="22"/>
          <w:u w:val="single" w:color="auto"/>
          <w:color w:val="auto"/>
        </w:rPr>
        <w:t>LC Collateral</w:t>
      </w:r>
      <w:r>
        <w:rPr>
          <w:rFonts w:ascii="Arial" w:cs="Arial" w:eastAsia="Arial" w:hAnsi="Arial"/>
          <w:sz w:val="22"/>
          <w:szCs w:val="22"/>
          <w:color w:val="auto"/>
        </w:rPr>
        <w:t>”) and the other Obligations, and such LC Collateral may be applied from time to time to any Matured LC Obligations or any other Obligations which are due and payable.</w:t>
      </w:r>
    </w:p>
    <w:p>
      <w:pPr>
        <w:spacing w:after="0" w:line="188" w:lineRule="exact"/>
        <w:rPr>
          <w:sz w:val="20"/>
          <w:szCs w:val="20"/>
          <w:color w:val="auto"/>
        </w:rPr>
      </w:pPr>
    </w:p>
    <w:p>
      <w:pPr>
        <w:jc w:val="both"/>
        <w:ind w:firstLine="648"/>
        <w:spacing w:after="0" w:line="271" w:lineRule="auto"/>
        <w:tabs>
          <w:tab w:leader="none" w:pos="1359"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Investment of LC Collateral</w:t>
      </w:r>
      <w:r>
        <w:rPr>
          <w:rFonts w:ascii="Arial" w:cs="Arial" w:eastAsia="Arial" w:hAnsi="Arial"/>
          <w:sz w:val="19"/>
          <w:szCs w:val="19"/>
          <w:color w:val="auto"/>
        </w:rPr>
        <w:t>. Pending application thereof, all LC Collateral shall be invested by the Agent in such Investments as the Agent may choose in its sole discretion. All interest on (and other proceeds of) such Investments shall be reinvested or applied to Matured LC Obligations or other Obligations which are due and payable. When all Obligations have been satisfied in full, including all LC Obligations, all Letters of Credit have expired or been terminated, and all of Borrower’s reimbursement obligations in connection therewith have been satisfied in full or when the condition pursuant to which the LC Collateral was required no longer exists, the Agent shall release any remaining LC Collateral. Borrower hereby assigns and grants to the Agent a continuing security interest in all LC Collateral paid by it to the Agent, all Investments purchased with such LC Collateral, and all proceeds thereof to secure its Matured LC Obligations and its Obligations under this Agreement, each Note, and the other Loan Documents, and Borrower agrees that such LC Collateral, Investments and proceeds shall be subject to all of the terms and conditions of the Security Documents. Borrower further agrees that the Agent shall have all of the rights and remedies of a secured party under the Uniform Commercial Code as adopted in the State of Texas with respect to such security interest and that an Event of Default under this Agreement shall constitute a default for purposes of such security interest.</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firstLine="648"/>
        <w:spacing w:after="0" w:line="246" w:lineRule="auto"/>
        <w:tabs>
          <w:tab w:leader="none" w:pos="1374"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Payment of LC Collateral</w:t>
      </w:r>
      <w:r>
        <w:rPr>
          <w:rFonts w:ascii="Arial" w:cs="Arial" w:eastAsia="Arial" w:hAnsi="Arial"/>
          <w:sz w:val="21"/>
          <w:szCs w:val="21"/>
          <w:color w:val="auto"/>
        </w:rPr>
        <w:t>. When Borrower is required to provide LC Collateral for any reason and fails to do so on the day when required, the Agent or LC Issuer may without notice to Borrower or any other Restricted Person provide such LC Collateral (whether by application of proceeds of other Collateral, by transfers from other accounts maintained with the Agent or LC Issuer, or otherwise) using any available funds of Borrower or any other Person also liable to make such payments. Any such amounts which are required to be provided as LC Collateral and which are not provided on the date required shall, for purposes of each Security Document, be considered past due Obligations owing hereunder, and LC Issuer is hereby authorized to exercise its respective rights under each Security Document to obtain such amounts.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Existing Letters of Credit</w:t>
      </w:r>
      <w:r>
        <w:rPr>
          <w:rFonts w:ascii="Arial" w:cs="Arial" w:eastAsia="Arial" w:hAnsi="Arial"/>
          <w:sz w:val="19"/>
          <w:szCs w:val="19"/>
          <w:color w:val="auto"/>
        </w:rPr>
        <w:t>. On the effective date of this Agreement, without further action by any party hereto, the LC Issuer shall be deemed to have granted to each Lender, and each Lender shall be deemed to have acquired from the LC Issuer, a participation in each of the Existing Letters of Credit equal to such Lender’s Percentage Share of (i) the aggregate amount available to be drawn under such Existing Letters of Credit and (ii) the aggregate amount of any outstanding reimbursement obligations in respect thereof. With respect to each of the Existing Letters of Credit, (i) if the LC Issuer has heretofore sold a participation therein to a Lender, the LC Issuer and such Lender agree that such participation shall be automatically canceled on the effective date of this Agreement and (ii) if the LC Issuer has heretofore sold a participation therein to any bank or financial institution that is not a Lender, then the LC Issuer shall procure the termination of such participation on or prior to the effective date of this Agreement. On and after the effective date of this Agreement, each of the Existing Letters of Credit shall be a Letter of Credit issued hereunder.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1" w:name="page92"/>
    <w:bookmarkEnd w:id="91"/>
    <w:p>
      <w:pPr>
        <w:ind w:left="640"/>
        <w:spacing w:after="0"/>
        <w:tabs>
          <w:tab w:leader="none" w:pos="1920" w:val="left"/>
        </w:tabs>
        <w:rPr>
          <w:sz w:val="20"/>
          <w:szCs w:val="20"/>
          <w:color w:val="auto"/>
        </w:rPr>
      </w:pPr>
      <w:r>
        <w:rPr>
          <w:rFonts w:ascii="Arial" w:cs="Arial" w:eastAsia="Arial" w:hAnsi="Arial"/>
          <w:sz w:val="22"/>
          <w:szCs w:val="22"/>
          <w:color w:val="auto"/>
        </w:rPr>
        <w:t>Section 2.16</w:t>
      </w:r>
      <w:r>
        <w:rPr>
          <w:sz w:val="20"/>
          <w:szCs w:val="20"/>
          <w:color w:val="auto"/>
        </w:rPr>
        <w:tab/>
      </w:r>
      <w:r>
        <w:rPr>
          <w:rFonts w:ascii="Arial" w:cs="Arial" w:eastAsia="Arial" w:hAnsi="Arial"/>
          <w:sz w:val="19"/>
          <w:szCs w:val="19"/>
          <w:u w:val="single" w:color="auto"/>
          <w:color w:val="auto"/>
        </w:rPr>
        <w:t>Swingline Loans</w:t>
      </w:r>
      <w:r>
        <w:rPr>
          <w:rFonts w:ascii="Arial" w:cs="Arial" w:eastAsia="Arial" w:hAnsi="Arial"/>
          <w:sz w:val="19"/>
          <w:szCs w:val="19"/>
          <w:color w:val="auto"/>
        </w:rPr>
        <w:t>.</w:t>
      </w:r>
    </w:p>
    <w:p>
      <w:pPr>
        <w:spacing w:after="0" w:line="207" w:lineRule="exact"/>
        <w:rPr>
          <w:sz w:val="20"/>
          <w:szCs w:val="20"/>
          <w:color w:val="auto"/>
        </w:rPr>
      </w:pPr>
    </w:p>
    <w:p>
      <w:pPr>
        <w:jc w:val="both"/>
        <w:ind w:firstLine="648"/>
        <w:spacing w:after="0" w:line="244" w:lineRule="auto"/>
        <w:tabs>
          <w:tab w:leader="none" w:pos="1401" w:val="left"/>
        </w:tabs>
        <w:numPr>
          <w:ilvl w:val="0"/>
          <w:numId w:val="45"/>
        </w:numPr>
        <w:rPr>
          <w:rFonts w:ascii="Arial" w:cs="Arial" w:eastAsia="Arial" w:hAnsi="Arial"/>
          <w:sz w:val="21"/>
          <w:szCs w:val="21"/>
          <w:color w:val="auto"/>
        </w:rPr>
      </w:pPr>
      <w:r>
        <w:rPr>
          <w:rFonts w:ascii="Arial" w:cs="Arial" w:eastAsia="Arial" w:hAnsi="Arial"/>
          <w:sz w:val="21"/>
          <w:szCs w:val="21"/>
          <w:color w:val="auto"/>
        </w:rPr>
        <w:t>Subject to the terms and conditions hereof, upon the request of Borrower from time to time during the Commitment Period, the Swingline Lender may, but will not be obligated to, make swingline loans (the “</w:t>
      </w:r>
      <w:r>
        <w:rPr>
          <w:rFonts w:ascii="Arial" w:cs="Arial" w:eastAsia="Arial" w:hAnsi="Arial"/>
          <w:sz w:val="21"/>
          <w:szCs w:val="21"/>
          <w:u w:val="single" w:color="auto"/>
          <w:color w:val="auto"/>
        </w:rPr>
        <w:t>Swingline Loans</w:t>
      </w:r>
      <w:r>
        <w:rPr>
          <w:rFonts w:ascii="Arial" w:cs="Arial" w:eastAsia="Arial" w:hAnsi="Arial"/>
          <w:sz w:val="21"/>
          <w:szCs w:val="21"/>
          <w:color w:val="auto"/>
        </w:rPr>
        <w:t xml:space="preserve">”) to Borrower, notwithstanding the fact that such Swingline Loans, when aggregated with the Percentage Share of the Revolving Loans and LC Obligations of the Lender acting as Swingline Lender, may exceed such Lender’s Revolving Loan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the (i) aggregate principal amount of outstanding Swingline Loans at any time outstanding shall not exceed $10,000,000, and (ii) Swingline Lender shall not be required to make a Swingline Loan to refinance an outstanding Swingline Loan. Notwithstanding the foregoing, the aggregate outstanding combined principal balance of the Revolving Loans and Swingline Loans outstanding at any time together with all LC Obligations shall not exceed the Aggregate Commitment. Each Swingline Loan (i) shall be a Base Rate Loan, (ii) shall be made in the minimum amount of $100,000.00 and integral multiples thereof or in the amount of any unused portion of the Aggregate Commitment, and (iii) may be repaid and, so long as no Default or Event of Default exists hereunder, reborrowed, at the option of the Borrower in accordance with the provisions hereof. There shall be no further Borrowings under Swingline Loans after the Maturity Date.</w:t>
      </w:r>
    </w:p>
    <w:p>
      <w:pPr>
        <w:spacing w:after="0" w:line="182" w:lineRule="exact"/>
        <w:rPr>
          <w:rFonts w:ascii="Arial" w:cs="Arial" w:eastAsia="Arial" w:hAnsi="Arial"/>
          <w:sz w:val="21"/>
          <w:szCs w:val="21"/>
          <w:color w:val="auto"/>
        </w:rPr>
      </w:pPr>
    </w:p>
    <w:p>
      <w:pPr>
        <w:jc w:val="both"/>
        <w:ind w:firstLine="648"/>
        <w:spacing w:after="0" w:line="269" w:lineRule="auto"/>
        <w:tabs>
          <w:tab w:leader="none" w:pos="1427"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The Swingline Lender may by written notice given to the Agent not later than 9:00 a.m. Houston, Texas time on any Business Day require the Lenders to acquire participations on such Business Day in all or a portion of the Swingline Loans outstanding. Such notice shall specify the aggregate amount of Swingline Loans in which Lenders will participate. Promptly upon receipt of such notice, the Agent will give notice thereof to each Lender, specifying in such notice such Lender’s Percentage Share of such Swingline Loan or Loans. Each Lender hereby absolutely and unconditionally agrees, upon receipt of notice as provided above, to pay to the Agent, for the account of the Swingline Lender, such Lender’s Percentage Share of such Swingline Loan or Loans. Each Lender acknowledges and agrees that its obligation to acquire participations in Swingline Loans pursuant to this paragraph is absolute and unconditional and shall not be affected by any circumstance whatsoever, including the occurrence and continuance of a Default, Event of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mutandis</w:t>
      </w:r>
      <w:r>
        <w:rPr>
          <w:rFonts w:ascii="Arial" w:cs="Arial" w:eastAsia="Arial" w:hAnsi="Arial"/>
          <w:sz w:val="19"/>
          <w:szCs w:val="19"/>
          <w:color w:val="auto"/>
        </w:rPr>
        <w:t>, to the payment obligations of the Lenders), and the Agent shall promptly pay to the Swingline Lender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amounts so received by it from the Lenders. The Agent shall notify the Borrower of any participations in any Swingline Loan acquired pursuant to this paragraph, and thereafter payments in respect of such Swingline Loan shall be made to the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Agent; any such amounts received by the Agent shall be promptly remitted by the Agent to the Lenders that shall have made their payments pursuant to this paragraph and to the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the Swingline Lender or to the Agent, as applicable, if and to the extent such payment is required to be refunded to the Borrower for any reason. The purchase of participations in 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2" w:name="page93"/>
    <w:bookmarkEnd w:id="92"/>
    <w:p>
      <w:pPr>
        <w:spacing w:after="0"/>
        <w:rPr>
          <w:sz w:val="20"/>
          <w:szCs w:val="20"/>
          <w:color w:val="auto"/>
        </w:rPr>
      </w:pPr>
      <w:r>
        <w:rPr>
          <w:rFonts w:ascii="Arial" w:cs="Arial" w:eastAsia="Arial" w:hAnsi="Arial"/>
          <w:sz w:val="19"/>
          <w:szCs w:val="19"/>
          <w:color w:val="auto"/>
        </w:rPr>
        <w:t>Swingline Loan pursuant to this paragraph shall not relieve the Borrower of any default in the payment thereof.</w:t>
      </w:r>
    </w:p>
    <w:p>
      <w:pPr>
        <w:spacing w:after="0" w:line="241" w:lineRule="exact"/>
        <w:rPr>
          <w:sz w:val="20"/>
          <w:szCs w:val="20"/>
          <w:color w:val="auto"/>
        </w:rPr>
      </w:pPr>
    </w:p>
    <w:p>
      <w:pPr>
        <w:ind w:firstLine="648"/>
        <w:spacing w:after="0" w:line="251" w:lineRule="auto"/>
        <w:tabs>
          <w:tab w:leader="none" w:pos="1374"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Whenever the Borrower requests a Swingline Loan, it must deliver to Agent a Borrowing Notice as described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firstLine="648"/>
        <w:spacing w:after="0" w:line="234" w:lineRule="auto"/>
        <w:tabs>
          <w:tab w:leader="none" w:pos="1481"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The Borrower’s obligation to repay the Swingline Loans made by the Swingline Lender shall be evidenced by a revolving credit promissory note duly executed and delivered by the Borrower to the Swingline Lender substantially in the form of </w:t>
      </w:r>
      <w:r>
        <w:rPr>
          <w:rFonts w:ascii="Arial" w:cs="Arial" w:eastAsia="Arial" w:hAnsi="Arial"/>
          <w:sz w:val="22"/>
          <w:szCs w:val="22"/>
          <w:u w:val="single" w:color="auto"/>
          <w:color w:val="auto"/>
        </w:rPr>
        <w:t>Exhibit 2.16</w:t>
      </w:r>
      <w:r>
        <w:rPr>
          <w:rFonts w:ascii="Arial" w:cs="Arial" w:eastAsia="Arial" w:hAnsi="Arial"/>
          <w:sz w:val="22"/>
          <w:szCs w:val="22"/>
          <w:color w:val="auto"/>
        </w:rPr>
        <w:t xml:space="preserve"> hereto (the “</w:t>
      </w:r>
      <w:r>
        <w:rPr>
          <w:rFonts w:ascii="Arial" w:cs="Arial" w:eastAsia="Arial" w:hAnsi="Arial"/>
          <w:sz w:val="22"/>
          <w:szCs w:val="22"/>
          <w:u w:val="single" w:color="auto"/>
          <w:color w:val="auto"/>
        </w:rPr>
        <w:t>Swingline Note</w:t>
      </w:r>
      <w:r>
        <w:rPr>
          <w:rFonts w:ascii="Arial" w:cs="Arial" w:eastAsia="Arial" w:hAnsi="Arial"/>
          <w:sz w:val="22"/>
          <w:szCs w:val="22"/>
          <w:color w:val="auto"/>
        </w:rPr>
        <w:t xml:space="preserve">”), and the Swingline Note shall (i) be payable to the order of the Swingline Lender and be dated as of the Closing Date, (ii) be in a stated principal amount equal to $10,000,000, (iii) prior to the Maturity Date, be payable as provided herein and mature on the Maturity Date, (iv) bear interest as provided in this </w:t>
      </w:r>
      <w:r>
        <w:rPr>
          <w:rFonts w:ascii="Arial" w:cs="Arial" w:eastAsia="Arial" w:hAnsi="Arial"/>
          <w:sz w:val="22"/>
          <w:szCs w:val="22"/>
          <w:u w:val="single" w:color="auto"/>
          <w:color w:val="auto"/>
        </w:rPr>
        <w:t>Section 2.16</w:t>
      </w:r>
      <w:r>
        <w:rPr>
          <w:rFonts w:ascii="Arial" w:cs="Arial" w:eastAsia="Arial" w:hAnsi="Arial"/>
          <w:sz w:val="22"/>
          <w:szCs w:val="22"/>
          <w:color w:val="auto"/>
        </w:rPr>
        <w:t xml:space="preserve"> and (v) be entitled to the benefits of this Agreement and the other Loan Documents.</w:t>
      </w:r>
    </w:p>
    <w:p>
      <w:pPr>
        <w:spacing w:after="0" w:line="191" w:lineRule="exact"/>
        <w:rPr>
          <w:rFonts w:ascii="Arial" w:cs="Arial" w:eastAsia="Arial" w:hAnsi="Arial"/>
          <w:sz w:val="22"/>
          <w:szCs w:val="22"/>
          <w:color w:val="auto"/>
        </w:rPr>
      </w:pPr>
    </w:p>
    <w:p>
      <w:pPr>
        <w:jc w:val="both"/>
        <w:ind w:firstLine="648"/>
        <w:spacing w:after="0" w:line="252" w:lineRule="auto"/>
        <w:tabs>
          <w:tab w:leader="none" w:pos="1374" w:val="left"/>
        </w:tabs>
        <w:numPr>
          <w:ilvl w:val="0"/>
          <w:numId w:val="46"/>
        </w:numPr>
        <w:rPr>
          <w:rFonts w:ascii="Arial" w:cs="Arial" w:eastAsia="Arial" w:hAnsi="Arial"/>
          <w:sz w:val="21"/>
          <w:szCs w:val="21"/>
          <w:color w:val="auto"/>
        </w:rPr>
      </w:pPr>
      <w:r>
        <w:rPr>
          <w:rFonts w:ascii="Arial" w:cs="Arial" w:eastAsia="Arial" w:hAnsi="Arial"/>
          <w:sz w:val="21"/>
          <w:szCs w:val="21"/>
          <w:color w:val="auto"/>
        </w:rPr>
        <w:t>All outstanding principal (and any accrued, unpaid interest) of any Swingline Loan will be due and payable on the earliest of (i) the Maturity Date, (ii) the first date after such Swingline Loan is made that is the last day of a calendar month and is at least two Business Days after such Swingline Loan is made, and (iii) the first date that a Revolving Loan is made after the date of such Swingline Loan.</w:t>
      </w:r>
    </w:p>
    <w:p>
      <w:pPr>
        <w:spacing w:after="0" w:line="174" w:lineRule="exact"/>
        <w:rPr>
          <w:rFonts w:ascii="Arial" w:cs="Arial" w:eastAsia="Arial" w:hAnsi="Arial"/>
          <w:sz w:val="21"/>
          <w:szCs w:val="21"/>
          <w:color w:val="auto"/>
        </w:rPr>
      </w:pPr>
    </w:p>
    <w:p>
      <w:pPr>
        <w:ind w:firstLine="648"/>
        <w:spacing w:after="0" w:line="251" w:lineRule="auto"/>
        <w:tabs>
          <w:tab w:leader="none" w:pos="131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unpaid principal amount of each Swingline Loan shall bear interest at an annual rate equal to the Adjusted Base Rate in effect from time to time.</w:t>
      </w:r>
    </w:p>
    <w:p>
      <w:pPr>
        <w:spacing w:after="0" w:line="173" w:lineRule="exact"/>
        <w:rPr>
          <w:rFonts w:ascii="Arial" w:cs="Arial" w:eastAsia="Arial" w:hAnsi="Arial"/>
          <w:sz w:val="22"/>
          <w:szCs w:val="22"/>
          <w:color w:val="auto"/>
        </w:rPr>
      </w:pPr>
    </w:p>
    <w:p>
      <w:pPr>
        <w:ind w:firstLine="648"/>
        <w:spacing w:after="0" w:line="251" w:lineRule="auto"/>
        <w:tabs>
          <w:tab w:leader="none" w:pos="14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 xml:space="preserve">The obligation of the Swingline Lender to make Swingline Loans to the Borrower is subject to the same conditions precedent for the making of Loans under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2.17</w:t>
      </w:r>
      <w:r>
        <w:rPr>
          <w:sz w:val="20"/>
          <w:szCs w:val="20"/>
          <w:color w:val="auto"/>
        </w:rPr>
        <w:tab/>
      </w:r>
      <w:r>
        <w:rPr>
          <w:rFonts w:ascii="Arial" w:cs="Arial" w:eastAsia="Arial" w:hAnsi="Arial"/>
          <w:sz w:val="19"/>
          <w:szCs w:val="19"/>
          <w:u w:val="single" w:color="auto"/>
          <w:color w:val="auto"/>
        </w:rPr>
        <w:t>Increase of Commitments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82" w:lineRule="auto"/>
        <w:tabs>
          <w:tab w:leader="none" w:pos="1361"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2.17(b)</w:t>
      </w:r>
      <w:r>
        <w:rPr>
          <w:rFonts w:ascii="Arial" w:cs="Arial" w:eastAsia="Arial" w:hAnsi="Arial"/>
          <w:sz w:val="19"/>
          <w:szCs w:val="19"/>
          <w:color w:val="auto"/>
        </w:rPr>
        <w:t>, the Borrower may increase the Aggregate Commitment then in effect by entering into an Incremental Commitment Agreement with one or more banks or financial institutions (each an “</w:t>
      </w:r>
      <w:r>
        <w:rPr>
          <w:rFonts w:ascii="Arial" w:cs="Arial" w:eastAsia="Arial" w:hAnsi="Arial"/>
          <w:sz w:val="19"/>
          <w:szCs w:val="19"/>
          <w:u w:val="single" w:color="auto"/>
          <w:color w:val="auto"/>
        </w:rPr>
        <w:t>Incremental Lender</w:t>
      </w:r>
      <w:r>
        <w:rPr>
          <w:rFonts w:ascii="Arial" w:cs="Arial" w:eastAsia="Arial" w:hAnsi="Arial"/>
          <w:sz w:val="19"/>
          <w:szCs w:val="19"/>
          <w:color w:val="auto"/>
        </w:rPr>
        <w:t>”), pursuant to which each such Incremental Lender’s Revolving Loan Commitment shall be increased or, if such Incremental Lender was not a Lender prior to entering such Incremental Commitment Agreement, pursuant to which such Incremental Lender makes and is allocated a Revolving Loan Commitment.</w:t>
      </w:r>
    </w:p>
    <w:p>
      <w:pPr>
        <w:spacing w:after="0" w:line="147" w:lineRule="exact"/>
        <w:rPr>
          <w:rFonts w:ascii="Arial" w:cs="Arial" w:eastAsia="Arial" w:hAnsi="Arial"/>
          <w:sz w:val="19"/>
          <w:szCs w:val="19"/>
          <w:color w:val="auto"/>
        </w:rPr>
      </w:pPr>
    </w:p>
    <w:p>
      <w:pPr>
        <w:ind w:firstLine="648"/>
        <w:spacing w:after="0" w:line="251" w:lineRule="auto"/>
        <w:tabs>
          <w:tab w:leader="none" w:pos="1508"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Any increase in the Aggregate Commitment pursuant to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will be subject to the satisfaction of the following conditions:</w:t>
      </w:r>
    </w:p>
    <w:p>
      <w:pPr>
        <w:spacing w:after="0" w:line="173" w:lineRule="exact"/>
        <w:rPr>
          <w:rFonts w:ascii="Arial" w:cs="Arial" w:eastAsia="Arial" w:hAnsi="Arial"/>
          <w:sz w:val="22"/>
          <w:szCs w:val="22"/>
          <w:color w:val="auto"/>
        </w:rPr>
      </w:pPr>
    </w:p>
    <w:p>
      <w:pPr>
        <w:ind w:left="1980" w:hanging="684"/>
        <w:spacing w:after="0"/>
        <w:tabs>
          <w:tab w:leader="none" w:pos="19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w:t>
      </w:r>
    </w:p>
    <w:p>
      <w:pPr>
        <w:spacing w:after="0" w:line="206" w:lineRule="exact"/>
        <w:rPr>
          <w:rFonts w:ascii="Arial" w:cs="Arial" w:eastAsia="Arial" w:hAnsi="Arial"/>
          <w:sz w:val="22"/>
          <w:szCs w:val="22"/>
          <w:color w:val="auto"/>
        </w:rPr>
      </w:pPr>
    </w:p>
    <w:p>
      <w:pPr>
        <w:jc w:val="both"/>
        <w:ind w:left="640" w:firstLine="656"/>
        <w:spacing w:after="0"/>
        <w:tabs>
          <w:tab w:leader="none" w:pos="1957"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Borrower and each Incremental Lender shall have executed and delivered an Incremental Commitment Agreement and each Incremental Lender, if not already a Lender, shall have delivered to the Agent a completed administrative questionnaire;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3" w:name="page94"/>
    <w:bookmarkEnd w:id="93"/>
    <w:p>
      <w:pPr>
        <w:jc w:val="both"/>
        <w:ind w:left="640" w:firstLine="656"/>
        <w:spacing w:after="0" w:line="241" w:lineRule="auto"/>
        <w:tabs>
          <w:tab w:leader="none" w:pos="2247"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Agent shall have delivered its prior written consent, which consent shall not be unreasonably withheld, to each such Incremental Lender, unless such Incremental Lender is already a Lender or an Affiliate of a Lender;</w:t>
      </w:r>
    </w:p>
    <w:p>
      <w:pPr>
        <w:spacing w:after="0" w:line="183" w:lineRule="exact"/>
        <w:rPr>
          <w:rFonts w:ascii="Arial" w:cs="Arial" w:eastAsia="Arial" w:hAnsi="Arial"/>
          <w:sz w:val="22"/>
          <w:szCs w:val="22"/>
          <w:color w:val="auto"/>
        </w:rPr>
      </w:pPr>
    </w:p>
    <w:p>
      <w:pPr>
        <w:ind w:left="1980" w:hanging="684"/>
        <w:spacing w:after="0"/>
        <w:tabs>
          <w:tab w:leader="none" w:pos="1980" w:val="left"/>
        </w:tabs>
        <w:numPr>
          <w:ilvl w:val="1"/>
          <w:numId w:val="48"/>
        </w:numPr>
        <w:rPr>
          <w:rFonts w:ascii="Arial" w:cs="Arial" w:eastAsia="Arial" w:hAnsi="Arial"/>
          <w:sz w:val="22"/>
          <w:szCs w:val="22"/>
          <w:color w:val="auto"/>
        </w:rPr>
      </w:pPr>
      <w:r>
        <w:rPr>
          <w:rFonts w:ascii="Arial" w:cs="Arial" w:eastAsia="Arial" w:hAnsi="Arial"/>
          <w:sz w:val="22"/>
          <w:szCs w:val="22"/>
          <w:color w:val="auto"/>
        </w:rPr>
        <w:t>each such increase shall be at least $5,000,000;</w:t>
      </w:r>
    </w:p>
    <w:p>
      <w:pPr>
        <w:spacing w:after="0" w:line="206" w:lineRule="exact"/>
        <w:rPr>
          <w:rFonts w:ascii="Arial" w:cs="Arial" w:eastAsia="Arial" w:hAnsi="Arial"/>
          <w:sz w:val="22"/>
          <w:szCs w:val="22"/>
          <w:color w:val="auto"/>
        </w:rPr>
      </w:pPr>
    </w:p>
    <w:p>
      <w:pPr>
        <w:ind w:left="640" w:firstLine="656"/>
        <w:spacing w:after="0" w:line="251" w:lineRule="auto"/>
        <w:tabs>
          <w:tab w:leader="none" w:pos="2013" w:val="left"/>
        </w:tabs>
        <w:numPr>
          <w:ilvl w:val="1"/>
          <w:numId w:val="48"/>
        </w:numPr>
        <w:rPr>
          <w:rFonts w:ascii="Arial" w:cs="Arial" w:eastAsia="Arial" w:hAnsi="Arial"/>
          <w:sz w:val="22"/>
          <w:szCs w:val="22"/>
          <w:color w:val="auto"/>
        </w:rPr>
      </w:pPr>
      <w:r>
        <w:rPr>
          <w:rFonts w:ascii="Arial" w:cs="Arial" w:eastAsia="Arial" w:hAnsi="Arial"/>
          <w:sz w:val="22"/>
          <w:szCs w:val="22"/>
          <w:color w:val="auto"/>
        </w:rPr>
        <w:t xml:space="preserve">the cumulative increase in Revolving Loan Commitments pursuant to this </w:t>
      </w:r>
      <w:r>
        <w:rPr>
          <w:rFonts w:ascii="Arial" w:cs="Arial" w:eastAsia="Arial" w:hAnsi="Arial"/>
          <w:sz w:val="22"/>
          <w:szCs w:val="22"/>
          <w:u w:val="single" w:color="auto"/>
          <w:color w:val="auto"/>
        </w:rPr>
        <w:t>Section 2.17</w:t>
      </w:r>
      <w:r>
        <w:rPr>
          <w:rFonts w:ascii="Arial" w:cs="Arial" w:eastAsia="Arial" w:hAnsi="Arial"/>
          <w:sz w:val="22"/>
          <w:szCs w:val="22"/>
          <w:color w:val="auto"/>
        </w:rPr>
        <w:t xml:space="preserve"> shall not exceed $100,000,000;</w:t>
      </w:r>
    </w:p>
    <w:p>
      <w:pPr>
        <w:spacing w:after="0" w:line="173" w:lineRule="exact"/>
        <w:rPr>
          <w:rFonts w:ascii="Arial" w:cs="Arial" w:eastAsia="Arial" w:hAnsi="Arial"/>
          <w:sz w:val="22"/>
          <w:szCs w:val="22"/>
          <w:color w:val="auto"/>
        </w:rPr>
      </w:pPr>
    </w:p>
    <w:p>
      <w:pPr>
        <w:jc w:val="both"/>
        <w:ind w:left="640" w:firstLine="656"/>
        <w:spacing w:after="0" w:line="258" w:lineRule="auto"/>
        <w:tabs>
          <w:tab w:leader="none" w:pos="2019" w:val="left"/>
        </w:tabs>
        <w:numPr>
          <w:ilvl w:val="1"/>
          <w:numId w:val="48"/>
        </w:numPr>
        <w:rPr>
          <w:rFonts w:ascii="Arial" w:cs="Arial" w:eastAsia="Arial" w:hAnsi="Arial"/>
          <w:sz w:val="21"/>
          <w:szCs w:val="21"/>
          <w:color w:val="auto"/>
        </w:rPr>
      </w:pPr>
      <w:r>
        <w:rPr>
          <w:rFonts w:ascii="Arial" w:cs="Arial" w:eastAsia="Arial" w:hAnsi="Arial"/>
          <w:sz w:val="21"/>
          <w:szCs w:val="21"/>
          <w:color w:val="auto"/>
        </w:rPr>
        <w:t xml:space="preserve">no event shall have occurred since the date of the audited financial statements most recently delivered pursuant to </w:t>
      </w:r>
      <w:r>
        <w:rPr>
          <w:rFonts w:ascii="Arial" w:cs="Arial" w:eastAsia="Arial" w:hAnsi="Arial"/>
          <w:sz w:val="21"/>
          <w:szCs w:val="21"/>
          <w:u w:val="single" w:color="auto"/>
          <w:color w:val="auto"/>
        </w:rPr>
        <w:t>Section 6.2(a)</w:t>
      </w:r>
      <w:r>
        <w:rPr>
          <w:rFonts w:ascii="Arial" w:cs="Arial" w:eastAsia="Arial" w:hAnsi="Arial"/>
          <w:sz w:val="21"/>
          <w:szCs w:val="21"/>
          <w:color w:val="auto"/>
        </w:rPr>
        <w:t>, with respect to Borrower and its Subsidiaries, taken as a whole, that has resulted, or could reasonably be expected to result, in a Material Adverse Change;</w:t>
      </w:r>
    </w:p>
    <w:p>
      <w:pPr>
        <w:spacing w:after="0" w:line="166" w:lineRule="exact"/>
        <w:rPr>
          <w:rFonts w:ascii="Arial" w:cs="Arial" w:eastAsia="Arial" w:hAnsi="Arial"/>
          <w:sz w:val="21"/>
          <w:szCs w:val="21"/>
          <w:color w:val="auto"/>
        </w:rPr>
      </w:pPr>
    </w:p>
    <w:p>
      <w:pPr>
        <w:jc w:val="both"/>
        <w:ind w:left="640" w:firstLine="656"/>
        <w:spacing w:after="0" w:line="297" w:lineRule="auto"/>
        <w:tabs>
          <w:tab w:leader="none" w:pos="2065"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on the effective date of such increase, no Eurodollar Loan shall be outstanding or if any Eurodollar Loans are outstanding, then the effective date of such increase will be the last day of the Interest Period in respect of such Eurodollar Loans unless the Borrower pays compensation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640" w:firstLine="656"/>
        <w:spacing w:after="0" w:line="251" w:lineRule="auto"/>
        <w:tabs>
          <w:tab w:leader="none" w:pos="2125"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aggregate amount of the Lenders’ Revolving Loan Commitments shall not exceed $500,000,000 without the approval of all Lenders; and</w:t>
      </w:r>
    </w:p>
    <w:p>
      <w:pPr>
        <w:spacing w:after="0" w:line="173" w:lineRule="exact"/>
        <w:rPr>
          <w:rFonts w:ascii="Arial" w:cs="Arial" w:eastAsia="Arial" w:hAnsi="Arial"/>
          <w:sz w:val="22"/>
          <w:szCs w:val="22"/>
          <w:color w:val="auto"/>
        </w:rPr>
      </w:pPr>
    </w:p>
    <w:p>
      <w:pPr>
        <w:jc w:val="both"/>
        <w:ind w:left="640" w:firstLine="656"/>
        <w:spacing w:after="0"/>
        <w:tabs>
          <w:tab w:leader="none" w:pos="2019"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Agent shall have received such corporate resolutions of the Borrower and legal opinions of counsel to the Borrower as the Agent may reasonably request with respect thereto, in each case in form and substance reasonably satisfactory to the Agent.</w:t>
      </w:r>
    </w:p>
    <w:p>
      <w:pPr>
        <w:spacing w:after="0" w:line="186" w:lineRule="exact"/>
        <w:rPr>
          <w:rFonts w:ascii="Arial" w:cs="Arial" w:eastAsia="Arial" w:hAnsi="Arial"/>
          <w:sz w:val="22"/>
          <w:szCs w:val="22"/>
          <w:color w:val="auto"/>
        </w:rPr>
      </w:pPr>
    </w:p>
    <w:p>
      <w:pPr>
        <w:jc w:val="both"/>
        <w:ind w:firstLine="648"/>
        <w:spacing w:after="0" w:line="275" w:lineRule="auto"/>
        <w:tabs>
          <w:tab w:leader="none" w:pos="1469" w:val="left"/>
        </w:tabs>
        <w:numPr>
          <w:ilvl w:val="0"/>
          <w:numId w:val="49"/>
        </w:numPr>
        <w:rPr>
          <w:rFonts w:ascii="Arial" w:cs="Arial" w:eastAsia="Arial" w:hAnsi="Arial"/>
          <w:sz w:val="19"/>
          <w:szCs w:val="19"/>
          <w:color w:val="auto"/>
        </w:rPr>
      </w:pPr>
      <w:r>
        <w:rPr>
          <w:rFonts w:ascii="Arial" w:cs="Arial" w:eastAsia="Arial" w:hAnsi="Arial"/>
          <w:sz w:val="19"/>
          <w:szCs w:val="19"/>
          <w:color w:val="auto"/>
        </w:rPr>
        <w:t>Upon the effectiveness of each Incremental Commitment Agreement executed by an Incremental Lender, (i) such Incremental Lender will become a Lender for all purposes and to the same extent as if originally a party hereto and will be bound by and entitled to the benefits of this Agreement, (ii) the Revolving Loan Commitments and Aggregate Commitment will be deemed to include the new or increased Revolving Loan Commitment of such Incremental Lender, and (iii) such Incremental Lender shall purchase a pro rata portion of the outstanding Loans (and participation interests in Letters of Credit) from each of the other Lenders (and such Lenders hereby agree to sell and to take all such further action to effectuate such sale) so that each Lender (including each Incremental Lender) holds its Percentage Share of the Revolving Facility Usage.</w:t>
      </w:r>
    </w:p>
    <w:p>
      <w:pPr>
        <w:spacing w:after="0" w:line="158" w:lineRule="exact"/>
        <w:rPr>
          <w:rFonts w:ascii="Arial" w:cs="Arial" w:eastAsia="Arial" w:hAnsi="Arial"/>
          <w:sz w:val="19"/>
          <w:szCs w:val="19"/>
          <w:color w:val="auto"/>
        </w:rPr>
      </w:pPr>
    </w:p>
    <w:p>
      <w:pPr>
        <w:jc w:val="both"/>
        <w:ind w:firstLine="648"/>
        <w:spacing w:after="0" w:line="248" w:lineRule="auto"/>
        <w:tabs>
          <w:tab w:leader="none" w:pos="1657"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Upon its receipt of a duly completed Incremental Commitment Agreement, executed by the Borrower and each Incremental Lender party thereto, and the administrative questionnaire referred to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2.17(b)(ii)</w:t>
      </w:r>
      <w:r>
        <w:rPr>
          <w:rFonts w:ascii="Arial" w:cs="Arial" w:eastAsia="Arial" w:hAnsi="Arial"/>
          <w:sz w:val="21"/>
          <w:szCs w:val="21"/>
          <w:color w:val="auto"/>
        </w:rPr>
        <w:t xml:space="preserve">, and subject to the satisfaction of the other conditions of this </w:t>
      </w:r>
      <w:r>
        <w:rPr>
          <w:rFonts w:ascii="Arial" w:cs="Arial" w:eastAsia="Arial" w:hAnsi="Arial"/>
          <w:sz w:val="21"/>
          <w:szCs w:val="21"/>
          <w:u w:val="single" w:color="auto"/>
          <w:color w:val="auto"/>
        </w:rPr>
        <w:t>Section 2.17</w:t>
      </w:r>
      <w:r>
        <w:rPr>
          <w:rFonts w:ascii="Arial" w:cs="Arial" w:eastAsia="Arial" w:hAnsi="Arial"/>
          <w:sz w:val="21"/>
          <w:szCs w:val="21"/>
          <w:color w:val="auto"/>
        </w:rPr>
        <w:t>, the Agent shall accept such Incremental Commitment Agreement and record the information contained therein in the Register. No increase in the aggregate Revolving Loan Commitments will be effective for purposes of this Agreement unless the relevant Incremental Commitment Agreement shall have been delivered to the Agent.</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Defaulting Lenders</w:t>
      </w:r>
      <w:r>
        <w:rPr>
          <w:rFonts w:ascii="Arial" w:cs="Arial" w:eastAsia="Arial" w:hAnsi="Arial"/>
          <w:sz w:val="22"/>
          <w:szCs w:val="22"/>
          <w:color w:val="auto"/>
        </w:rPr>
        <w:t>. Notwithstanding any provision of this Agreement to the contrary, if any Lender becomes a Defaulting Lender, then the following provisions will apply for so long as that Lender is a Defaulting Lender: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4" w:name="page95"/>
    <w:bookmarkEnd w:id="94"/>
    <w:p>
      <w:pPr>
        <w:jc w:val="both"/>
        <w:ind w:firstLine="648"/>
        <w:spacing w:after="0" w:line="241" w:lineRule="auto"/>
        <w:tabs>
          <w:tab w:leader="none" w:pos="1374"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Such Defaulting Lender shall not be entitled to fees that would otherwise have accrued during such period under </w:t>
      </w:r>
      <w:r>
        <w:rPr>
          <w:rFonts w:ascii="Arial" w:cs="Arial" w:eastAsia="Arial" w:hAnsi="Arial"/>
          <w:sz w:val="22"/>
          <w:szCs w:val="22"/>
          <w:u w:val="single" w:color="auto"/>
          <w:color w:val="auto"/>
        </w:rPr>
        <w:t>Section 2.5(c)</w:t>
      </w:r>
      <w:r>
        <w:rPr>
          <w:rFonts w:ascii="Arial" w:cs="Arial" w:eastAsia="Arial" w:hAnsi="Arial"/>
          <w:sz w:val="22"/>
          <w:szCs w:val="22"/>
          <w:color w:val="auto"/>
        </w:rPr>
        <w:t>, and such fees shall cease to accrue during such period with respect to such Defaulting Lender’s unused Revolving Loan Commitment;</w:t>
      </w:r>
    </w:p>
    <w:p>
      <w:pPr>
        <w:spacing w:after="0" w:line="183" w:lineRule="exact"/>
        <w:rPr>
          <w:rFonts w:ascii="Arial" w:cs="Arial" w:eastAsia="Arial" w:hAnsi="Arial"/>
          <w:sz w:val="22"/>
          <w:szCs w:val="22"/>
          <w:color w:val="auto"/>
        </w:rPr>
      </w:pPr>
    </w:p>
    <w:p>
      <w:pPr>
        <w:jc w:val="both"/>
        <w:ind w:firstLine="648"/>
        <w:spacing w:after="0" w:line="271" w:lineRule="auto"/>
        <w:tabs>
          <w:tab w:leader="none" w:pos="1670"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Revolving Loan Commitment and Percentage Share of Revolving Facility Usage of the Defaulting Lender will not be included in determining whether all Lenders or the Required Lenders have taken or may take any action hereunder (including any consent to any amendment or waiver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and the definition of “Required Lenders” will automatically be deemed modified accordingly for the duration of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amendment, waiver, determination, consent, or notification that would increase or extend the term of the Revolving Loan Commitment of such Defaulting Lender, extend the date fixed for the payment of principal or interest owing to such Defaulting Lender hereunder, reduce the principal amount of any Obligation owing to such Defaulting Lender, reduce the amount of or the rate or amount of interest on any amount owing to such Defaulting Lender or of any fee payable to such Defaulting Lender hereunder, or alter the terms of this proviso, will require the consent of the Defaulting Lender. If a Defaulting Lender’s consent to an amendment, waiver, determination, consent, or notification is required pursuant to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or any other provision in the Loan Documents, and such Defaulting Lender has failed to respond to a written request from the Agent to approve such waiver, amendment, determination, consent, or notification for 10 Business Days after such Defaulting Lender’s receipt of such request, such Defaulting Lender will be deemed to have approved such amendment, waiver, determination, consent, or notification;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1420" w:hanging="772"/>
        <w:spacing w:after="0"/>
        <w:tabs>
          <w:tab w:leader="none" w:pos="14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any Swingline Loan or LC Obligation exists at the time a Lender becomes a Defaulting Lender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then:</w:t>
      </w:r>
    </w:p>
    <w:p>
      <w:pPr>
        <w:spacing w:after="0" w:line="188" w:lineRule="exact"/>
        <w:rPr>
          <w:rFonts w:ascii="Arial" w:cs="Arial" w:eastAsia="Arial" w:hAnsi="Arial"/>
          <w:sz w:val="19"/>
          <w:szCs w:val="19"/>
          <w:color w:val="auto"/>
        </w:rPr>
      </w:pPr>
    </w:p>
    <w:p>
      <w:pPr>
        <w:jc w:val="both"/>
        <w:ind w:left="640" w:firstLine="656"/>
        <w:spacing w:after="0" w:line="233" w:lineRule="auto"/>
        <w:tabs>
          <w:tab w:leader="none" w:pos="2032" w:val="left"/>
        </w:tabs>
        <w:numPr>
          <w:ilvl w:val="1"/>
          <w:numId w:val="50"/>
        </w:numPr>
        <w:rPr>
          <w:rFonts w:ascii="Arial" w:cs="Arial" w:eastAsia="Arial" w:hAnsi="Arial"/>
          <w:sz w:val="22"/>
          <w:szCs w:val="22"/>
          <w:color w:val="auto"/>
        </w:rPr>
      </w:pPr>
      <w:r>
        <w:rPr>
          <w:rFonts w:ascii="Arial" w:cs="Arial" w:eastAsia="Arial" w:hAnsi="Arial"/>
          <w:sz w:val="22"/>
          <w:szCs w:val="22"/>
          <w:color w:val="auto"/>
        </w:rPr>
        <w:t xml:space="preserve">all or any part of such Swingline Loan or LC Obligation will be reallocated among the non-Defaulting Lenders in accordance with their respective Percentage Shares but only to the extent (x) the sum of all non-Defaulting Lenders’ Percentage Shares of the Revolving Facility Usage plus the portion of such Defaulting Lender’s Percentage Share of such Swingline Loan or LC Obligation to be reallocated does not exceed the total of all non-Defaulting Lenders’ Revolving Loan Commitments and (y) the conditions set forth in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are satisfied at that time; provided that, subject to </w:t>
      </w:r>
      <w:r>
        <w:rPr>
          <w:rFonts w:ascii="Arial" w:cs="Arial" w:eastAsia="Arial" w:hAnsi="Arial"/>
          <w:sz w:val="22"/>
          <w:szCs w:val="22"/>
          <w:u w:val="single" w:color="auto"/>
          <w:color w:val="auto"/>
        </w:rPr>
        <w:t>Section 10.12</w:t>
      </w:r>
      <w:r>
        <w:rPr>
          <w:rFonts w:ascii="Arial" w:cs="Arial" w:eastAsia="Arial" w:hAnsi="Arial"/>
          <w:sz w:val="22"/>
          <w:szCs w:val="22"/>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and</w:t>
      </w:r>
    </w:p>
    <w:p>
      <w:pPr>
        <w:spacing w:after="0" w:line="191" w:lineRule="exact"/>
        <w:rPr>
          <w:rFonts w:ascii="Arial" w:cs="Arial" w:eastAsia="Arial" w:hAnsi="Arial"/>
          <w:sz w:val="22"/>
          <w:szCs w:val="22"/>
          <w:color w:val="auto"/>
        </w:rPr>
      </w:pPr>
    </w:p>
    <w:p>
      <w:pPr>
        <w:jc w:val="both"/>
        <w:ind w:left="640" w:firstLine="656"/>
        <w:spacing w:after="0" w:line="282" w:lineRule="auto"/>
        <w:tabs>
          <w:tab w:leader="none" w:pos="1984"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if the reallocation described in clause (i) above cannot, or can only partially, be effected, the Borrower shall within one Business Day following notice by the Agent (x) first, prepay such Swingline Loans and (y) second, cash collateralize such Defaulting Lender’s Percentage Share of the LC Obligations (after giving effect to any partial reallocation pursuant to clause (i) above) in accordance with the procedures set forth in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for so long as such LC Obligation is outstanding;</w:t>
      </w:r>
    </w:p>
    <w:p>
      <w:pPr>
        <w:spacing w:after="0" w:line="147" w:lineRule="exact"/>
        <w:rPr>
          <w:rFonts w:ascii="Arial" w:cs="Arial" w:eastAsia="Arial" w:hAnsi="Arial"/>
          <w:sz w:val="19"/>
          <w:szCs w:val="19"/>
          <w:color w:val="auto"/>
        </w:rPr>
      </w:pPr>
    </w:p>
    <w:p>
      <w:pPr>
        <w:jc w:val="both"/>
        <w:ind w:left="640" w:firstLine="656"/>
        <w:spacing w:after="0"/>
        <w:tabs>
          <w:tab w:leader="none" w:pos="1963" w:val="left"/>
        </w:tabs>
        <w:numPr>
          <w:ilvl w:val="1"/>
          <w:numId w:val="50"/>
        </w:numPr>
        <w:rPr>
          <w:rFonts w:ascii="Arial" w:cs="Arial" w:eastAsia="Arial" w:hAnsi="Arial"/>
          <w:sz w:val="22"/>
          <w:szCs w:val="22"/>
          <w:color w:val="auto"/>
        </w:rPr>
      </w:pPr>
      <w:r>
        <w:rPr>
          <w:rFonts w:ascii="Arial" w:cs="Arial" w:eastAsia="Arial" w:hAnsi="Arial"/>
          <w:sz w:val="22"/>
          <w:szCs w:val="22"/>
          <w:color w:val="auto"/>
        </w:rPr>
        <w:t xml:space="preserve">if the Borrower cash collateralizes any portion of such Defaulting Lender’s Percentage Share of the LC Obligations pursuant to this </w:t>
      </w:r>
      <w:r>
        <w:rPr>
          <w:rFonts w:ascii="Arial" w:cs="Arial" w:eastAsia="Arial" w:hAnsi="Arial"/>
          <w:sz w:val="22"/>
          <w:szCs w:val="22"/>
          <w:u w:val="single" w:color="auto"/>
          <w:color w:val="auto"/>
        </w:rPr>
        <w:t>Section 2.18(c)</w:t>
      </w:r>
      <w:r>
        <w:rPr>
          <w:rFonts w:ascii="Arial" w:cs="Arial" w:eastAsia="Arial" w:hAnsi="Arial"/>
          <w:sz w:val="22"/>
          <w:szCs w:val="22"/>
          <w:color w:val="auto"/>
        </w:rPr>
        <w:t>, the Borrower shall not be required to pay any fees to such Defaulting Lender or any other Person pursuant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5" w:name="page96"/>
    <w:bookmarkEnd w:id="95"/>
    <w:p>
      <w:pPr>
        <w:ind w:left="640"/>
        <w:spacing w:after="0" w:line="274" w:lineRule="auto"/>
        <w:rPr>
          <w:sz w:val="20"/>
          <w:szCs w:val="20"/>
          <w:color w:val="auto"/>
        </w:rPr>
      </w:pPr>
      <w:r>
        <w:rPr>
          <w:rFonts w:ascii="Arial" w:cs="Arial" w:eastAsia="Arial" w:hAnsi="Arial"/>
          <w:sz w:val="21"/>
          <w:szCs w:val="21"/>
          <w:u w:val="single" w:color="auto"/>
          <w:color w:val="auto"/>
        </w:rPr>
        <w:t>Section 2.12</w:t>
      </w:r>
      <w:r>
        <w:rPr>
          <w:rFonts w:ascii="Arial" w:cs="Arial" w:eastAsia="Arial" w:hAnsi="Arial"/>
          <w:sz w:val="21"/>
          <w:szCs w:val="21"/>
          <w:color w:val="auto"/>
        </w:rPr>
        <w:t xml:space="preserve"> with respect to such cash collateralized portion of such Defaulting Lender’s Percentage Share of the LC Obligations during the period those LC Obligations are cash collateralized;</w:t>
      </w:r>
    </w:p>
    <w:p>
      <w:pPr>
        <w:spacing w:after="0" w:line="151" w:lineRule="exact"/>
        <w:rPr>
          <w:sz w:val="20"/>
          <w:szCs w:val="20"/>
          <w:color w:val="auto"/>
        </w:rPr>
      </w:pPr>
    </w:p>
    <w:p>
      <w:pPr>
        <w:jc w:val="both"/>
        <w:ind w:left="640" w:firstLine="656"/>
        <w:spacing w:after="0"/>
        <w:tabs>
          <w:tab w:leader="none" w:pos="2127"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if LC Obligations are allocated to non-Defaulting Lenders pursuant to </w:t>
      </w:r>
      <w:r>
        <w:rPr>
          <w:rFonts w:ascii="Arial" w:cs="Arial" w:eastAsia="Arial" w:hAnsi="Arial"/>
          <w:sz w:val="22"/>
          <w:szCs w:val="22"/>
          <w:u w:val="single" w:color="auto"/>
          <w:color w:val="auto"/>
        </w:rPr>
        <w:t>Section 2.18(c)(i)</w:t>
      </w:r>
      <w:r>
        <w:rPr>
          <w:rFonts w:ascii="Arial" w:cs="Arial" w:eastAsia="Arial" w:hAnsi="Arial"/>
          <w:sz w:val="22"/>
          <w:szCs w:val="22"/>
          <w:color w:val="auto"/>
        </w:rPr>
        <w:t xml:space="preserve">, then the fees payable to the Lenders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will be adjusted to reflect the non-Defaulting Lenders’ post-allocation Percentage Shares; or</w:t>
      </w:r>
    </w:p>
    <w:p>
      <w:pPr>
        <w:spacing w:after="0" w:line="186" w:lineRule="exact"/>
        <w:rPr>
          <w:rFonts w:ascii="Arial" w:cs="Arial" w:eastAsia="Arial" w:hAnsi="Arial"/>
          <w:sz w:val="22"/>
          <w:szCs w:val="22"/>
          <w:color w:val="auto"/>
        </w:rPr>
      </w:pPr>
    </w:p>
    <w:p>
      <w:pPr>
        <w:jc w:val="both"/>
        <w:ind w:left="640" w:firstLine="656"/>
        <w:spacing w:after="0" w:line="277" w:lineRule="auto"/>
        <w:tabs>
          <w:tab w:leader="none" w:pos="2026"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if any portion of any Defaulting Lender’s Percentage Share of the LC Obligations is neither cash collateralized pursuant to </w:t>
      </w:r>
      <w:r>
        <w:rPr>
          <w:rFonts w:ascii="Arial" w:cs="Arial" w:eastAsia="Arial" w:hAnsi="Arial"/>
          <w:sz w:val="19"/>
          <w:szCs w:val="19"/>
          <w:u w:val="single" w:color="auto"/>
          <w:color w:val="auto"/>
        </w:rPr>
        <w:t>Section 2.18(c)(ii)</w:t>
      </w:r>
      <w:r>
        <w:rPr>
          <w:rFonts w:ascii="Arial" w:cs="Arial" w:eastAsia="Arial" w:hAnsi="Arial"/>
          <w:sz w:val="19"/>
          <w:szCs w:val="19"/>
          <w:color w:val="auto"/>
        </w:rPr>
        <w:t xml:space="preserve"> nor reallocated pursuant to </w:t>
      </w:r>
      <w:r>
        <w:rPr>
          <w:rFonts w:ascii="Arial" w:cs="Arial" w:eastAsia="Arial" w:hAnsi="Arial"/>
          <w:sz w:val="19"/>
          <w:szCs w:val="19"/>
          <w:u w:val="single" w:color="auto"/>
          <w:color w:val="auto"/>
        </w:rPr>
        <w:t>Section 2.18(c)(i)</w:t>
      </w:r>
      <w:r>
        <w:rPr>
          <w:rFonts w:ascii="Arial" w:cs="Arial" w:eastAsia="Arial" w:hAnsi="Arial"/>
          <w:sz w:val="19"/>
          <w:szCs w:val="19"/>
          <w:color w:val="auto"/>
        </w:rPr>
        <w:t xml:space="preserve">, then, without prejudice to any rights or remedies of the LC Issuer or any Lender hereunder, any letter of credit fees payable under </w:t>
      </w:r>
      <w:r>
        <w:rPr>
          <w:rFonts w:ascii="Arial" w:cs="Arial" w:eastAsia="Arial" w:hAnsi="Arial"/>
          <w:sz w:val="19"/>
          <w:szCs w:val="19"/>
          <w:u w:val="single" w:color="auto"/>
          <w:color w:val="auto"/>
        </w:rPr>
        <w:t>Section 2.12(a)</w:t>
      </w:r>
      <w:r>
        <w:rPr>
          <w:rFonts w:ascii="Arial" w:cs="Arial" w:eastAsia="Arial" w:hAnsi="Arial"/>
          <w:sz w:val="19"/>
          <w:szCs w:val="19"/>
          <w:color w:val="auto"/>
        </w:rPr>
        <w:t xml:space="preserve"> with respect to such non-cash collateralized, unreallocated portion of such Defaulting Lender’s Percentage Share of the LC Obligations will be payable to the LC Issuer until such portion of such Defaulting Lender’s Percentage Share of the LC Obligations is cash collateralized and/or reallocated or such Defaulting Lender ceases to be a Defaulting Lender;</w:t>
      </w:r>
    </w:p>
    <w:p>
      <w:pPr>
        <w:spacing w:after="0" w:line="152" w:lineRule="exact"/>
        <w:rPr>
          <w:rFonts w:ascii="Arial" w:cs="Arial" w:eastAsia="Arial" w:hAnsi="Arial"/>
          <w:sz w:val="19"/>
          <w:szCs w:val="19"/>
          <w:color w:val="auto"/>
        </w:rPr>
      </w:pPr>
    </w:p>
    <w:p>
      <w:pPr>
        <w:jc w:val="both"/>
        <w:ind w:firstLine="648"/>
        <w:spacing w:after="0" w:line="234" w:lineRule="auto"/>
        <w:tabs>
          <w:tab w:leader="none" w:pos="1359"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so long as any Lender is a Defaulting Lender, the Swingline Lender will not be required to fund any Swingline Loan and the LC Issuer will not be required to issue, amend or increase any Letter of Credit, unless it is satisfied that the related exposure will be 100% covered by the Revolving Loan Commitments of the non-Defaulting Lenders and/or cash collateral will be provided by the Borrower in accordance with </w:t>
      </w:r>
      <w:r>
        <w:rPr>
          <w:rFonts w:ascii="Arial" w:cs="Arial" w:eastAsia="Arial" w:hAnsi="Arial"/>
          <w:sz w:val="22"/>
          <w:szCs w:val="22"/>
          <w:u w:val="single" w:color="auto"/>
          <w:color w:val="auto"/>
        </w:rPr>
        <w:t>Section 2.18(c)(ii)</w:t>
      </w:r>
      <w:r>
        <w:rPr>
          <w:rFonts w:ascii="Arial" w:cs="Arial" w:eastAsia="Arial" w:hAnsi="Arial"/>
          <w:sz w:val="22"/>
          <w:szCs w:val="22"/>
          <w:color w:val="auto"/>
        </w:rPr>
        <w:t xml:space="preserve">, and participating interests in any such newly issued or increased Letter of Credit or newly made Swingline Loan will be allocated among non-Defaulting Lenders in a manner consistent with </w:t>
      </w:r>
      <w:r>
        <w:rPr>
          <w:rFonts w:ascii="Arial" w:cs="Arial" w:eastAsia="Arial" w:hAnsi="Arial"/>
          <w:sz w:val="22"/>
          <w:szCs w:val="22"/>
          <w:u w:val="single" w:color="auto"/>
          <w:color w:val="auto"/>
        </w:rPr>
        <w:t>Section 2.18(c)(i)</w:t>
      </w:r>
      <w:r>
        <w:rPr>
          <w:rFonts w:ascii="Arial" w:cs="Arial" w:eastAsia="Arial" w:hAnsi="Arial"/>
          <w:sz w:val="22"/>
          <w:szCs w:val="22"/>
          <w:color w:val="auto"/>
        </w:rPr>
        <w:t xml:space="preserve"> (and Defaulting Lenders will not participate therein);</w:t>
      </w:r>
    </w:p>
    <w:p>
      <w:pPr>
        <w:spacing w:after="0" w:line="191" w:lineRule="exact"/>
        <w:rPr>
          <w:rFonts w:ascii="Arial" w:cs="Arial" w:eastAsia="Arial" w:hAnsi="Arial"/>
          <w:sz w:val="22"/>
          <w:szCs w:val="22"/>
          <w:color w:val="auto"/>
        </w:rPr>
      </w:pPr>
    </w:p>
    <w:p>
      <w:pPr>
        <w:jc w:val="both"/>
        <w:ind w:firstLine="648"/>
        <w:spacing w:after="0" w:line="271" w:lineRule="auto"/>
        <w:tabs>
          <w:tab w:leader="none" w:pos="1347"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any amount payable to such Defaulting Lender hereunder (whether on account of principal, interest, fees or otherwise and including any amount that would otherwise be payable to such Defaulting Lender pursuant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but excluding </w:t>
      </w:r>
      <w:r>
        <w:rPr>
          <w:rFonts w:ascii="Arial" w:cs="Arial" w:eastAsia="Arial" w:hAnsi="Arial"/>
          <w:sz w:val="19"/>
          <w:szCs w:val="19"/>
          <w:u w:val="single" w:color="auto"/>
          <w:color w:val="auto"/>
        </w:rPr>
        <w:t>Section 3.8</w:t>
      </w:r>
      <w:r>
        <w:rPr>
          <w:rFonts w:ascii="Arial" w:cs="Arial" w:eastAsia="Arial" w:hAnsi="Arial"/>
          <w:sz w:val="19"/>
          <w:szCs w:val="19"/>
          <w:color w:val="auto"/>
        </w:rPr>
        <w:t xml:space="preserve">) shall, in lieu of being distributed to such Defaulting Lender, be retained by the Agent in a segregated account and, subject to any applicable requirements of law, be applied at such time or times as may be determined by the Agent (i) first, to the payment of any amounts owing by such Defaulting Lender to the Agent hereunder, (ii) second,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the payment of any amounts owing by such Defaulting Lender to the LC Issuer or Swingline Lender hereunder, (iii) third, to the funding of any Loan or the funding or cash collateralization of any participating interest in any Swingline Loan or Letter of Credit in respect of which such Defaulting Lender has failed to fund its portion as required by this Agreement, as determined by the Agent, (iv) fourth, if so determined by the Agent and the Borrower, held in such account as cash collateral for future funding obligations of the Defaulting Lender under this Agreement, (v) fifth, </w:t>
      </w:r>
      <w:r>
        <w:rPr>
          <w:rFonts w:ascii="Arial" w:cs="Arial" w:eastAsia="Arial" w:hAnsi="Arial"/>
          <w:sz w:val="19"/>
          <w:szCs w:val="19"/>
          <w:i w:val="1"/>
          <w:iCs w:val="1"/>
          <w:color w:val="auto"/>
        </w:rPr>
        <w:t>pro rata</w:t>
      </w:r>
      <w:r>
        <w:rPr>
          <w:rFonts w:ascii="Arial" w:cs="Arial" w:eastAsia="Arial" w:hAnsi="Arial"/>
          <w:sz w:val="19"/>
          <w:szCs w:val="19"/>
          <w:color w:val="auto"/>
        </w:rPr>
        <w:t>, to the payment of any amounts owing to the Borrower or the Lenders as a result of any judgment of a court of competent jurisdiction obtained by the Borrower or any Lender against such Defaulting Lender as a result of such Defaulting Lender’s breach of its obligations under this Agreement and (vi) sixth, to such Defaulting Lender or as otherwise directed by a court of competent jurisdiction; and</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648"/>
        <w:spacing w:after="0"/>
        <w:tabs>
          <w:tab w:leader="none" w:pos="1418"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there is not in existence a Default or Event of Default, the Borrower may terminate the unused amount of the Revolving Loan Commitment of a Defaulting Lender upon not less than three Business Days’ prior notice to the Agent (which will promptly notify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6" w:name="page97"/>
    <w:bookmarkEnd w:id="96"/>
    <w:p>
      <w:pPr>
        <w:jc w:val="both"/>
        <w:spacing w:after="0" w:line="329" w:lineRule="auto"/>
        <w:rPr>
          <w:sz w:val="20"/>
          <w:szCs w:val="20"/>
          <w:color w:val="auto"/>
        </w:rPr>
      </w:pPr>
      <w:r>
        <w:rPr>
          <w:rFonts w:ascii="Arial" w:cs="Arial" w:eastAsia="Arial" w:hAnsi="Arial"/>
          <w:sz w:val="19"/>
          <w:szCs w:val="19"/>
          <w:color w:val="auto"/>
        </w:rPr>
        <w:t>Lenders thereof); provided that such termination shall not be deemed to be a waiver or release of any claim the Borrower, the Agent, the LC Issuer, the Swingline Lender, or any Lender may have against such Defaulting Lender.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PAYMENTS TO LENDERS</w:t>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General Procedures</w:t>
      </w:r>
      <w:r>
        <w:rPr>
          <w:rFonts w:ascii="Arial" w:cs="Arial" w:eastAsia="Arial" w:hAnsi="Arial"/>
          <w:sz w:val="21"/>
          <w:szCs w:val="21"/>
          <w:color w:val="auto"/>
        </w:rPr>
        <w:t xml:space="preserve">. Borrower will make each payment which it owes under the Loan Documents to Agent for the account of the Lender Party to whom such payment is owed, in lawful money of the United States of America, without set-off, deduction or counterclaim, and in immediately available funds. Each such payment must be received by Agent not later than 11:00 a.m., Houston, Texas time, on the date such payment becomes due and payable. Any payment received by Agent after such time will be deemed to have been made on the next following Business Day. Should any such payment become due and payable on a day other than a Business Day, the maturity of such payment shall be extended to the next succeeding Business Day, and, in the case of a payment of principal or past due interest, interest shall accrue and be payable thereon for the period of such extension as provided in the Loan Document under which such payment is due. Each payment under a Loan Document shall be due and payable at the place set forth for Agent on the Lenders Schedule. When Agent collects or receives money on account of the Obligations, Agent shall distribute all money so collected or received, and each Lender Party shall apply all such money so distributed, as follows (except as otherwise provided in </w:t>
      </w:r>
      <w:r>
        <w:rPr>
          <w:rFonts w:ascii="Arial" w:cs="Arial" w:eastAsia="Arial" w:hAnsi="Arial"/>
          <w:sz w:val="21"/>
          <w:szCs w:val="21"/>
          <w:u w:val="single" w:color="auto"/>
          <w:color w:val="auto"/>
        </w:rPr>
        <w:t>Section 2.18(e)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8.3</w:t>
      </w:r>
      <w:r>
        <w:rPr>
          <w:rFonts w:ascii="Arial" w:cs="Arial" w:eastAsia="Arial" w:hAnsi="Arial"/>
          <w:sz w:val="21"/>
          <w:szCs w:val="21"/>
          <w:color w:val="auto"/>
        </w:rPr>
        <w:t>):</w:t>
      </w:r>
    </w:p>
    <w:p>
      <w:pPr>
        <w:spacing w:after="0" w:line="185" w:lineRule="exact"/>
        <w:rPr>
          <w:sz w:val="20"/>
          <w:szCs w:val="20"/>
          <w:color w:val="auto"/>
        </w:rPr>
      </w:pPr>
    </w:p>
    <w:p>
      <w:pPr>
        <w:jc w:val="both"/>
        <w:ind w:firstLine="648"/>
        <w:spacing w:after="0" w:line="238" w:lineRule="auto"/>
        <w:tabs>
          <w:tab w:leader="none" w:pos="1347"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first, for the payment of all Obligations which are then due (and if such money is insufficient to pay all such Obligations, first to any reimbursements due Agent under </w:t>
      </w:r>
      <w:r>
        <w:rPr>
          <w:rFonts w:ascii="Arial" w:cs="Arial" w:eastAsia="Arial" w:hAnsi="Arial"/>
          <w:sz w:val="22"/>
          <w:szCs w:val="22"/>
          <w:u w:val="single" w:color="auto"/>
          <w:color w:val="auto"/>
        </w:rPr>
        <w:t>Section 6.9</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10.4</w:t>
      </w:r>
      <w:r>
        <w:rPr>
          <w:rFonts w:ascii="Arial" w:cs="Arial" w:eastAsia="Arial" w:hAnsi="Arial"/>
          <w:sz w:val="22"/>
          <w:szCs w:val="22"/>
          <w:color w:val="auto"/>
        </w:rPr>
        <w:t xml:space="preserve"> and then to the partial payment of all other Obligations then due in proportion to the amounts thereof, or as Lender Parties shall otherwise agree);</w:t>
      </w:r>
    </w:p>
    <w:p>
      <w:pPr>
        <w:spacing w:after="0" w:line="185" w:lineRule="exact"/>
        <w:rPr>
          <w:rFonts w:ascii="Arial" w:cs="Arial" w:eastAsia="Arial" w:hAnsi="Arial"/>
          <w:sz w:val="22"/>
          <w:szCs w:val="22"/>
          <w:color w:val="auto"/>
        </w:rPr>
      </w:pPr>
    </w:p>
    <w:p>
      <w:pPr>
        <w:ind w:firstLine="648"/>
        <w:spacing w:after="0" w:line="251" w:lineRule="auto"/>
        <w:tabs>
          <w:tab w:leader="none" w:pos="1427"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then for the prepayment of amounts owing under the Loan Documents (other than principal of the Loans) if so specified by Borrower;</w:t>
      </w:r>
    </w:p>
    <w:p>
      <w:pPr>
        <w:spacing w:after="0" w:line="173" w:lineRule="exact"/>
        <w:rPr>
          <w:rFonts w:ascii="Arial" w:cs="Arial" w:eastAsia="Arial" w:hAnsi="Arial"/>
          <w:sz w:val="22"/>
          <w:szCs w:val="22"/>
          <w:color w:val="auto"/>
        </w:rPr>
      </w:pPr>
    </w:p>
    <w:p>
      <w:pPr>
        <w:ind w:firstLine="648"/>
        <w:spacing w:after="0" w:line="251" w:lineRule="auto"/>
        <w:tabs>
          <w:tab w:leader="none" w:pos="13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then for the prepayment of principal of the Loans, together with accrued and unpaid interest on the principal so prepaid; and</w:t>
      </w:r>
    </w:p>
    <w:p>
      <w:pPr>
        <w:spacing w:after="0" w:line="173" w:lineRule="exact"/>
        <w:rPr>
          <w:rFonts w:ascii="Arial" w:cs="Arial" w:eastAsia="Arial" w:hAnsi="Arial"/>
          <w:sz w:val="22"/>
          <w:szCs w:val="22"/>
          <w:color w:val="auto"/>
        </w:rPr>
      </w:pPr>
    </w:p>
    <w:p>
      <w:pPr>
        <w:ind w:left="1340" w:hanging="692"/>
        <w:spacing w:after="0"/>
        <w:tabs>
          <w:tab w:leader="none" w:pos="1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last, for the payment or prepayment of any other Obligations.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 xml:space="preserve">All payments applied to principal or interest on any Note shall be applied first to any interest then due and payable, then to principal then due and payable, and last to any prepayment of principal and interest in compliance with </w:t>
      </w:r>
      <w:r>
        <w:rPr>
          <w:rFonts w:ascii="Arial" w:cs="Arial" w:eastAsia="Arial" w:hAnsi="Arial"/>
          <w:sz w:val="19"/>
          <w:szCs w:val="19"/>
          <w:u w:val="single" w:color="auto"/>
          <w:color w:val="auto"/>
        </w:rPr>
        <w:t>Sections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2.7</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2.18(e)</w:t>
      </w:r>
      <w:r>
        <w:rPr>
          <w:rFonts w:ascii="Arial" w:cs="Arial" w:eastAsia="Arial" w:hAnsi="Arial"/>
          <w:sz w:val="19"/>
          <w:szCs w:val="19"/>
          <w:color w:val="auto"/>
        </w:rPr>
        <w:t xml:space="preserve">, all distributions of amounts described in any of subsections (b), (c) or (d) above shall be made by Agent pro rata to each Lender Party then owed Obligations described in such subsection in proportion to all amounts owed to all Lender Parties which are described in such subsection;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Lender then owes payments to LC Issuer for the purchase of a participation under </w:t>
      </w:r>
      <w:r>
        <w:rPr>
          <w:rFonts w:ascii="Arial" w:cs="Arial" w:eastAsia="Arial" w:hAnsi="Arial"/>
          <w:sz w:val="19"/>
          <w:szCs w:val="19"/>
          <w:u w:val="single" w:color="auto"/>
          <w:color w:val="auto"/>
        </w:rPr>
        <w:t>Section 2.11(c)</w:t>
      </w:r>
      <w:r>
        <w:rPr>
          <w:rFonts w:ascii="Arial" w:cs="Arial" w:eastAsia="Arial" w:hAnsi="Arial"/>
          <w:sz w:val="19"/>
          <w:szCs w:val="19"/>
          <w:color w:val="auto"/>
        </w:rPr>
        <w:t xml:space="preserve"> or to Agent under </w:t>
      </w:r>
      <w:r>
        <w:rPr>
          <w:rFonts w:ascii="Arial" w:cs="Arial" w:eastAsia="Arial" w:hAnsi="Arial"/>
          <w:sz w:val="19"/>
          <w:szCs w:val="19"/>
          <w:u w:val="single" w:color="auto"/>
          <w:color w:val="auto"/>
        </w:rPr>
        <w:t>Section 9.4</w:t>
      </w:r>
      <w:r>
        <w:rPr>
          <w:rFonts w:ascii="Arial" w:cs="Arial" w:eastAsia="Arial" w:hAnsi="Arial"/>
          <w:sz w:val="19"/>
          <w:szCs w:val="19"/>
          <w:color w:val="auto"/>
        </w:rPr>
        <w:t>, any amounts otherwise distributable under this Section to such Lender shall be deemed to belong to LC Issuer, or Agent, respectively, to the extent of such unpaid payments, and Agent shall apply such amounts to make such unpaid payments rather than distribute such amounts to such Lender.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7" w:name="page98"/>
    <w:bookmarkEnd w:id="97"/>
    <w:p>
      <w:pPr>
        <w:jc w:val="both"/>
        <w:ind w:right="20" w:firstLine="648"/>
        <w:spacing w:after="0" w:line="27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u w:val="single" w:color="auto"/>
          <w:color w:val="auto"/>
        </w:rPr>
        <w:t>Capital Reimbursement</w:t>
      </w:r>
      <w:r>
        <w:rPr>
          <w:rFonts w:ascii="Arial" w:cs="Arial" w:eastAsia="Arial" w:hAnsi="Arial"/>
          <w:sz w:val="19"/>
          <w:szCs w:val="19"/>
          <w:color w:val="auto"/>
        </w:rPr>
        <w:t>. If any Change in Law regarding capital or liquidity requirements has or would have the effect of reducing the rate of return on any Lender Party’s capital, or on the capital of any corporation controlling such Lender Party, as a consequence of the Loans made, or Letters of Credit issued, by such Lender Party, to a level below that which such Lender Party or such corporation could have achieved but for such change (taking into consideration such Lender Party’s policies and the policies of any such corporation with respect to capital adequacy), then from time to time Borrower will pay to Agent for the benefit of such Lender Party, within five (5) Business Days of demand therefore by such Lender Party, such additional amount or amounts which such Lender Party shall determine to be appropriate to compensate such Lender Party for such reduction.</w:t>
      </w:r>
    </w:p>
    <w:p>
      <w:pPr>
        <w:spacing w:after="0" w:line="159"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Increased Cost of Eurodollar Loans or Letters of Credit</w:t>
      </w:r>
      <w:r>
        <w:rPr>
          <w:rFonts w:ascii="Arial" w:cs="Arial" w:eastAsia="Arial" w:hAnsi="Arial"/>
          <w:sz w:val="19"/>
          <w:szCs w:val="19"/>
          <w:color w:val="auto"/>
        </w:rPr>
        <w:t>.</w:t>
      </w:r>
    </w:p>
    <w:p>
      <w:pPr>
        <w:spacing w:after="0" w:line="206" w:lineRule="exact"/>
        <w:rPr>
          <w:sz w:val="20"/>
          <w:szCs w:val="20"/>
          <w:color w:val="auto"/>
        </w:rPr>
      </w:pPr>
    </w:p>
    <w:p>
      <w:pPr>
        <w:ind w:left="1320" w:hanging="672"/>
        <w:spacing w:after="0"/>
        <w:tabs>
          <w:tab w:leader="none" w:pos="13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any Change in Law:</w:t>
      </w:r>
    </w:p>
    <w:p>
      <w:pPr>
        <w:spacing w:after="0" w:line="206" w:lineRule="exact"/>
        <w:rPr>
          <w:rFonts w:ascii="Arial" w:cs="Arial" w:eastAsia="Arial" w:hAnsi="Arial"/>
          <w:sz w:val="22"/>
          <w:szCs w:val="22"/>
          <w:color w:val="auto"/>
        </w:rPr>
      </w:pPr>
    </w:p>
    <w:p>
      <w:pPr>
        <w:jc w:val="both"/>
        <w:ind w:left="640" w:right="20" w:firstLine="656"/>
        <w:spacing w:after="0" w:line="273" w:lineRule="auto"/>
        <w:tabs>
          <w:tab w:leader="none" w:pos="2019" w:val="left"/>
        </w:tabs>
        <w:numPr>
          <w:ilvl w:val="1"/>
          <w:numId w:val="54"/>
        </w:numPr>
        <w:rPr>
          <w:rFonts w:ascii="Arial" w:cs="Arial" w:eastAsia="Arial" w:hAnsi="Arial"/>
          <w:sz w:val="19"/>
          <w:szCs w:val="19"/>
          <w:color w:val="auto"/>
        </w:rPr>
      </w:pPr>
      <w:r>
        <w:rPr>
          <w:rFonts w:ascii="Arial" w:cs="Arial" w:eastAsia="Arial" w:hAnsi="Arial"/>
          <w:sz w:val="19"/>
          <w:szCs w:val="19"/>
          <w:color w:val="auto"/>
        </w:rPr>
        <w:t>shall change the basis of taxation of payments to any Lender Party of any principal, interest, or other amounts attributable to any Eurodollar Loan or Letter of Credit or otherwise due under this Agreement in respect of any Eurodollar Loan or Letter of Credit (other than (x) Reimbursable Taxes,</w:t>
      </w:r>
    </w:p>
    <w:p>
      <w:pPr>
        <w:spacing w:after="0" w:line="1" w:lineRule="exact"/>
        <w:rPr>
          <w:rFonts w:ascii="Arial" w:cs="Arial" w:eastAsia="Arial" w:hAnsi="Arial"/>
          <w:sz w:val="19"/>
          <w:szCs w:val="19"/>
          <w:color w:val="auto"/>
        </w:rPr>
      </w:pPr>
    </w:p>
    <w:p>
      <w:pPr>
        <w:jc w:val="both"/>
        <w:ind w:left="640" w:right="20" w:firstLine="8"/>
        <w:spacing w:after="0" w:line="234" w:lineRule="auto"/>
        <w:tabs>
          <w:tab w:leader="none" w:pos="945" w:val="left"/>
        </w:tabs>
        <w:numPr>
          <w:ilvl w:val="0"/>
          <w:numId w:val="55"/>
        </w:numPr>
        <w:rPr>
          <w:rFonts w:ascii="Arial" w:cs="Arial" w:eastAsia="Arial" w:hAnsi="Arial"/>
          <w:sz w:val="22"/>
          <w:szCs w:val="22"/>
          <w:color w:val="auto"/>
        </w:rPr>
      </w:pPr>
      <w:r>
        <w:rPr>
          <w:rFonts w:ascii="Arial" w:cs="Arial" w:eastAsia="Arial" w:hAnsi="Arial"/>
          <w:sz w:val="22"/>
          <w:szCs w:val="22"/>
          <w:color w:val="auto"/>
        </w:rPr>
        <w:t>Taxes described in clauses (ii) through (iv) of the definition of Excluded Taxes and (z) Other Connection Taxes that are imposed on or measured by net income (however denominated) or that are franchise Taxes or branch profits Taxes); or</w:t>
      </w:r>
    </w:p>
    <w:p>
      <w:pPr>
        <w:spacing w:after="0" w:line="187" w:lineRule="exact"/>
        <w:rPr>
          <w:sz w:val="20"/>
          <w:szCs w:val="20"/>
          <w:color w:val="auto"/>
        </w:rPr>
      </w:pPr>
    </w:p>
    <w:p>
      <w:pPr>
        <w:jc w:val="both"/>
        <w:ind w:left="640" w:right="20" w:firstLine="656"/>
        <w:spacing w:after="0" w:line="287" w:lineRule="auto"/>
        <w:tabs>
          <w:tab w:leader="none" w:pos="1930" w:val="left"/>
        </w:tabs>
        <w:numPr>
          <w:ilvl w:val="0"/>
          <w:numId w:val="56"/>
        </w:numPr>
        <w:rPr>
          <w:rFonts w:ascii="Arial" w:cs="Arial" w:eastAsia="Arial" w:hAnsi="Arial"/>
          <w:sz w:val="19"/>
          <w:szCs w:val="19"/>
          <w:color w:val="auto"/>
        </w:rPr>
      </w:pPr>
      <w:r>
        <w:rPr>
          <w:rFonts w:ascii="Arial" w:cs="Arial" w:eastAsia="Arial" w:hAnsi="Arial"/>
          <w:sz w:val="19"/>
          <w:szCs w:val="19"/>
          <w:color w:val="auto"/>
        </w:rPr>
        <w:t>shall change, impose, modify, apply or deem applicable any reserve, special deposit or similar requirements in respect of any Eurodollar Loan made by any Lender Party or any Letter of Credit (excluding any reserve requirement included in the computation of the Adjusted Eurodollar Rate) or against assets of, deposits with or for the account of, or credit extended by, such Lender Party; or</w:t>
      </w:r>
    </w:p>
    <w:p>
      <w:pPr>
        <w:spacing w:after="0" w:line="143" w:lineRule="exact"/>
        <w:rPr>
          <w:rFonts w:ascii="Arial" w:cs="Arial" w:eastAsia="Arial" w:hAnsi="Arial"/>
          <w:sz w:val="19"/>
          <w:szCs w:val="19"/>
          <w:color w:val="auto"/>
        </w:rPr>
      </w:pPr>
    </w:p>
    <w:p>
      <w:pPr>
        <w:ind w:left="640" w:right="20" w:firstLine="656"/>
        <w:spacing w:after="0" w:line="251" w:lineRule="auto"/>
        <w:tabs>
          <w:tab w:leader="none" w:pos="1936" w:val="left"/>
        </w:tabs>
        <w:numPr>
          <w:ilvl w:val="0"/>
          <w:numId w:val="56"/>
        </w:numPr>
        <w:rPr>
          <w:rFonts w:ascii="Arial" w:cs="Arial" w:eastAsia="Arial" w:hAnsi="Arial"/>
          <w:sz w:val="22"/>
          <w:szCs w:val="22"/>
          <w:color w:val="auto"/>
        </w:rPr>
      </w:pPr>
      <w:r>
        <w:rPr>
          <w:rFonts w:ascii="Arial" w:cs="Arial" w:eastAsia="Arial" w:hAnsi="Arial"/>
          <w:sz w:val="22"/>
          <w:szCs w:val="22"/>
          <w:color w:val="auto"/>
        </w:rPr>
        <w:t>shall impose on any Lender Party or the interbank eurocurrency deposit market any condition affecting any Eurodollar Loan or Letter of Credit,</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result of which is to increase the cost to any Lender Party of agreeing to make or making, funding or maintaining Eurodollar Loans or (as the case may be) issuing or participating in Letters of Credit, or a reduction in the amount received or receivable by such Lender in connection with any of the foregoing, then such Lender Party shall promptly notify Agent and Borrower in writing of the happening of such event and of the amount required to compensate such Lender Party for such additional costs or reduced return (on an after-Tax basis, taking into account any Taxes on and deductions, credits or other Tax benefits in respect of such compensation), whereupon (i) Borrower shall pay such amount to Agent for the account of such Lender Party and (ii) Borrower may elect, by giving to Agent and such Lender Party not less than three Business Days’ notice, to convert all (but not less than all) of any such Eurodollar Loans of such Lender Party into Base Rate Loans.</w:t>
      </w:r>
    </w:p>
    <w:p>
      <w:pPr>
        <w:spacing w:after="0" w:line="159" w:lineRule="exact"/>
        <w:rPr>
          <w:sz w:val="20"/>
          <w:szCs w:val="20"/>
          <w:color w:val="auto"/>
        </w:rPr>
      </w:pPr>
    </w:p>
    <w:p>
      <w:pPr>
        <w:jc w:val="both"/>
        <w:ind w:right="20" w:firstLine="648"/>
        <w:spacing w:after="0"/>
        <w:tabs>
          <w:tab w:leader="none" w:pos="1441" w:val="left"/>
        </w:tabs>
        <w:numPr>
          <w:ilvl w:val="0"/>
          <w:numId w:val="57"/>
        </w:numPr>
        <w:rPr>
          <w:rFonts w:ascii="Arial" w:cs="Arial" w:eastAsia="Arial" w:hAnsi="Arial"/>
          <w:sz w:val="22"/>
          <w:szCs w:val="22"/>
          <w:color w:val="auto"/>
        </w:rPr>
      </w:pPr>
      <w:r>
        <w:rPr>
          <w:rFonts w:ascii="Arial" w:cs="Arial" w:eastAsia="Arial" w:hAnsi="Arial"/>
          <w:sz w:val="22"/>
          <w:szCs w:val="22"/>
          <w:color w:val="auto"/>
        </w:rPr>
        <w:t xml:space="preserve">A certificate of a Lender Party setting forth the amount or amounts necessary to compensate such Lender Party or the corporation controlling such Lender Party, as the case may be, as specified in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shall be delivered to Borrower and shall be</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98" w:name="page99"/>
    <w:bookmarkEnd w:id="98"/>
    <w:p>
      <w:pPr>
        <w:ind w:left="1" w:right="20"/>
        <w:spacing w:after="0" w:line="251" w:lineRule="auto"/>
        <w:rPr>
          <w:sz w:val="20"/>
          <w:szCs w:val="20"/>
          <w:color w:val="auto"/>
        </w:rPr>
      </w:pPr>
      <w:r>
        <w:rPr>
          <w:rFonts w:ascii="Arial" w:cs="Arial" w:eastAsia="Arial" w:hAnsi="Arial"/>
          <w:sz w:val="22"/>
          <w:szCs w:val="22"/>
          <w:color w:val="auto"/>
        </w:rPr>
        <w:t>conclusive absent manifest error. Borrower shall pay the applicable Lender Party the amount shown as due on any such certificate within 3 Business Days after receipt thereof.</w:t>
      </w:r>
    </w:p>
    <w:p>
      <w:pPr>
        <w:spacing w:after="0" w:line="174" w:lineRule="exact"/>
        <w:rPr>
          <w:sz w:val="20"/>
          <w:szCs w:val="20"/>
          <w:color w:val="auto"/>
        </w:rPr>
      </w:pPr>
    </w:p>
    <w:p>
      <w:pPr>
        <w:ind w:left="1" w:right="20" w:firstLine="648"/>
        <w:spacing w:after="0" w:line="328" w:lineRule="auto"/>
        <w:tabs>
          <w:tab w:leader="none" w:pos="1362"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Party to demand compensation pursuant to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shall not constitute a waiver of such Lender Party’s right to demand such compensation.</w:t>
      </w:r>
    </w:p>
    <w:p>
      <w:pPr>
        <w:spacing w:after="0" w:line="105" w:lineRule="exact"/>
        <w:rPr>
          <w:sz w:val="20"/>
          <w:szCs w:val="20"/>
          <w:color w:val="auto"/>
        </w:rPr>
      </w:pPr>
    </w:p>
    <w:p>
      <w:pPr>
        <w:jc w:val="both"/>
        <w:ind w:left="1" w:right="20" w:firstLine="648"/>
        <w:spacing w:after="0" w:line="245" w:lineRule="auto"/>
        <w:rPr>
          <w:sz w:val="20"/>
          <w:szCs w:val="20"/>
          <w:color w:val="auto"/>
        </w:rPr>
      </w:pPr>
      <w:r>
        <w:rPr>
          <w:rFonts w:ascii="Arial" w:cs="Arial" w:eastAsia="Arial" w:hAnsi="Arial"/>
          <w:sz w:val="21"/>
          <w:szCs w:val="21"/>
          <w:color w:val="auto"/>
        </w:rPr>
        <w:t xml:space="preserve">Section 3.4 </w:t>
      </w:r>
      <w:r>
        <w:rPr>
          <w:rFonts w:ascii="Arial" w:cs="Arial" w:eastAsia="Arial" w:hAnsi="Arial"/>
          <w:sz w:val="21"/>
          <w:szCs w:val="21"/>
          <w:u w:val="single" w:color="auto"/>
          <w:color w:val="auto"/>
        </w:rPr>
        <w:t>Illegality</w:t>
      </w:r>
      <w:r>
        <w:rPr>
          <w:rFonts w:ascii="Arial" w:cs="Arial" w:eastAsia="Arial" w:hAnsi="Arial"/>
          <w:sz w:val="21"/>
          <w:szCs w:val="21"/>
          <w:color w:val="auto"/>
        </w:rPr>
        <w:t xml:space="preserve">. If any Change in Law shall make it unlawful for any Lender Party to fund or maintain Eurodollar Loans, then, upon notice by such Lender Party to Borrower and Agent, (a) Borrower’s right to elect Eurodollar Loans from such Lender Party shall be suspended to the extent and for the duration of such illegality, (b) all Eurodollar Loans of such Lender Party which are then the subject of any Borrowing Notice and which cannot be lawfully funded shall be funded as Base Rate Loans of such Lender Party, and (c) all Eurodollar Loans of such Lender Party shall be converted automatically to Base Rate Loans on the respective last days of the then current Interest Periods with respect to such Loans or within such earlier period as required by Law. If any such conversion of a Eurodollar Loan occurs on a day which is not the last day of the then current Interest Period with respect thereto, Borrower shall pay to such Lender Party such amounts, if any, as may be required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w:t>
      </w:r>
    </w:p>
    <w:p>
      <w:pPr>
        <w:spacing w:after="0" w:line="182" w:lineRule="exact"/>
        <w:rPr>
          <w:sz w:val="20"/>
          <w:szCs w:val="20"/>
          <w:color w:val="auto"/>
        </w:rPr>
      </w:pPr>
    </w:p>
    <w:p>
      <w:pPr>
        <w:jc w:val="both"/>
        <w:ind w:left="1" w:firstLine="648"/>
        <w:spacing w:after="0" w:line="268" w:lineRule="auto"/>
        <w:rPr>
          <w:sz w:val="20"/>
          <w:szCs w:val="20"/>
          <w:color w:val="auto"/>
        </w:rPr>
      </w:pPr>
      <w:r>
        <w:rPr>
          <w:rFonts w:ascii="Arial" w:cs="Arial" w:eastAsia="Arial" w:hAnsi="Arial"/>
          <w:sz w:val="19"/>
          <w:szCs w:val="19"/>
          <w:color w:val="auto"/>
        </w:rPr>
        <w:t xml:space="preserve">Section 3.5 </w:t>
      </w:r>
      <w:r>
        <w:rPr>
          <w:rFonts w:ascii="Arial" w:cs="Arial" w:eastAsia="Arial" w:hAnsi="Arial"/>
          <w:sz w:val="19"/>
          <w:szCs w:val="19"/>
          <w:u w:val="single" w:color="auto"/>
          <w:color w:val="auto"/>
        </w:rPr>
        <w:t>Funding Losses</w:t>
      </w:r>
      <w:r>
        <w:rPr>
          <w:rFonts w:ascii="Arial" w:cs="Arial" w:eastAsia="Arial" w:hAnsi="Arial"/>
          <w:sz w:val="19"/>
          <w:szCs w:val="19"/>
          <w:color w:val="auto"/>
        </w:rPr>
        <w:t>. In addition to its other obligations hereunder, Borrower will indemnify each Lender Party against, and reimburse each Lender Party on demand for, any loss or expense incurred or sustained by such Lender Party (including any loss or expense incurred by reason of the liquidation or reemployment of deposits or other funds acquired by a Lender Party to fund or maintain Eurodollar Loans but excluding any loss of Base Rate Margin or Eurodollar Margin), as a result of (a) any payment or prepayment (whether authorized or required hereunder or otherwise) of all or a portion of a Eurodollar Loan on a day other than the day on which the applicable Interest Period ends, (b) any payment or prepayment, whether required hereunder or otherwise, of a Loan made after the delivery, but before the effective date, of a Continuation/Conversion Notice requesting the continuation of outstanding Eurodollar Loans as, or the conversion of outstanding Base Rate Loans to, Eurodollar Loans, if such payment or prepayment prevents such Continuation/Conversion Notice from becoming fully effective, (c) the failure of any Loan to be made or of any Continuation/Conversion Notice requesting the continuation of outstanding Eurodollar Loans as, or the conversion of outstanding Base Rate Loans to, Eurodollar Loans to become effective due to any condition precedent not being satisfied or due to any other action or inaction of any Restricted Person,</w:t>
      </w:r>
    </w:p>
    <w:p>
      <w:pPr>
        <w:spacing w:after="0" w:line="7" w:lineRule="exact"/>
        <w:rPr>
          <w:sz w:val="20"/>
          <w:szCs w:val="20"/>
          <w:color w:val="auto"/>
        </w:rPr>
      </w:pPr>
    </w:p>
    <w:p>
      <w:pPr>
        <w:jc w:val="both"/>
        <w:ind w:left="1" w:right="20" w:hanging="1"/>
        <w:spacing w:after="0" w:line="246" w:lineRule="auto"/>
        <w:tabs>
          <w:tab w:leader="none" w:pos="314"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any Conversion (whether authorized or required hereunder or otherwise) of all or any portion of any Eurodollar Loan into a Base Rate Loan or into a different Eurodollar Loan on a day other than the day on which the applicable Interest Period ends, or (e) any assignment of a Eurodollar Loan on a day other than the last day of the Interest Period therefor as a result of a request by Borrower pursuant to </w:t>
      </w:r>
      <w:r>
        <w:rPr>
          <w:rFonts w:ascii="Arial" w:cs="Arial" w:eastAsia="Arial" w:hAnsi="Arial"/>
          <w:sz w:val="21"/>
          <w:szCs w:val="21"/>
          <w:u w:val="single" w:color="auto"/>
          <w:color w:val="auto"/>
        </w:rPr>
        <w:t>Section 3.8(b)</w:t>
      </w:r>
      <w:r>
        <w:rPr>
          <w:rFonts w:ascii="Arial" w:cs="Arial" w:eastAsia="Arial" w:hAnsi="Arial"/>
          <w:sz w:val="21"/>
          <w:szCs w:val="21"/>
          <w:color w:val="auto"/>
        </w:rPr>
        <w:t>.</w:t>
      </w:r>
    </w:p>
    <w:p>
      <w:pPr>
        <w:spacing w:after="0" w:line="180" w:lineRule="exact"/>
        <w:rPr>
          <w:sz w:val="20"/>
          <w:szCs w:val="20"/>
          <w:color w:val="auto"/>
        </w:rPr>
      </w:pPr>
    </w:p>
    <w:p>
      <w:pPr>
        <w:ind w:left="641"/>
        <w:spacing w:after="0"/>
        <w:tabs>
          <w:tab w:leader="none" w:pos="1920" w:val="left"/>
        </w:tabs>
        <w:rPr>
          <w:sz w:val="20"/>
          <w:szCs w:val="20"/>
          <w:color w:val="auto"/>
        </w:rPr>
      </w:pPr>
      <w:r>
        <w:rPr>
          <w:rFonts w:ascii="Arial" w:cs="Arial" w:eastAsia="Arial" w:hAnsi="Arial"/>
          <w:sz w:val="22"/>
          <w:szCs w:val="22"/>
          <w:color w:val="auto"/>
        </w:rPr>
        <w:t>Section 3.6</w:t>
      </w:r>
      <w:r>
        <w:rPr>
          <w:sz w:val="20"/>
          <w:szCs w:val="20"/>
          <w:color w:val="auto"/>
        </w:rPr>
        <w:tab/>
      </w:r>
      <w:r>
        <w:rPr>
          <w:rFonts w:ascii="Arial" w:cs="Arial" w:eastAsia="Arial" w:hAnsi="Arial"/>
          <w:sz w:val="19"/>
          <w:szCs w:val="19"/>
          <w:u w:val="single" w:color="auto"/>
          <w:color w:val="auto"/>
        </w:rPr>
        <w:t>Reimbursable Taxes</w:t>
      </w:r>
      <w:r>
        <w:rPr>
          <w:rFonts w:ascii="Arial" w:cs="Arial" w:eastAsia="Arial" w:hAnsi="Arial"/>
          <w:sz w:val="19"/>
          <w:szCs w:val="19"/>
          <w:color w:val="auto"/>
        </w:rPr>
        <w:t>. Borrower covenants and agrees that:</w:t>
      </w:r>
    </w:p>
    <w:p>
      <w:pPr>
        <w:spacing w:after="0" w:line="206" w:lineRule="exact"/>
        <w:rPr>
          <w:sz w:val="20"/>
          <w:szCs w:val="20"/>
          <w:color w:val="auto"/>
        </w:rPr>
      </w:pPr>
    </w:p>
    <w:p>
      <w:pPr>
        <w:jc w:val="both"/>
        <w:ind w:left="1" w:right="20" w:firstLine="648"/>
        <w:spacing w:after="0" w:line="236" w:lineRule="auto"/>
        <w:tabs>
          <w:tab w:leader="none" w:pos="1362" w:val="left"/>
        </w:tabs>
        <w:numPr>
          <w:ilvl w:val="0"/>
          <w:numId w:val="60"/>
        </w:numPr>
        <w:rPr>
          <w:rFonts w:ascii="Arial" w:cs="Arial" w:eastAsia="Arial" w:hAnsi="Arial"/>
          <w:sz w:val="22"/>
          <w:szCs w:val="22"/>
          <w:color w:val="auto"/>
        </w:rPr>
      </w:pPr>
      <w:r>
        <w:rPr>
          <w:rFonts w:ascii="Arial" w:cs="Arial" w:eastAsia="Arial" w:hAnsi="Arial"/>
          <w:sz w:val="22"/>
          <w:szCs w:val="22"/>
          <w:color w:val="auto"/>
        </w:rPr>
        <w:t>Borrower will indemnify each Lender Party against and reimburse each Lender Party for all present and future Taxes imposed, assessed, levied or collected on or in respect of any obligation of any Restricted Person under any Loan Document (whether or not legally or correctly imposed, assessed, levied or collected), excluding, however, (i) Taxes imposed on or measured by net income (however denominated), franchise Taxes and branch profits Taxes, in each case,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8" w:right="899" w:bottom="1440" w:gutter="0" w:footer="0" w:header="0"/>
        </w:sectPr>
      </w:pPr>
    </w:p>
    <w:bookmarkStart w:id="99" w:name="page100"/>
    <w:bookmarkEnd w:id="99"/>
    <w:p>
      <w:pPr>
        <w:jc w:val="both"/>
        <w:ind w:left="1" w:hanging="1"/>
        <w:spacing w:after="0" w:line="271" w:lineRule="auto"/>
        <w:tabs>
          <w:tab w:leader="none" w:pos="36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imposed on it by the jurisdiction (or any political subdivision thereof) under the Laws of which it is organized or otherwise resides for Tax purposes or maintains any Applicable Lending Office or (B) that are Other Connection Taxes, (ii) in the case of any Lender, any United States withholding Tax imposed on any amounts payable to or for the account of such Lender with respect to an applicable interest in a Loan or Commitment pursuant to a law in effect on the date on which (A) such Lender acquires such interest in the Loan or Revolving Loan Commitment (other than pursuant to an assignment request by Borrower under </w:t>
      </w:r>
      <w:r>
        <w:rPr>
          <w:rFonts w:ascii="Arial" w:cs="Arial" w:eastAsia="Arial" w:hAnsi="Arial"/>
          <w:sz w:val="19"/>
          <w:szCs w:val="19"/>
          <w:u w:val="single" w:color="auto"/>
          <w:color w:val="auto"/>
        </w:rPr>
        <w:t>Section 3.8(b)</w:t>
      </w:r>
      <w:r>
        <w:rPr>
          <w:rFonts w:ascii="Arial" w:cs="Arial" w:eastAsia="Arial" w:hAnsi="Arial"/>
          <w:sz w:val="19"/>
          <w:szCs w:val="19"/>
          <w:color w:val="auto"/>
        </w:rPr>
        <w:t xml:space="preserve">) or (B) such Lender Party changes its Applicable Lending Office, except in each case to the extent that, pursuant to this Section, amounts with respect to such Taxes were payable either to such Lender’s assignor immediately before such Lender became a party hereto or to such Lender immediately before it changed its Applicable Lending Office, (iii) Taxes attributable to such recipient’s failure to comply with requirements to deliver the Prescribed Forms as set forth </w:t>
      </w:r>
      <w:r>
        <w:rPr>
          <w:rFonts w:ascii="Arial" w:cs="Arial" w:eastAsia="Arial" w:hAnsi="Arial"/>
          <w:sz w:val="19"/>
          <w:szCs w:val="19"/>
          <w:u w:val="single" w:color="auto"/>
          <w:color w:val="auto"/>
        </w:rPr>
        <w:t>Section 3.6(d)</w:t>
      </w:r>
      <w:r>
        <w:rPr>
          <w:rFonts w:ascii="Arial" w:cs="Arial" w:eastAsia="Arial" w:hAnsi="Arial"/>
          <w:sz w:val="19"/>
          <w:szCs w:val="19"/>
          <w:color w:val="auto"/>
        </w:rPr>
        <w:t xml:space="preserve"> and (iv) any withholding Taxes imposed under FATCA (all such Taxes “</w:t>
      </w:r>
      <w:r>
        <w:rPr>
          <w:rFonts w:ascii="Arial" w:cs="Arial" w:eastAsia="Arial" w:hAnsi="Arial"/>
          <w:sz w:val="19"/>
          <w:szCs w:val="19"/>
          <w:u w:val="single" w:color="auto"/>
          <w:color w:val="auto"/>
        </w:rPr>
        <w:t>Excluded Taxes</w:t>
      </w:r>
      <w:r>
        <w:rPr>
          <w:rFonts w:ascii="Arial" w:cs="Arial" w:eastAsia="Arial" w:hAnsi="Arial"/>
          <w:sz w:val="19"/>
          <w:szCs w:val="19"/>
          <w:color w:val="auto"/>
        </w:rPr>
        <w:t>”, and all other Taxes being collectively called “</w:t>
      </w:r>
      <w:r>
        <w:rPr>
          <w:rFonts w:ascii="Arial" w:cs="Arial" w:eastAsia="Arial" w:hAnsi="Arial"/>
          <w:sz w:val="19"/>
          <w:szCs w:val="19"/>
          <w:u w:val="single" w:color="auto"/>
          <w:color w:val="auto"/>
        </w:rPr>
        <w:t>Reimbursable Taxes</w:t>
      </w:r>
      <w:r>
        <w:rPr>
          <w:rFonts w:ascii="Arial" w:cs="Arial" w:eastAsia="Arial" w:hAnsi="Arial"/>
          <w:sz w:val="19"/>
          <w:szCs w:val="19"/>
          <w:color w:val="auto"/>
        </w:rPr>
        <w:t xml:space="preserve">”). Such indemnification shall be on an after-Tax basis and, except as otherwise provided in </w:t>
      </w:r>
      <w:r>
        <w:rPr>
          <w:rFonts w:ascii="Arial" w:cs="Arial" w:eastAsia="Arial" w:hAnsi="Arial"/>
          <w:sz w:val="19"/>
          <w:szCs w:val="19"/>
          <w:u w:val="single" w:color="auto"/>
          <w:color w:val="auto"/>
        </w:rPr>
        <w:t>Section 3.6(b)</w:t>
      </w:r>
      <w:r>
        <w:rPr>
          <w:rFonts w:ascii="Arial" w:cs="Arial" w:eastAsia="Arial" w:hAnsi="Arial"/>
          <w:sz w:val="19"/>
          <w:szCs w:val="19"/>
          <w:color w:val="auto"/>
        </w:rPr>
        <w:t>, paid within 10 Business Days after a Lender Party delivers a certificate demonstrating the amount of such payment or liability.</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1" w:firstLine="648"/>
        <w:spacing w:after="0" w:line="245" w:lineRule="auto"/>
        <w:tabs>
          <w:tab w:leader="none" w:pos="1428" w:val="left"/>
        </w:tabs>
        <w:numPr>
          <w:ilvl w:val="1"/>
          <w:numId w:val="61"/>
        </w:numPr>
        <w:rPr>
          <w:rFonts w:ascii="Arial" w:cs="Arial" w:eastAsia="Arial" w:hAnsi="Arial"/>
          <w:sz w:val="21"/>
          <w:szCs w:val="21"/>
          <w:color w:val="auto"/>
        </w:rPr>
      </w:pPr>
      <w:r>
        <w:rPr>
          <w:rFonts w:ascii="Arial" w:cs="Arial" w:eastAsia="Arial" w:hAnsi="Arial"/>
          <w:sz w:val="21"/>
          <w:szCs w:val="21"/>
          <w:color w:val="auto"/>
        </w:rPr>
        <w:t>All payments on account of the principal of, and interest on, each Lender Party’s Loans and Note, and all other amounts payable by Borrower to any Lender Party hereunder, shall be made without deductions or withholdings for any Taxes (except to the extent required by applicable Law). In the event of Borrower or the Agent being compelled by Law to make any such deduction or withholding of any Tax from any payment to any Lender Party pursuant to this Agreement, and if the Tax is a Reimbursable Tax, Borrower shall pay on the due date of such payment such additional amounts as are needed to cause the amount receivable by such Lender Party after such deduction or withholding to equal the amount which would have been receivable in the absence of such deduction or withholding. If Borrower should make any deduction or withholding as aforesaid, Borrower shall within 60 days thereafter forward to the Agent an official receipt or other official document evidencing payment of such deduction or withholding.</w:t>
      </w:r>
    </w:p>
    <w:p>
      <w:pPr>
        <w:spacing w:after="0" w:line="181" w:lineRule="exact"/>
        <w:rPr>
          <w:rFonts w:ascii="Arial" w:cs="Arial" w:eastAsia="Arial" w:hAnsi="Arial"/>
          <w:sz w:val="21"/>
          <w:szCs w:val="21"/>
          <w:color w:val="auto"/>
        </w:rPr>
      </w:pPr>
    </w:p>
    <w:p>
      <w:pPr>
        <w:jc w:val="both"/>
        <w:ind w:left="1" w:firstLine="648"/>
        <w:spacing w:after="0" w:line="238" w:lineRule="auto"/>
        <w:tabs>
          <w:tab w:leader="none" w:pos="1497" w:val="left"/>
        </w:tabs>
        <w:numPr>
          <w:ilvl w:val="1"/>
          <w:numId w:val="61"/>
        </w:numPr>
        <w:rPr>
          <w:rFonts w:ascii="Arial" w:cs="Arial" w:eastAsia="Arial" w:hAnsi="Arial"/>
          <w:sz w:val="22"/>
          <w:szCs w:val="22"/>
          <w:color w:val="auto"/>
        </w:rPr>
      </w:pPr>
      <w:r>
        <w:rPr>
          <w:rFonts w:ascii="Arial" w:cs="Arial" w:eastAsia="Arial" w:hAnsi="Arial"/>
          <w:sz w:val="22"/>
          <w:szCs w:val="22"/>
          <w:color w:val="auto"/>
        </w:rPr>
        <w:t>If Borrower is ever required to pay any Reimbursable Tax with respect to any Eurodollar Loan, Borrower may elect, by giving to Agent and such Lender Party not less than three Business Days’ notice, to convert all (but not less than all) of any such Eurodollar Loan into a Base Rate Loan, but such election shall not diminish Borrower’s obligation to pay all Reimbursable Taxes.</w:t>
      </w:r>
    </w:p>
    <w:p>
      <w:pPr>
        <w:spacing w:after="0" w:line="185" w:lineRule="exact"/>
        <w:rPr>
          <w:rFonts w:ascii="Arial" w:cs="Arial" w:eastAsia="Arial" w:hAnsi="Arial"/>
          <w:sz w:val="22"/>
          <w:szCs w:val="22"/>
          <w:color w:val="auto"/>
        </w:rPr>
      </w:pPr>
    </w:p>
    <w:p>
      <w:pPr>
        <w:jc w:val="both"/>
        <w:ind w:left="1" w:firstLine="648"/>
        <w:spacing w:after="0" w:line="244" w:lineRule="auto"/>
        <w:tabs>
          <w:tab w:leader="none" w:pos="1414" w:val="left"/>
        </w:tabs>
        <w:numPr>
          <w:ilvl w:val="1"/>
          <w:numId w:val="61"/>
        </w:numPr>
        <w:rPr>
          <w:rFonts w:ascii="Arial" w:cs="Arial" w:eastAsia="Arial" w:hAnsi="Arial"/>
          <w:sz w:val="21"/>
          <w:szCs w:val="21"/>
          <w:color w:val="auto"/>
        </w:rPr>
      </w:pPr>
      <w:r>
        <w:rPr>
          <w:rFonts w:ascii="Arial" w:cs="Arial" w:eastAsia="Arial" w:hAnsi="Arial"/>
          <w:sz w:val="21"/>
          <w:szCs w:val="21"/>
          <w:color w:val="auto"/>
        </w:rPr>
        <w:t xml:space="preserve">Notwithstanding the foregoing provisions of this Section, Borrower and Agent shall be entitled, to the extent such party is required to do so by Law, to deduct or withhold (and not to make any indemnification or reimbursement for) Taxes imposed by the United States of America from interest, fees or other amounts payable hereunder for the account of any Lender Party, other than a Lender Party (i) who is a U.S. Person for Federal income Tax purposes that delivered to Agent executed originals of IRS Form W-9 certifying that such Lender Party is exempt from United States federal backup withholding Tax or (ii) who is a Foreign Lender and has the Prescribed Forms on file with Agent (with copies provided to Borrower) for the applicable year to the extent deduction or withholding of such Taxes is not required as a result of the filing of such Prescribed Forms;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Borrower or Agent shall so deduct or withhold any such Taxes, Borrower or Agent, as applicable, shall provide a statement to Agent (if applicable) and such Lender Party, setting forth the amount of such Taxes so deducted or withheld, the applicable rate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00" w:name="page101"/>
    <w:bookmarkEnd w:id="100"/>
    <w:p>
      <w:pPr>
        <w:jc w:val="both"/>
        <w:spacing w:after="0" w:line="270" w:lineRule="auto"/>
        <w:rPr>
          <w:sz w:val="20"/>
          <w:szCs w:val="20"/>
          <w:color w:val="auto"/>
        </w:rPr>
      </w:pPr>
      <w:r>
        <w:rPr>
          <w:rFonts w:ascii="Arial" w:cs="Arial" w:eastAsia="Arial" w:hAnsi="Arial"/>
          <w:sz w:val="19"/>
          <w:szCs w:val="19"/>
          <w:color w:val="auto"/>
        </w:rPr>
        <w:t>and any other information or documentation which such Lender Party may reasonably request for assisting such Lender Party to obtain any allowable credits or deductions for the Taxes so deducted or withheld in the jurisdiction or jurisdictions in which such Lender Party is subject to tax. Borrower or Agent may from time to time reasonably request that any Lender Party that is a Foreign Lender deliver executed copies of any Prescribed Form to permit Borrower or Agent to determine the withholding or deduction required to be made. If a payment made to a Lender Party under any Loan Document would be subject to United States federal withholding Tax imposed by FATCA if such Lender Party were to fail to comply with the applicable reporting requirements of FATCA (including those contained in Section 1471(b) or 1472(b) of the Code, as applicable), such Lender Party shall deliver to Borrower and Agent at the time or times prescribed by law and at such time or 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their obligations under FATCA and to determine that such Lender Party has complied with such Lender Party’s obligations under FATCA or to determine the amount to deduct and withhold from such payment. For the avoidance of doubt, for all purposes from and after the Amendment No. 4 Effective Date, the parties shall treat any payment under this Agreement or any Eurodollar Loans or Letters of Credit as not being eligible to the grandfathering rules under FATCA. Solely for purposes of this clause (d), “FATCA” shall include any amendments made to FATCA after the Amendment No. 4 Effective Date.</w:t>
      </w:r>
    </w:p>
    <w:p>
      <w:pPr>
        <w:spacing w:after="0" w:line="17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Lender Party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86" w:lineRule="exact"/>
        <w:rPr>
          <w:sz w:val="20"/>
          <w:szCs w:val="20"/>
          <w:color w:val="auto"/>
        </w:rPr>
      </w:pPr>
    </w:p>
    <w:p>
      <w:pPr>
        <w:jc w:val="both"/>
        <w:ind w:firstLine="648"/>
        <w:spacing w:after="0" w:line="271" w:lineRule="auto"/>
        <w:tabs>
          <w:tab w:leader="none" w:pos="1361"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(including by the payment of additional amounts pursuant to this </w:t>
      </w:r>
      <w:r>
        <w:rPr>
          <w:rFonts w:ascii="Arial" w:cs="Arial" w:eastAsia="Arial" w:hAnsi="Arial"/>
          <w:sz w:val="19"/>
          <w:szCs w:val="19"/>
          <w:u w:val="single" w:color="auto"/>
          <w:color w:val="auto"/>
        </w:rPr>
        <w:t>Section 3.6</w:t>
      </w:r>
      <w:r>
        <w:rPr>
          <w:rFonts w:ascii="Arial" w:cs="Arial" w:eastAsia="Arial" w:hAnsi="Arial"/>
          <w:sz w:val="19"/>
          <w:szCs w:val="19"/>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1" w:name="page102"/>
    <w:bookmarkEnd w:id="101"/>
    <w:p>
      <w:pPr>
        <w:ind w:left="640"/>
        <w:spacing w:after="0"/>
        <w:tabs>
          <w:tab w:leader="none" w:pos="192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Changed Circumstances</w:t>
      </w:r>
      <w:r>
        <w:rPr>
          <w:rFonts w:ascii="Arial" w:cs="Arial" w:eastAsia="Arial" w:hAnsi="Arial"/>
          <w:sz w:val="19"/>
          <w:szCs w:val="19"/>
          <w:color w:val="auto"/>
        </w:rPr>
        <w:t>.</w:t>
      </w:r>
    </w:p>
    <w:p>
      <w:pPr>
        <w:spacing w:after="0" w:line="207" w:lineRule="exact"/>
        <w:rPr>
          <w:sz w:val="20"/>
          <w:szCs w:val="20"/>
          <w:color w:val="auto"/>
        </w:rPr>
      </w:pPr>
    </w:p>
    <w:p>
      <w:pPr>
        <w:jc w:val="both"/>
        <w:ind w:firstLine="648"/>
        <w:spacing w:after="0"/>
        <w:tabs>
          <w:tab w:leader="none" w:pos="153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Circumstances Affecting Eurodollar Rate Availability</w:t>
      </w:r>
      <w:r>
        <w:rPr>
          <w:rFonts w:ascii="Arial" w:cs="Arial" w:eastAsia="Arial" w:hAnsi="Arial"/>
          <w:sz w:val="22"/>
          <w:szCs w:val="22"/>
          <w:color w:val="auto"/>
        </w:rPr>
        <w:t>. Unless and until a Replacement Rate is implemented in accordance with clause (b) below, in connection with any request for a Eurodollar Loan or a conversion to or continuation thereof or otherwise, if for any reason:</w:t>
      </w:r>
    </w:p>
    <w:p>
      <w:pPr>
        <w:spacing w:after="0" w:line="186" w:lineRule="exact"/>
        <w:rPr>
          <w:rFonts w:ascii="Arial" w:cs="Arial" w:eastAsia="Arial" w:hAnsi="Arial"/>
          <w:sz w:val="22"/>
          <w:szCs w:val="22"/>
          <w:color w:val="auto"/>
        </w:rPr>
      </w:pPr>
    </w:p>
    <w:p>
      <w:pPr>
        <w:jc w:val="both"/>
        <w:ind w:left="640" w:firstLine="656"/>
        <w:spacing w:after="0"/>
        <w:tabs>
          <w:tab w:leader="none" w:pos="1978" w:val="left"/>
        </w:tabs>
        <w:numPr>
          <w:ilvl w:val="1"/>
          <w:numId w:val="63"/>
        </w:numPr>
        <w:rPr>
          <w:rFonts w:ascii="Arial" w:cs="Arial" w:eastAsia="Arial" w:hAnsi="Arial"/>
          <w:sz w:val="22"/>
          <w:szCs w:val="22"/>
          <w:color w:val="auto"/>
        </w:rPr>
      </w:pPr>
      <w:r>
        <w:rPr>
          <w:rFonts w:ascii="Arial" w:cs="Arial" w:eastAsia="Arial" w:hAnsi="Arial"/>
          <w:sz w:val="22"/>
          <w:szCs w:val="22"/>
          <w:color w:val="auto"/>
        </w:rPr>
        <w:t>Agent determines that Dollar deposits are not being offered to banks in the London interbank Eurodollar market for the applicable amount and Interest Period of such Loan (any such determination shall be conclusive absent manifest error);</w:t>
      </w:r>
    </w:p>
    <w:p>
      <w:pPr>
        <w:spacing w:after="0" w:line="186" w:lineRule="exact"/>
        <w:rPr>
          <w:rFonts w:ascii="Arial" w:cs="Arial" w:eastAsia="Arial" w:hAnsi="Arial"/>
          <w:sz w:val="22"/>
          <w:szCs w:val="22"/>
          <w:color w:val="auto"/>
        </w:rPr>
      </w:pPr>
    </w:p>
    <w:p>
      <w:pPr>
        <w:jc w:val="both"/>
        <w:ind w:left="640" w:firstLine="656"/>
        <w:spacing w:after="0"/>
        <w:tabs>
          <w:tab w:leader="none" w:pos="2173" w:val="left"/>
        </w:tabs>
        <w:numPr>
          <w:ilvl w:val="1"/>
          <w:numId w:val="63"/>
        </w:numPr>
        <w:rPr>
          <w:rFonts w:ascii="Arial" w:cs="Arial" w:eastAsia="Arial" w:hAnsi="Arial"/>
          <w:sz w:val="22"/>
          <w:szCs w:val="22"/>
          <w:color w:val="auto"/>
        </w:rPr>
      </w:pPr>
      <w:r>
        <w:rPr>
          <w:rFonts w:ascii="Arial" w:cs="Arial" w:eastAsia="Arial" w:hAnsi="Arial"/>
          <w:sz w:val="22"/>
          <w:szCs w:val="22"/>
          <w:color w:val="auto"/>
        </w:rPr>
        <w:t>Agent determines that adequate and reasonable means do not exist for ascertaining the Eurodollar Rate for such Interest Period (any such determination shall be conclusive absent manifest error); or</w:t>
      </w:r>
    </w:p>
    <w:p>
      <w:pPr>
        <w:spacing w:after="0" w:line="186" w:lineRule="exact"/>
        <w:rPr>
          <w:rFonts w:ascii="Arial" w:cs="Arial" w:eastAsia="Arial" w:hAnsi="Arial"/>
          <w:sz w:val="22"/>
          <w:szCs w:val="22"/>
          <w:color w:val="auto"/>
        </w:rPr>
      </w:pPr>
    </w:p>
    <w:p>
      <w:pPr>
        <w:jc w:val="both"/>
        <w:ind w:left="640" w:firstLine="656"/>
        <w:spacing w:after="0"/>
        <w:tabs>
          <w:tab w:leader="none" w:pos="2004" w:val="left"/>
        </w:tabs>
        <w:numPr>
          <w:ilvl w:val="1"/>
          <w:numId w:val="63"/>
        </w:numPr>
        <w:rPr>
          <w:rFonts w:ascii="Arial" w:cs="Arial" w:eastAsia="Arial" w:hAnsi="Arial"/>
          <w:sz w:val="22"/>
          <w:szCs w:val="22"/>
          <w:color w:val="auto"/>
        </w:rPr>
      </w:pPr>
      <w:r>
        <w:rPr>
          <w:rFonts w:ascii="Arial" w:cs="Arial" w:eastAsia="Arial" w:hAnsi="Arial"/>
          <w:sz w:val="22"/>
          <w:szCs w:val="22"/>
          <w:color w:val="auto"/>
        </w:rPr>
        <w:t>Agent is advised by Required Lenders that the Eurodollar Rate for such Interest Period will not adequately and fairly reflect the cost to such Lenders of making or maintaining their Loans included in such Borrowing for such Interest Period;</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then Agent shall give notice thereof to Borrower and Lenders by telephone or telecopy as promptly as practicable thereafter and, until Agent notifies Borrower and Lenders that the circumstances giving rise to such notice no longer exist, (A) any Continuation/Conversion Notice that requests the conversion of any Borrowing to, or continuation of any Borrowing as, a Borrowing of Eurodollar Loans shall be ineffective and shall be deemed a request to continue such Borrowing as a Borrowing of Base Rate Loans and (B) if any Borrowing Notice requests a Borrowing of Eurodollar Loans, such Borrowing shall be made as a Borrowing of Base Rate Loans. Upon receipt of such notice, Borrower may revoke any pending request for a Borrowing of, conversion to or continuation of Eurodollar Loans.</w:t>
      </w:r>
    </w:p>
    <w:p>
      <w:pPr>
        <w:spacing w:after="0" w:line="153" w:lineRule="exact"/>
        <w:rPr>
          <w:sz w:val="20"/>
          <w:szCs w:val="20"/>
          <w:color w:val="auto"/>
        </w:rPr>
      </w:pPr>
    </w:p>
    <w:p>
      <w:pPr>
        <w:jc w:val="both"/>
        <w:ind w:firstLine="648"/>
        <w:spacing w:after="0" w:line="271" w:lineRule="auto"/>
        <w:tabs>
          <w:tab w:leader="none" w:pos="145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Alternative Rate of Interest</w:t>
      </w:r>
      <w:r>
        <w:rPr>
          <w:rFonts w:ascii="Arial" w:cs="Arial" w:eastAsia="Arial" w:hAnsi="Arial"/>
          <w:sz w:val="19"/>
          <w:szCs w:val="19"/>
          <w:color w:val="auto"/>
        </w:rPr>
        <w:t xml:space="preserve">. Notwithstanding anything to the contrary in </w:t>
      </w:r>
      <w:r>
        <w:rPr>
          <w:rFonts w:ascii="Arial" w:cs="Arial" w:eastAsia="Arial" w:hAnsi="Arial"/>
          <w:sz w:val="19"/>
          <w:szCs w:val="19"/>
          <w:u w:val="single" w:color="auto"/>
          <w:color w:val="auto"/>
        </w:rPr>
        <w:t>Section 3.7(a)</w:t>
      </w:r>
      <w:r>
        <w:rPr>
          <w:rFonts w:ascii="Arial" w:cs="Arial" w:eastAsia="Arial" w:hAnsi="Arial"/>
          <w:sz w:val="19"/>
          <w:szCs w:val="19"/>
          <w:color w:val="auto"/>
        </w:rPr>
        <w:t xml:space="preserve"> above, if Agent has made the determination (such determination to be conclusive absent manifest error) that (i) the circumstances described in </w:t>
      </w:r>
      <w:r>
        <w:rPr>
          <w:rFonts w:ascii="Arial" w:cs="Arial" w:eastAsia="Arial" w:hAnsi="Arial"/>
          <w:sz w:val="19"/>
          <w:szCs w:val="19"/>
          <w:u w:val="single" w:color="auto"/>
          <w:color w:val="auto"/>
        </w:rPr>
        <w:t>Section 3.7(a)(i)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have arisen and such circumstances are unlikely to be temporary, (ii) any applicable interest rate specified herein is no longer a widely recognized benchmark rate for newly originated loans in the U.S. syndicated loan market or (iii) the applicable supervisor or administrator (if any) of any applicable interest rate specified herein or any Governmental Authority having or purporting to have jurisdiction over Agent has made a public statement identifying a specific date after which any applicable interest rate specified herein shall no longer be used for determining interest rates for loans in the U.S. syndicated loan market, then Agent may, to the extent practicable, in consultation with Borrower (and as reasonably determined by Agent to be generally in accordance with similar situations in other transactions in which it is serving as administrative agent or otherwise consistent with market practice generally), establish a replacement interest rate (the “</w:t>
      </w:r>
      <w:r>
        <w:rPr>
          <w:rFonts w:ascii="Arial" w:cs="Arial" w:eastAsia="Arial" w:hAnsi="Arial"/>
          <w:sz w:val="19"/>
          <w:szCs w:val="19"/>
          <w:u w:val="single" w:color="auto"/>
          <w:color w:val="auto"/>
        </w:rPr>
        <w:t>Replacement Rate</w:t>
      </w:r>
      <w:r>
        <w:rPr>
          <w:rFonts w:ascii="Arial" w:cs="Arial" w:eastAsia="Arial" w:hAnsi="Arial"/>
          <w:sz w:val="19"/>
          <w:szCs w:val="19"/>
          <w:color w:val="auto"/>
        </w:rPr>
        <w:t xml:space="preserve">”), in which case, the Replacement Rate shall, subject to the next two sentences, replace such applicable interest rate for all purposes under the Loan Documents unless and until (A) an event described in </w:t>
      </w:r>
      <w:r>
        <w:rPr>
          <w:rFonts w:ascii="Arial" w:cs="Arial" w:eastAsia="Arial" w:hAnsi="Arial"/>
          <w:sz w:val="19"/>
          <w:szCs w:val="19"/>
          <w:u w:val="single" w:color="auto"/>
          <w:color w:val="auto"/>
        </w:rPr>
        <w:t>Section 3.7(a)(i)</w:t>
      </w:r>
      <w:r>
        <w:rPr>
          <w:rFonts w:ascii="Arial" w:cs="Arial" w:eastAsia="Arial" w:hAnsi="Arial"/>
          <w:sz w:val="19"/>
          <w:szCs w:val="19"/>
          <w:color w:val="auto"/>
        </w:rPr>
        <w:t xml:space="preserve">, </w:t>
      </w:r>
      <w:r>
        <w:rPr>
          <w:rFonts w:ascii="Arial" w:cs="Arial" w:eastAsia="Arial" w:hAnsi="Arial"/>
          <w:sz w:val="19"/>
          <w:szCs w:val="19"/>
          <w:u w:val="single" w:color="auto"/>
          <w:color w:val="auto"/>
        </w:rPr>
        <w:t>(a)(ii)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(c)(i)</w:t>
      </w:r>
      <w:r>
        <w:rPr>
          <w:rFonts w:ascii="Arial" w:cs="Arial" w:eastAsia="Arial" w:hAnsi="Arial"/>
          <w:sz w:val="19"/>
          <w:szCs w:val="19"/>
          <w:color w:val="auto"/>
        </w:rPr>
        <w:t xml:space="preserve">, </w:t>
      </w:r>
      <w:r>
        <w:rPr>
          <w:rFonts w:ascii="Arial" w:cs="Arial" w:eastAsia="Arial" w:hAnsi="Arial"/>
          <w:sz w:val="19"/>
          <w:szCs w:val="19"/>
          <w:u w:val="single" w:color="auto"/>
          <w:color w:val="auto"/>
        </w:rPr>
        <w:t>(c)(ii)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(c)(iii)</w:t>
      </w:r>
      <w:r>
        <w:rPr>
          <w:rFonts w:ascii="Arial" w:cs="Arial" w:eastAsia="Arial" w:hAnsi="Arial"/>
          <w:sz w:val="19"/>
          <w:szCs w:val="19"/>
          <w:color w:val="auto"/>
        </w:rPr>
        <w:t xml:space="preserve"> occurs with respect to the Replacement Rate, or (B) Agent (or the Required Lenders through Agent) notifies Borrower that the Replacement Rate does not adequately and fairly reflect the cost to the Lenders of funding the Loans bearing interest at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2" w:name="page103"/>
    <w:bookmarkEnd w:id="102"/>
    <w:p>
      <w:pPr>
        <w:jc w:val="both"/>
        <w:spacing w:after="0" w:line="272" w:lineRule="auto"/>
        <w:rPr>
          <w:sz w:val="20"/>
          <w:szCs w:val="20"/>
          <w:color w:val="auto"/>
        </w:rPr>
      </w:pPr>
      <w:r>
        <w:rPr>
          <w:rFonts w:ascii="Arial" w:cs="Arial" w:eastAsia="Arial" w:hAnsi="Arial"/>
          <w:sz w:val="19"/>
          <w:szCs w:val="19"/>
          <w:color w:val="auto"/>
        </w:rPr>
        <w:t xml:space="preserve">Replacement Rate. In connection with the establishment and application of the Replacement Rate, this Agreement and the other Loan Documents shall be amended solely with the consent of Agent and Borrower, as may be necessary or appropriate, in the opinion of Agent, to effect the provisions of this </w:t>
      </w:r>
      <w:r>
        <w:rPr>
          <w:rFonts w:ascii="Arial" w:cs="Arial" w:eastAsia="Arial" w:hAnsi="Arial"/>
          <w:sz w:val="19"/>
          <w:szCs w:val="19"/>
          <w:u w:val="single" w:color="auto"/>
          <w:color w:val="auto"/>
        </w:rPr>
        <w:t>Section 3.7(b)</w:t>
      </w:r>
      <w:r>
        <w:rPr>
          <w:rFonts w:ascii="Arial" w:cs="Arial" w:eastAsia="Arial" w:hAnsi="Arial"/>
          <w:sz w:val="19"/>
          <w:szCs w:val="19"/>
          <w:color w:val="auto"/>
        </w:rPr>
        <w:t xml:space="preserve">. Notwithstanding anything to the contrary in this Agreement or the other Loan Documents (including Section 10.1), such amendment shall become effective without any further action or consent of any other party to this Agreement so long as Agent shall not have received, within five Business Days of the delivery of such amendment to the Lenders, a written notice signed by Lenders constituting Required Lender stating that such Lenders object to such amendment (which notice shall note with specificity the particular provisions of the amendment to which such Lenders object). To the extent the Replacement Rate is approved by Agent and Borrower in connection with this subsection (b), the Replacement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to the extent such market practice is not administratively feasible for Agent, such Replacement Rate shall be applied as otherwise reasonably determined by Agent (it being understood that any such modification by Agent shall not require the consent of, or consultation with, any of the Lenders).</w:t>
      </w:r>
    </w:p>
    <w:p>
      <w:pPr>
        <w:spacing w:after="0" w:line="15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Change of Applicable Lending Office; Replacement of Lenders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7" w:lineRule="auto"/>
        <w:tabs>
          <w:tab w:leader="none" w:pos="1496"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Each Lender Party agrees that, upon the occurrence of any event giving rise to the operation of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with respect to such Lender Party, it will, if requested by Borrower, use reasonable efforts (subject to overall policy considerations of such Lender Party) to designate another Applicable Lending Office, provided that such designation is made on such terms that such Lender Party and its Applicable Lending Office suffer no economic, legal or regulatory disadvantage, with the object of avoiding the consequence of the event giving rise to the operation of any such Section. Nothing in this Section shall affect or postpone any of the obligations of Borrower or the rights of any Lender Party provided in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3.6</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648"/>
        <w:spacing w:after="0" w:line="270" w:lineRule="auto"/>
        <w:tabs>
          <w:tab w:leader="none" w:pos="1373"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or if Borrower is required to pay any additional amount to any Lender Party or any governmental authority for the account of any Lender Party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or if the obligation of any Lender Party to make or maintain Loans as, or convert Loans to, Eurodollar Loans is suspended pursuant to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or if any Lender Party is a Defaulting Lender, then Borrower may, at its sole expense and effort (such expense to include any transfer fee payable to Agent under </w:t>
      </w:r>
      <w:r>
        <w:rPr>
          <w:rFonts w:ascii="Arial" w:cs="Arial" w:eastAsia="Arial" w:hAnsi="Arial"/>
          <w:sz w:val="19"/>
          <w:szCs w:val="19"/>
          <w:u w:val="single" w:color="auto"/>
          <w:color w:val="auto"/>
        </w:rPr>
        <w:t>Section 10.5(c)</w:t>
      </w:r>
      <w:r>
        <w:rPr>
          <w:rFonts w:ascii="Arial" w:cs="Arial" w:eastAsia="Arial" w:hAnsi="Arial"/>
          <w:sz w:val="19"/>
          <w:szCs w:val="19"/>
          <w:color w:val="auto"/>
        </w:rPr>
        <w:t xml:space="preserve"> and any expense pursuant to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upon notice to such Lender Party and Agent, require such Lender Party to assign and delegate in whole (but not in part), without recourse (in accordance with and subject to the restrictions contained in </w:t>
      </w:r>
      <w:r>
        <w:rPr>
          <w:rFonts w:ascii="Arial" w:cs="Arial" w:eastAsia="Arial" w:hAnsi="Arial"/>
          <w:sz w:val="19"/>
          <w:szCs w:val="19"/>
          <w:u w:val="single" w:color="auto"/>
          <w:color w:val="auto"/>
        </w:rPr>
        <w:t>Section 10.5</w:t>
      </w:r>
      <w:r>
        <w:rPr>
          <w:rFonts w:ascii="Arial" w:cs="Arial" w:eastAsia="Arial" w:hAnsi="Arial"/>
          <w:sz w:val="19"/>
          <w:szCs w:val="19"/>
          <w:color w:val="auto"/>
        </w:rPr>
        <w:t xml:space="preserve">), all its interests, rights and obligations under this Agreement to an Eligible Transferee that shall assume such obligations (which Eligible Transferee may be another Lender Party, if a Lender Party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Borrower shall have received the prior written consent of Agent, which consent shall not unreasonably be withheld, (ii) such Lender Party shall have received payment of an amount equal to the outstanding principal of its Loans, accrued interest thereon, accrued fees and all other amounts payable to it hereunder from Borrower or such Eligible Transferee (including any amounts payable pursuant to </w:t>
      </w:r>
      <w:r>
        <w:rPr>
          <w:rFonts w:ascii="Arial" w:cs="Arial" w:eastAsia="Arial" w:hAnsi="Arial"/>
          <w:sz w:val="19"/>
          <w:szCs w:val="19"/>
          <w:u w:val="single" w:color="auto"/>
          <w:color w:val="auto"/>
        </w:rPr>
        <w:t>Section 3.5</w:t>
      </w:r>
      <w:r>
        <w:rPr>
          <w:rFonts w:ascii="Arial" w:cs="Arial" w:eastAsia="Arial" w:hAnsi="Arial"/>
          <w:sz w:val="19"/>
          <w:szCs w:val="19"/>
          <w:color w:val="auto"/>
        </w:rPr>
        <w:t xml:space="preserve">), (iii) in the case of any such assignment resulting from a claim for compensation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such assignment will result in a reduction in such compensation or payments, and (iv) if the Borrower elects to exercise such right with respect to any Lender Party, that has made such a request under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3.6</w:t>
      </w:r>
      <w:r>
        <w:rPr>
          <w:rFonts w:ascii="Arial" w:cs="Arial" w:eastAsia="Arial" w:hAnsi="Arial"/>
          <w:sz w:val="19"/>
          <w:szCs w:val="19"/>
          <w:color w:val="auto"/>
        </w:rPr>
        <w:t>, it shall be obligated to replace all Lender Parties that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3" w:name="page104"/>
    <w:bookmarkEnd w:id="103"/>
    <w:p>
      <w:pPr>
        <w:jc w:val="both"/>
        <w:spacing w:after="0" w:line="236" w:lineRule="auto"/>
        <w:rPr>
          <w:sz w:val="20"/>
          <w:szCs w:val="20"/>
          <w:color w:val="auto"/>
        </w:rPr>
      </w:pPr>
      <w:r>
        <w:rPr>
          <w:rFonts w:ascii="Arial" w:cs="Arial" w:eastAsia="Arial" w:hAnsi="Arial"/>
          <w:sz w:val="22"/>
          <w:szCs w:val="22"/>
          <w:color w:val="auto"/>
        </w:rPr>
        <w:t>have made similar requests. A Lender Party shall not be required to make any such assignment and delegation if, prior thereto, as a result of a waiver by such Lender Party or otherwise, the circumstances entitling Borrower to require such assignment and delegation cease to apply. Any Lender Party being replaced shall execute and deliver an Assignment and Acceptance with respect to such Lender Party’s outstanding Loans and participations in LC Obligations.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CONDITIONS PRECEDENT TO LENDING</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4.1 </w:t>
      </w:r>
      <w:r>
        <w:rPr>
          <w:rFonts w:ascii="Arial" w:cs="Arial" w:eastAsia="Arial" w:hAnsi="Arial"/>
          <w:sz w:val="22"/>
          <w:szCs w:val="22"/>
          <w:u w:val="single" w:color="auto"/>
          <w:color w:val="auto"/>
        </w:rPr>
        <w:t>Documents to be Delivered</w:t>
      </w:r>
      <w:r>
        <w:rPr>
          <w:rFonts w:ascii="Arial" w:cs="Arial" w:eastAsia="Arial" w:hAnsi="Arial"/>
          <w:sz w:val="22"/>
          <w:szCs w:val="22"/>
          <w:color w:val="auto"/>
        </w:rPr>
        <w:t>. No Lender has any obligation to make its first Loan, and LC Issuer has no obligation to issue the first Letter of Credit, unless Agent shall have received all of the following, at Agent’s office in Houston, Texas, duly executed and delivered and in form, substance and date reasonably satisfactory to the Agent, the Lenders and their counsel:</w:t>
      </w:r>
    </w:p>
    <w:p>
      <w:pPr>
        <w:spacing w:after="0" w:line="185" w:lineRule="exact"/>
        <w:rPr>
          <w:sz w:val="20"/>
          <w:szCs w:val="20"/>
          <w:color w:val="auto"/>
        </w:rPr>
      </w:pPr>
    </w:p>
    <w:p>
      <w:pPr>
        <w:ind w:left="1320" w:hanging="672"/>
        <w:spacing w:after="0"/>
        <w:tabs>
          <w:tab w:leader="none" w:pos="13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This Agreement.</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Revolving Note and the Swingline Note.</w:t>
      </w:r>
    </w:p>
    <w:p>
      <w:pPr>
        <w:spacing w:after="0" w:line="206" w:lineRule="exact"/>
        <w:rPr>
          <w:rFonts w:ascii="Arial" w:cs="Arial" w:eastAsia="Arial" w:hAnsi="Arial"/>
          <w:sz w:val="22"/>
          <w:szCs w:val="22"/>
          <w:color w:val="auto"/>
        </w:rPr>
      </w:pPr>
    </w:p>
    <w:p>
      <w:pPr>
        <w:ind w:left="1320" w:hanging="672"/>
        <w:spacing w:after="0"/>
        <w:tabs>
          <w:tab w:leader="none" w:pos="13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Guaranty executed by each Guarantor existing on the date hereof.</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Each Security Document listed on </w:t>
      </w:r>
      <w:r>
        <w:rPr>
          <w:rFonts w:ascii="Arial" w:cs="Arial" w:eastAsia="Arial" w:hAnsi="Arial"/>
          <w:sz w:val="22"/>
          <w:szCs w:val="22"/>
          <w:u w:val="single" w:color="auto"/>
          <w:color w:val="auto"/>
        </w:rPr>
        <w:t>Schedule 4.1</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20" w:hanging="672"/>
        <w:spacing w:after="0"/>
        <w:tabs>
          <w:tab w:leader="none" w:pos="13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following certificates of Borrower and, as appropriate, the Subsidiaries:</w:t>
      </w:r>
    </w:p>
    <w:p>
      <w:pPr>
        <w:spacing w:after="0" w:line="206" w:lineRule="exact"/>
        <w:rPr>
          <w:rFonts w:ascii="Arial" w:cs="Arial" w:eastAsia="Arial" w:hAnsi="Arial"/>
          <w:sz w:val="22"/>
          <w:szCs w:val="22"/>
          <w:color w:val="auto"/>
        </w:rPr>
      </w:pPr>
    </w:p>
    <w:p>
      <w:pPr>
        <w:jc w:val="both"/>
        <w:ind w:left="640" w:firstLine="656"/>
        <w:spacing w:after="0" w:line="245" w:lineRule="auto"/>
        <w:tabs>
          <w:tab w:leader="none" w:pos="2046" w:val="left"/>
        </w:tabs>
        <w:numPr>
          <w:ilvl w:val="1"/>
          <w:numId w:val="66"/>
        </w:numPr>
        <w:rPr>
          <w:rFonts w:ascii="Arial" w:cs="Arial" w:eastAsia="Arial" w:hAnsi="Arial"/>
          <w:sz w:val="21"/>
          <w:szCs w:val="21"/>
          <w:color w:val="auto"/>
        </w:rPr>
      </w:pPr>
      <w:r>
        <w:rPr>
          <w:rFonts w:ascii="Arial" w:cs="Arial" w:eastAsia="Arial" w:hAnsi="Arial"/>
          <w:sz w:val="21"/>
          <w:szCs w:val="21"/>
          <w:color w:val="auto"/>
        </w:rPr>
        <w:t>An “Omnibus Certificate” of the Secretary or Assistant Secretary of the Borrower and each Guarantor, which shall contain the names and signatures of the officers of Borrower and each Guarantor authorized to execute Loan Documents and which shall certify to the truth, correctness and completeness of the following exhibits attached thereto: (1) a copy of resolutions duly adopted by the Board of Directors of Borrower and each Guarantor and in full force and effect at the time this Agreement is entered into, authorizing the execution of this Agreement and the other Loan Documents delivered or to be delivered in connection herewith and the consummation of the transactions contemplated herein and therein, (2) a copy of the charter documents of Borrower and each Guarantor and all amendments thereto, certified by the appropriate official of such party’s state of organization, and (3) a copy of the bylaws of Borrower and each Guarantor; and</w:t>
      </w:r>
    </w:p>
    <w:p>
      <w:pPr>
        <w:spacing w:after="0" w:line="181" w:lineRule="exact"/>
        <w:rPr>
          <w:rFonts w:ascii="Arial" w:cs="Arial" w:eastAsia="Arial" w:hAnsi="Arial"/>
          <w:sz w:val="21"/>
          <w:szCs w:val="21"/>
          <w:color w:val="auto"/>
        </w:rPr>
      </w:pPr>
    </w:p>
    <w:p>
      <w:pPr>
        <w:jc w:val="both"/>
        <w:ind w:left="640" w:firstLine="656"/>
        <w:spacing w:after="0" w:line="276" w:lineRule="auto"/>
        <w:tabs>
          <w:tab w:leader="none" w:pos="2065"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A “Closing Certificate” of the chief financial officer of Borrower, as of the Closing Date, certifying that (A) the conditions set out in subsections (a), (b) and (c) of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have been satisfied and</w:t>
      </w:r>
    </w:p>
    <w:p>
      <w:pPr>
        <w:spacing w:after="0" w:line="1" w:lineRule="exact"/>
        <w:rPr>
          <w:rFonts w:ascii="Arial" w:cs="Arial" w:eastAsia="Arial" w:hAnsi="Arial"/>
          <w:sz w:val="19"/>
          <w:szCs w:val="19"/>
          <w:color w:val="auto"/>
        </w:rPr>
      </w:pPr>
    </w:p>
    <w:p>
      <w:pPr>
        <w:ind w:left="640"/>
        <w:spacing w:after="0" w:line="256" w:lineRule="auto"/>
        <w:rPr>
          <w:rFonts w:ascii="Arial" w:cs="Arial" w:eastAsia="Arial" w:hAnsi="Arial"/>
          <w:sz w:val="19"/>
          <w:szCs w:val="19"/>
          <w:color w:val="auto"/>
        </w:rPr>
      </w:pPr>
      <w:r>
        <w:rPr>
          <w:rFonts w:ascii="Arial" w:cs="Arial" w:eastAsia="Arial" w:hAnsi="Arial"/>
          <w:sz w:val="21"/>
          <w:szCs w:val="21"/>
          <w:color w:val="auto"/>
        </w:rPr>
        <w:t>(B) the Initial Financial Statements of Borrower delivered to the Agent fairly present the Consolidated financial position for the periods covered thereby, as of the date of such Initial Financial Statements.</w:t>
      </w:r>
    </w:p>
    <w:p>
      <w:pPr>
        <w:spacing w:after="0" w:line="169" w:lineRule="exact"/>
        <w:rPr>
          <w:rFonts w:ascii="Arial" w:cs="Arial" w:eastAsia="Arial" w:hAnsi="Arial"/>
          <w:sz w:val="19"/>
          <w:szCs w:val="19"/>
          <w:color w:val="auto"/>
        </w:rPr>
      </w:pPr>
    </w:p>
    <w:p>
      <w:pPr>
        <w:jc w:val="both"/>
        <w:ind w:firstLine="648"/>
        <w:spacing w:after="0" w:line="297" w:lineRule="auto"/>
        <w:tabs>
          <w:tab w:leader="none" w:pos="1553"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certificate of existence and good standing for Borrower issued by the Secretary of State of Delaware, a certificate of due qualification to do business for the Borrower issued by the Secretary of State of Texas, and a certificate of account status for the Borrower issued by the Texas Comptroller of Public Accounts.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4" w:name="page105"/>
    <w:bookmarkEnd w:id="104"/>
    <w:p>
      <w:pPr>
        <w:jc w:val="both"/>
        <w:ind w:firstLine="648"/>
        <w:spacing w:after="0" w:line="241" w:lineRule="auto"/>
        <w:tabs>
          <w:tab w:leader="none" w:pos="1481" w:val="left"/>
        </w:tabs>
        <w:numPr>
          <w:ilvl w:val="0"/>
          <w:numId w:val="67"/>
        </w:numPr>
        <w:rPr>
          <w:rFonts w:ascii="Arial" w:cs="Arial" w:eastAsia="Arial" w:hAnsi="Arial"/>
          <w:sz w:val="22"/>
          <w:szCs w:val="22"/>
          <w:color w:val="auto"/>
        </w:rPr>
      </w:pPr>
      <w:r>
        <w:rPr>
          <w:rFonts w:ascii="Arial" w:cs="Arial" w:eastAsia="Arial" w:hAnsi="Arial"/>
          <w:sz w:val="22"/>
          <w:szCs w:val="22"/>
          <w:color w:val="auto"/>
        </w:rPr>
        <w:t>A favorable opinion of (i) Bracewell LLP, counsel for Restricted Persons, in form and substance reasonably satisfactory to the Agent; and (ii) Trent McKenna, in-house counsel for Restricted Persons, in form and substance reasonably satisfactory to the Agent.</w:t>
      </w:r>
    </w:p>
    <w:p>
      <w:pPr>
        <w:spacing w:after="0" w:line="183" w:lineRule="exact"/>
        <w:rPr>
          <w:rFonts w:ascii="Arial" w:cs="Arial" w:eastAsia="Arial" w:hAnsi="Arial"/>
          <w:sz w:val="22"/>
          <w:szCs w:val="22"/>
          <w:color w:val="auto"/>
        </w:rPr>
      </w:pPr>
    </w:p>
    <w:p>
      <w:pPr>
        <w:ind w:left="1340" w:hanging="692"/>
        <w:spacing w:after="0"/>
        <w:tabs>
          <w:tab w:leader="none" w:pos="13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Initial Financial Statements.</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The certificate or certificates of insurance required by </w:t>
      </w:r>
      <w:r>
        <w:rPr>
          <w:rFonts w:ascii="Arial" w:cs="Arial" w:eastAsia="Arial" w:hAnsi="Arial"/>
          <w:sz w:val="22"/>
          <w:szCs w:val="22"/>
          <w:u w:val="single" w:color="auto"/>
          <w:color w:val="auto"/>
        </w:rPr>
        <w:t>Section 6.8</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648"/>
        <w:spacing w:after="0" w:line="251" w:lineRule="auto"/>
        <w:tabs>
          <w:tab w:leader="none" w:pos="1649"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Payment of all fees including all Commitment Fees, upfront, Agent, and Lead Arranger fees required to be paid to any Lender or any other Party pursuant to any Loan Documents.</w:t>
      </w:r>
    </w:p>
    <w:p>
      <w:pPr>
        <w:spacing w:after="0" w:line="173" w:lineRule="exact"/>
        <w:rPr>
          <w:rFonts w:ascii="Arial" w:cs="Arial" w:eastAsia="Arial" w:hAnsi="Arial"/>
          <w:sz w:val="22"/>
          <w:szCs w:val="22"/>
          <w:color w:val="auto"/>
        </w:rPr>
      </w:pPr>
    </w:p>
    <w:p>
      <w:pPr>
        <w:ind w:left="1340" w:hanging="692"/>
        <w:spacing w:after="0"/>
        <w:tabs>
          <w:tab w:leader="none" w:pos="1340" w:val="left"/>
        </w:tabs>
        <w:numPr>
          <w:ilvl w:val="0"/>
          <w:numId w:val="67"/>
        </w:numPr>
        <w:rPr>
          <w:rFonts w:ascii="Arial" w:cs="Arial" w:eastAsia="Arial" w:hAnsi="Arial"/>
          <w:sz w:val="21"/>
          <w:szCs w:val="21"/>
          <w:color w:val="auto"/>
        </w:rPr>
      </w:pPr>
      <w:r>
        <w:rPr>
          <w:rFonts w:ascii="Arial" w:cs="Arial" w:eastAsia="Arial" w:hAnsi="Arial"/>
          <w:sz w:val="21"/>
          <w:szCs w:val="21"/>
          <w:color w:val="auto"/>
        </w:rPr>
        <w:t>Such other documents and instruments as the Agent and its counsel may reasonably require.</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4.2 </w:t>
      </w:r>
      <w:r>
        <w:rPr>
          <w:rFonts w:ascii="Arial" w:cs="Arial" w:eastAsia="Arial" w:hAnsi="Arial"/>
          <w:sz w:val="22"/>
          <w:szCs w:val="22"/>
          <w:u w:val="single" w:color="auto"/>
          <w:color w:val="auto"/>
        </w:rPr>
        <w:t>Additional Conditions Precedent</w:t>
      </w:r>
      <w:r>
        <w:rPr>
          <w:rFonts w:ascii="Arial" w:cs="Arial" w:eastAsia="Arial" w:hAnsi="Arial"/>
          <w:sz w:val="22"/>
          <w:szCs w:val="22"/>
          <w:color w:val="auto"/>
        </w:rPr>
        <w:t>. No Lender has any obligation to make any Loan (including its first), and LC Issuer has no obligation to issue any Letter of Credit (including its first), unless the following conditions precedent have been satisfied:</w:t>
      </w:r>
    </w:p>
    <w:p>
      <w:pPr>
        <w:spacing w:after="0" w:line="186" w:lineRule="exact"/>
        <w:rPr>
          <w:sz w:val="20"/>
          <w:szCs w:val="20"/>
          <w:color w:val="auto"/>
        </w:rPr>
      </w:pPr>
    </w:p>
    <w:p>
      <w:pPr>
        <w:jc w:val="both"/>
        <w:ind w:firstLine="648"/>
        <w:spacing w:after="0" w:line="275" w:lineRule="auto"/>
        <w:tabs>
          <w:tab w:leader="none" w:pos="1428" w:val="left"/>
        </w:tabs>
        <w:numPr>
          <w:ilvl w:val="0"/>
          <w:numId w:val="68"/>
        </w:numPr>
        <w:rPr>
          <w:rFonts w:ascii="Arial" w:cs="Arial" w:eastAsia="Arial" w:hAnsi="Arial"/>
          <w:sz w:val="19"/>
          <w:szCs w:val="19"/>
          <w:color w:val="auto"/>
        </w:rPr>
      </w:pPr>
      <w:r>
        <w:rPr>
          <w:rFonts w:ascii="Arial" w:cs="Arial" w:eastAsia="Arial" w:hAnsi="Arial"/>
          <w:sz w:val="19"/>
          <w:szCs w:val="19"/>
          <w:color w:val="auto"/>
        </w:rPr>
        <w:t>All representations and warranties made by any Restricted Person in any Loan Document shall be true in all material respects (or in all respects to the extent any such representation is qualified by a materiality standard) on and as of the date of such Loan or the date of issuance of such Letter of Credit as if such representations and warranties had been made as of the date of such Loan or the date of issuance of such Letter of Credit, except to the extent that such representation or warranty was made as of a specific date or updated, modified or supplemented as of a subsequent date with the consent of Required Lenders in which case that representation and warranty will have been true and correct in all material respects (or in all respects to the extent any such representation or warranty is qualified by a materiality standard) as of that earlier date.</w:t>
      </w:r>
    </w:p>
    <w:p>
      <w:pPr>
        <w:spacing w:after="0" w:line="158" w:lineRule="exact"/>
        <w:rPr>
          <w:rFonts w:ascii="Arial" w:cs="Arial" w:eastAsia="Arial" w:hAnsi="Arial"/>
          <w:sz w:val="19"/>
          <w:szCs w:val="19"/>
          <w:color w:val="auto"/>
        </w:rPr>
      </w:pPr>
    </w:p>
    <w:p>
      <w:pPr>
        <w:ind w:left="1340" w:hanging="692"/>
        <w:spacing w:after="0"/>
        <w:tabs>
          <w:tab w:leader="none" w:pos="1340" w:val="left"/>
        </w:tabs>
        <w:numPr>
          <w:ilvl w:val="0"/>
          <w:numId w:val="68"/>
        </w:numPr>
        <w:rPr>
          <w:rFonts w:ascii="Arial" w:cs="Arial" w:eastAsia="Arial" w:hAnsi="Arial"/>
          <w:sz w:val="21"/>
          <w:szCs w:val="21"/>
          <w:color w:val="auto"/>
        </w:rPr>
      </w:pPr>
      <w:r>
        <w:rPr>
          <w:rFonts w:ascii="Arial" w:cs="Arial" w:eastAsia="Arial" w:hAnsi="Arial"/>
          <w:sz w:val="21"/>
          <w:szCs w:val="21"/>
          <w:color w:val="auto"/>
        </w:rPr>
        <w:t>No Default shall exist at the date of such Loan or the date of issuance of such Letter of Credit.</w:t>
      </w:r>
    </w:p>
    <w:p>
      <w:pPr>
        <w:spacing w:after="0" w:line="217" w:lineRule="exact"/>
        <w:rPr>
          <w:rFonts w:ascii="Arial" w:cs="Arial" w:eastAsia="Arial" w:hAnsi="Arial"/>
          <w:sz w:val="21"/>
          <w:szCs w:val="21"/>
          <w:color w:val="auto"/>
        </w:rPr>
      </w:pPr>
    </w:p>
    <w:p>
      <w:pPr>
        <w:ind w:left="1320" w:hanging="672"/>
        <w:spacing w:after="0"/>
        <w:tabs>
          <w:tab w:leader="none" w:pos="13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No Material Adverse Change shall have occurred since December 31, 2017.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To confirm each Lender’s understanding concerning Restricted Persons and Restricted Persons’ businesses, properties and obligations and to induce each Lender to enter into this Agreement and to extend credit hereunder, Borrower represents and warrants to each Lender that:</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No Default</w:t>
      </w:r>
      <w:r>
        <w:rPr>
          <w:rFonts w:ascii="Arial" w:cs="Arial" w:eastAsia="Arial" w:hAnsi="Arial"/>
          <w:sz w:val="22"/>
          <w:szCs w:val="22"/>
          <w:color w:val="auto"/>
        </w:rPr>
        <w:t>. No event has occurred and is continuing which constitutes a Default or an Event of Default.</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5.2 </w:t>
      </w: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Each Restricted Person is duly organized, validly existing and in good standing under the Laws of its jurisdiction of organization, having all powers required to carry on its business and enter into and carry out the transactions contemplated hereby. Each Restricted Person is duly qualified, in good standing, and authorized to do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5" w:name="page106"/>
    <w:bookmarkEnd w:id="105"/>
    <w:p>
      <w:pPr>
        <w:jc w:val="both"/>
        <w:ind w:left="1"/>
        <w:spacing w:after="0" w:line="234" w:lineRule="auto"/>
        <w:rPr>
          <w:sz w:val="20"/>
          <w:szCs w:val="20"/>
          <w:color w:val="auto"/>
        </w:rPr>
      </w:pPr>
      <w:r>
        <w:rPr>
          <w:rFonts w:ascii="Arial" w:cs="Arial" w:eastAsia="Arial" w:hAnsi="Arial"/>
          <w:sz w:val="22"/>
          <w:szCs w:val="22"/>
          <w:color w:val="auto"/>
        </w:rPr>
        <w:t>in all other jurisdictions within the United States wherein the character of the properties owned or held by it or the nature of the business transacted by it makes such qualification necessary, except where the failure to so qualify or be authorized could not reasonably be expected to result in a Material Adverse Change. Each Restricted Person has taken all actions and procedures customarily taken in order to enter, for the purpose of conducting business or owning property, each jurisdiction outside the United States wherein the character of the properties owned or held by it or the nature of the business transacted by it makes such actions and procedures desirable except where the failure to take such actions and procedures could not reasonably be expected to result in a Material Adverse Change.</w:t>
      </w:r>
    </w:p>
    <w:p>
      <w:pPr>
        <w:spacing w:after="0" w:line="188" w:lineRule="exact"/>
        <w:rPr>
          <w:sz w:val="20"/>
          <w:szCs w:val="20"/>
          <w:color w:val="auto"/>
        </w:rPr>
      </w:pPr>
    </w:p>
    <w:p>
      <w:pPr>
        <w:jc w:val="both"/>
        <w:ind w:left="1" w:firstLine="648"/>
        <w:spacing w:after="0" w:line="279"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u w:val="single" w:color="auto"/>
          <w:color w:val="auto"/>
        </w:rPr>
        <w:t>Authorization</w:t>
      </w:r>
      <w:r>
        <w:rPr>
          <w:rFonts w:ascii="Arial" w:cs="Arial" w:eastAsia="Arial" w:hAnsi="Arial"/>
          <w:sz w:val="19"/>
          <w:szCs w:val="19"/>
          <w:color w:val="auto"/>
        </w:rPr>
        <w:t>. Each Restricted Person has the power and authority to execute, deliver, and perform its respective obligations under this Agreement and the other Loan Documents. Each Restricted Person has taken all action necessary to authorize the execution and delivery by it of the Loan Documents to which it is a party and to authorize the consummation of the transactions contemplated thereby and the performance of its obligations thereunder. This Agreement and the other Loan Documents have been duly executed and delivered by Borrower and each other Restricted Person a party thereto. Borrower is duly authorized to borrow funds hereunder.</w:t>
      </w:r>
    </w:p>
    <w:p>
      <w:pPr>
        <w:spacing w:after="0" w:line="151"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No Conflicts or Consents</w:t>
      </w:r>
      <w:r>
        <w:rPr>
          <w:rFonts w:ascii="Arial" w:cs="Arial" w:eastAsia="Arial" w:hAnsi="Arial"/>
          <w:sz w:val="19"/>
          <w:szCs w:val="19"/>
          <w:color w:val="auto"/>
        </w:rPr>
        <w:t>. The execution and delivery by the various Restricted Persons of the Loan Documents to which each is a party, the performance by each of its obligations under such Loan Documents, and the consummation of the transactions contemplated by the various Loan Documents, do not and will not (a) conflict with any provision of (i) any Law, (ii) the organizational documents of any Restricted Person, or</w:t>
      </w:r>
    </w:p>
    <w:p>
      <w:pPr>
        <w:spacing w:after="0" w:line="4" w:lineRule="exact"/>
        <w:rPr>
          <w:sz w:val="20"/>
          <w:szCs w:val="20"/>
          <w:color w:val="auto"/>
        </w:rPr>
      </w:pPr>
    </w:p>
    <w:p>
      <w:pPr>
        <w:ind w:left="381" w:hanging="381"/>
        <w:spacing w:after="0"/>
        <w:tabs>
          <w:tab w:leader="none" w:pos="381"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material agreement, judgment, license, order or permit applicable to or binding upon any Restricted Person;</w:t>
      </w:r>
    </w:p>
    <w:p>
      <w:pPr>
        <w:spacing w:after="0" w:line="24" w:lineRule="exact"/>
        <w:rPr>
          <w:rFonts w:ascii="Arial" w:cs="Arial" w:eastAsia="Arial" w:hAnsi="Arial"/>
          <w:sz w:val="19"/>
          <w:szCs w:val="19"/>
          <w:color w:val="auto"/>
        </w:rPr>
      </w:pPr>
    </w:p>
    <w:p>
      <w:pPr>
        <w:jc w:val="both"/>
        <w:ind w:left="1" w:hanging="1"/>
        <w:spacing w:after="0" w:line="275" w:lineRule="auto"/>
        <w:tabs>
          <w:tab w:leader="none" w:pos="337" w:val="left"/>
        </w:tabs>
        <w:numPr>
          <w:ilvl w:val="0"/>
          <w:numId w:val="70"/>
        </w:numPr>
        <w:rPr>
          <w:rFonts w:ascii="Arial" w:cs="Arial" w:eastAsia="Arial" w:hAnsi="Arial"/>
          <w:sz w:val="19"/>
          <w:szCs w:val="19"/>
          <w:color w:val="auto"/>
        </w:rPr>
      </w:pPr>
      <w:r>
        <w:rPr>
          <w:rFonts w:ascii="Arial" w:cs="Arial" w:eastAsia="Arial" w:hAnsi="Arial"/>
          <w:sz w:val="19"/>
          <w:szCs w:val="19"/>
          <w:color w:val="auto"/>
        </w:rPr>
        <w:t>result in the acceleration of any Indebtedness owed by any Restricted Person; or (c) result in or require the creation of any Lien upon any assets or properties of any Restricted Person except as expressly contemplated or permitted in the Loan Documents. Except as expressly contemplated in the Loan Documents, no permit, consent, approval, authorization or order of, and no notice to or filing with, any Tribunal or third party is required in connection with the execution, delivery or performance by any Restricted Person of any Loan Document or to consummate any transactions contemplated by the Loan Documents.</w:t>
      </w:r>
    </w:p>
    <w:p>
      <w:pPr>
        <w:spacing w:after="0" w:line="155" w:lineRule="exact"/>
        <w:rPr>
          <w:sz w:val="20"/>
          <w:szCs w:val="20"/>
          <w:color w:val="auto"/>
        </w:rPr>
      </w:pPr>
    </w:p>
    <w:p>
      <w:pPr>
        <w:jc w:val="both"/>
        <w:ind w:left="1" w:firstLine="648"/>
        <w:spacing w:after="0" w:line="287"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u w:val="single" w:color="auto"/>
          <w:color w:val="auto"/>
        </w:rPr>
        <w:t>Enforceable Obligations</w:t>
      </w:r>
      <w:r>
        <w:rPr>
          <w:rFonts w:ascii="Arial" w:cs="Arial" w:eastAsia="Arial" w:hAnsi="Arial"/>
          <w:sz w:val="19"/>
          <w:szCs w:val="19"/>
          <w:color w:val="auto"/>
        </w:rPr>
        <w:t>. This Agreement is, and the other Loan Documents when duly executed and delivered will be, legal, valid and binding obligations of each Restricted Person which is a party hereto or thereto, enforceable in accordance with their respective terms except as such enforcement may be limited by bankruptcy, insolvency or similar Laws of general application relating to the enforcement of creditors’ rights.</w:t>
      </w:r>
    </w:p>
    <w:p>
      <w:pPr>
        <w:spacing w:after="0" w:line="143" w:lineRule="exact"/>
        <w:rPr>
          <w:sz w:val="20"/>
          <w:szCs w:val="20"/>
          <w:color w:val="auto"/>
        </w:rPr>
      </w:pPr>
    </w:p>
    <w:p>
      <w:pPr>
        <w:jc w:val="both"/>
        <w:ind w:left="1" w:firstLine="648"/>
        <w:spacing w:after="0" w:line="236"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Initial Financial Statements</w:t>
      </w:r>
      <w:r>
        <w:rPr>
          <w:rFonts w:ascii="Arial" w:cs="Arial" w:eastAsia="Arial" w:hAnsi="Arial"/>
          <w:sz w:val="22"/>
          <w:szCs w:val="22"/>
          <w:color w:val="auto"/>
        </w:rPr>
        <w:t>. Restricted Persons have heretofore delivered to each Lender true, correct and complete copies of the Initial Financial Statements. The Initial Financial Statements fairly present Borrower’s Consolidated financial position at the respective dates thereof and the Consolidated results of Borrower’s operations and Borrower’s Consolidated cash flows for the respective periods thereof. Since December 31, 2017, no Material Adverse Change has occurred.</w:t>
      </w:r>
    </w:p>
    <w:p>
      <w:pPr>
        <w:spacing w:after="0" w:line="188" w:lineRule="exact"/>
        <w:rPr>
          <w:sz w:val="20"/>
          <w:szCs w:val="20"/>
          <w:color w:val="auto"/>
        </w:rPr>
      </w:pPr>
    </w:p>
    <w:p>
      <w:pPr>
        <w:ind w:left="641"/>
        <w:spacing w:after="0"/>
        <w:tabs>
          <w:tab w:leader="none" w:pos="192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color w:val="auto"/>
        </w:rPr>
        <w:t>[Reserved].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06" w:name="page107"/>
    <w:bookmarkEnd w:id="106"/>
    <w:p>
      <w:pPr>
        <w:jc w:val="both"/>
        <w:ind w:firstLine="648"/>
        <w:spacing w:after="0" w:line="273" w:lineRule="auto"/>
        <w:rPr>
          <w:sz w:val="20"/>
          <w:szCs w:val="20"/>
          <w:color w:val="auto"/>
        </w:rPr>
      </w:pPr>
      <w:r>
        <w:rPr>
          <w:rFonts w:ascii="Arial" w:cs="Arial" w:eastAsia="Arial" w:hAnsi="Arial"/>
          <w:sz w:val="19"/>
          <w:szCs w:val="19"/>
          <w:color w:val="auto"/>
        </w:rPr>
        <w:t xml:space="preserve">Section 5.8 </w:t>
      </w:r>
      <w:r>
        <w:rPr>
          <w:rFonts w:ascii="Arial" w:cs="Arial" w:eastAsia="Arial" w:hAnsi="Arial"/>
          <w:sz w:val="19"/>
          <w:szCs w:val="19"/>
          <w:u w:val="single" w:color="auto"/>
          <w:color w:val="auto"/>
        </w:rPr>
        <w:t>Full Disclosure</w:t>
      </w:r>
      <w:r>
        <w:rPr>
          <w:rFonts w:ascii="Arial" w:cs="Arial" w:eastAsia="Arial" w:hAnsi="Arial"/>
          <w:sz w:val="19"/>
          <w:szCs w:val="19"/>
          <w:color w:val="auto"/>
        </w:rPr>
        <w:t xml:space="preserve">. No certificate, written statement or other written information delivered herewith or heretofore by any Restricted Person to any Lender in connection with the negotiation of this Agreement or in connection with any transaction contemplated hereby contains any untrue statement of a material fact or omits to state any material fact known to any Restricted Person (other than industry-wide risks normally associated with the types of businesses conducted by Restricted Persons) necessary to make the statements contained herein or therein, taken as a whole, not misleading as of the date made or deemed made. There is no fact known to any Restricted Person that has not been disclosed to each Lender in writing (including by delivery of the Initial Financial Statements and the financial statements required under </w:t>
      </w:r>
      <w:r>
        <w:rPr>
          <w:rFonts w:ascii="Arial" w:cs="Arial" w:eastAsia="Arial" w:hAnsi="Arial"/>
          <w:sz w:val="19"/>
          <w:szCs w:val="19"/>
          <w:u w:val="single" w:color="auto"/>
          <w:color w:val="auto"/>
        </w:rPr>
        <w:t>Section 6.2</w:t>
      </w:r>
      <w:r>
        <w:rPr>
          <w:rFonts w:ascii="Arial" w:cs="Arial" w:eastAsia="Arial" w:hAnsi="Arial"/>
          <w:sz w:val="19"/>
          <w:szCs w:val="19"/>
          <w:color w:val="auto"/>
        </w:rPr>
        <w:t>) which could reasonably be expected to cause a Material Adverse Change. There are no statements or conclusions in any report delivered by any Restricted Person to the Lenders which are based upon or include material misleading information or fail to take into account material information regarding the matters reported therein.</w:t>
      </w:r>
    </w:p>
    <w:p>
      <w:pPr>
        <w:spacing w:after="0" w:line="157"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Section 5.9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Except as disclosed in the Initial Financial Statements or in </w:t>
      </w:r>
      <w:r>
        <w:rPr>
          <w:rFonts w:ascii="Arial" w:cs="Arial" w:eastAsia="Arial" w:hAnsi="Arial"/>
          <w:sz w:val="22"/>
          <w:szCs w:val="22"/>
          <w:u w:val="single" w:color="auto"/>
          <w:color w:val="auto"/>
        </w:rPr>
        <w:t>Section 5.9</w:t>
      </w:r>
      <w:r>
        <w:rPr>
          <w:rFonts w:ascii="Arial" w:cs="Arial" w:eastAsia="Arial" w:hAnsi="Arial"/>
          <w:sz w:val="22"/>
          <w:szCs w:val="22"/>
          <w:color w:val="auto"/>
        </w:rPr>
        <w:t xml:space="preserve"> of the Disclosure Schedule, (a) there are no actions, suits or legal, equitable, arbitrative or administrative proceedings pending, or to the knowledge of any Restricted Person threatened, against any Restricted Person or affecting any Collateral (including any which challenge or otherwise pertain to any Restricted Person’s title to any Collateral) before any Tribunal which could reasonably be expected to cause a Material Adverse Change, and (b) there are no outstanding judgments, injunctions, writs, rulings or orders by any such Tribunal against any Restricted Person or, to the knowledge of Borrower, any Restricted Person’s stockholders, partners, directors or officers, or affecting any Collateral or any of its material assets or property which could reasonably be expected to cause a Material Adverse Change.</w:t>
      </w:r>
    </w:p>
    <w:p>
      <w:pPr>
        <w:spacing w:after="0" w:line="19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5.10 </w:t>
      </w:r>
      <w:r>
        <w:rPr>
          <w:rFonts w:ascii="Arial" w:cs="Arial" w:eastAsia="Arial" w:hAnsi="Arial"/>
          <w:sz w:val="22"/>
          <w:szCs w:val="22"/>
          <w:u w:val="single" w:color="auto"/>
          <w:color w:val="auto"/>
        </w:rPr>
        <w:t>Labor Disputes and Acts of God</w:t>
      </w:r>
      <w:r>
        <w:rPr>
          <w:rFonts w:ascii="Arial" w:cs="Arial" w:eastAsia="Arial" w:hAnsi="Arial"/>
          <w:sz w:val="22"/>
          <w:szCs w:val="22"/>
          <w:color w:val="auto"/>
        </w:rPr>
        <w:t>. Except as disclosed in Section 5.10 of the Disclosure Schedule, neither the business nor the properties of any Restricted Person has been affected by any fire, explosion, accident, strike, lockout or other labor dispute, drought, storm, hail, earthquake, embargo, act of God or of the public enemy or other casualty (whether or not covered by insurance), which could reasonably be expected to cause a Material Adverse Change.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ERISA Plans and Liabilities</w:t>
      </w:r>
      <w:r>
        <w:rPr>
          <w:rFonts w:ascii="Arial" w:cs="Arial" w:eastAsia="Arial" w:hAnsi="Arial"/>
          <w:sz w:val="19"/>
          <w:szCs w:val="19"/>
          <w:color w:val="auto"/>
        </w:rPr>
        <w:t xml:space="preserve">. All ERISA Plans in effect on the Closing Date are listed in Section 5.11 of the Disclosure Schedule. Except as disclosed in the Initial Financial Statements or in Section 5.11 of the Disclosure Schedule, no Termination Event has occurred with respect to any ERISA Plan and all ERISA Plans are in compliance with ERISA unless the aggregate effect of all Termination Events and failures to comply with ERISA could not reasonably be expected to cause a Material Adverse Change. Except as permitted under </w:t>
      </w:r>
      <w:r>
        <w:rPr>
          <w:rFonts w:ascii="Arial" w:cs="Arial" w:eastAsia="Arial" w:hAnsi="Arial"/>
          <w:sz w:val="19"/>
          <w:szCs w:val="19"/>
          <w:u w:val="single" w:color="auto"/>
          <w:color w:val="auto"/>
        </w:rPr>
        <w:t>Section 7.10</w:t>
      </w:r>
      <w:r>
        <w:rPr>
          <w:rFonts w:ascii="Arial" w:cs="Arial" w:eastAsia="Arial" w:hAnsi="Arial"/>
          <w:sz w:val="19"/>
          <w:szCs w:val="19"/>
          <w:color w:val="auto"/>
        </w:rPr>
        <w:t xml:space="preserve"> hereof, no ERISA Affiliate is required to contribute to, or has any other absolute or contingent liability in respect of, any “multiemployer plan” as defined in Section 4001 of ERISA. The payment by a Restricted Person of the sum of the contributions to each ERISA Plan that would be necessary for the “adjusted funding target attainment percentage” (within the meaning of Section 436 of the Code) of each such ERISA Plan to equal 100 percent could not reasonably be expected to cause a Material Adverse Change. Each representation with respect to a “multiemployer plan” is made to the Borrower’s knowledge.</w:t>
      </w:r>
    </w:p>
    <w:p>
      <w:pPr>
        <w:spacing w:after="0" w:line="15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5.12 </w:t>
      </w:r>
      <w:r>
        <w:rPr>
          <w:rFonts w:ascii="Arial" w:cs="Arial" w:eastAsia="Arial" w:hAnsi="Arial"/>
          <w:sz w:val="22"/>
          <w:szCs w:val="22"/>
          <w:u w:val="single" w:color="auto"/>
          <w:color w:val="auto"/>
        </w:rPr>
        <w:t>Environmental and Other Laws</w:t>
      </w:r>
      <w:r>
        <w:rPr>
          <w:rFonts w:ascii="Arial" w:cs="Arial" w:eastAsia="Arial" w:hAnsi="Arial"/>
          <w:sz w:val="22"/>
          <w:szCs w:val="22"/>
          <w:color w:val="auto"/>
        </w:rPr>
        <w:t>. Except as disclosed in Section 5.12 of the Disclosure Schedule: (a) Restricted Persons are conducting their businesses in compliance with all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7" w:name="page108"/>
    <w:bookmarkEnd w:id="107"/>
    <w:p>
      <w:pPr>
        <w:jc w:val="both"/>
        <w:spacing w:after="0" w:line="269" w:lineRule="auto"/>
        <w:rPr>
          <w:sz w:val="20"/>
          <w:szCs w:val="20"/>
          <w:color w:val="auto"/>
        </w:rPr>
      </w:pPr>
      <w:r>
        <w:rPr>
          <w:rFonts w:ascii="Arial" w:cs="Arial" w:eastAsia="Arial" w:hAnsi="Arial"/>
          <w:sz w:val="19"/>
          <w:szCs w:val="19"/>
          <w:color w:val="auto"/>
        </w:rPr>
        <w:t>applicable Laws, including Environmental Laws, where the failure to so comply could reasonably be expected to cause a Material Adverse Change, and have and are in compliance with all licenses and permits required under any such Laws where the failure to so comply could reasonably be expected to cause a Material Adverse Change; (b) none of the operations or properties of any Restricted Person is the subject of federal, state or local investigation evaluating whether any material remedial action is needed to respond to a release of any Hazardous Materials into the environment or to the improper storage or disposal (including storage or disposal at offsite locations) of any Hazardous Materials which could reasonably be expected to cause a Material Adverse Change; (c) no Restricted Person (and to the best knowledge of Borrower, no other Person) has filed any notice under any Law indicating that any Restricted Person is responsible for the improper release into the environment, or the improper storage or disposal, of any material amount of any Hazardous Materials or that any Hazardous Materials have been improperly released, or are improperly stored or disposed of, upon any property of any Restricted Person which could reasonably be expected to cause a Material Adverse Change; (d) to the knowledge of Borrower, no Restricted Person has transported or arranged for the transportation of any Hazardous Material to any location which is (i) listed on the National Priorities List under the Comprehensive Environmental Response, Compensation and Liability Act of 1980, as amended, listed for possible inclusion on such National Priorities List by the Environmental Protection Agency in its Comprehensive Environmental Response, Compensation and Liability Information System List, or listed on any similar state list or (ii) the subject of federal, state or local enforcement actions or other investigations, in the case of either of the forgoing clauses (i) and (ii), which may lead to claims against any Restricted Person for clean-up costs, remedial work, damages to natural resources or for personal injury claims (whether under Environmental Laws or otherwise) which could reasonably be expected to cause a Material Adverse Change; and (e) no Restricted Person otherwise has any known material contingent liability under any Environmental Laws or in connection with the release into the environment, or the storage or disposal, of any Hazardous Materials which could reasonably be expected to cause a Material Adverse Change. Each Restricted Person undertook, at the time of its acquisition of each of its material properties, all appropriate inquiry into the previous ownership and uses of the Property and any potential environmental liabilities associated therewith.</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5.13 </w:t>
      </w:r>
      <w:r>
        <w:rPr>
          <w:rFonts w:ascii="Arial" w:cs="Arial" w:eastAsia="Arial" w:hAnsi="Arial"/>
          <w:sz w:val="19"/>
          <w:szCs w:val="19"/>
          <w:u w:val="single" w:color="auto"/>
          <w:color w:val="auto"/>
        </w:rPr>
        <w:t>Names and Places of Business</w:t>
      </w:r>
      <w:r>
        <w:rPr>
          <w:rFonts w:ascii="Arial" w:cs="Arial" w:eastAsia="Arial" w:hAnsi="Arial"/>
          <w:sz w:val="19"/>
          <w:szCs w:val="19"/>
          <w:color w:val="auto"/>
        </w:rPr>
        <w:t xml:space="preserve">. As of the Amendment No. 5 Effective Date, no Restricted Person has, during the preceding two (2) years, been known by, or used any other trade or fictitious name, except as disclosed in Section 5.13 of the Disclosure Schedule. Except as otherwise indicated in Section 5.13 of the Disclosure Schedule, as of the Amendment No. 5 Effective Date, the chief executive office and principal place of business of each Restricted Person are (and for the preceding two (2) years have been) located at the address of Borrower set out on </w:t>
      </w:r>
      <w:r>
        <w:rPr>
          <w:rFonts w:ascii="Arial" w:cs="Arial" w:eastAsia="Arial" w:hAnsi="Arial"/>
          <w:sz w:val="19"/>
          <w:szCs w:val="19"/>
          <w:u w:val="single" w:color="auto"/>
          <w:color w:val="auto"/>
        </w:rPr>
        <w:t>Schedule 5.13</w:t>
      </w:r>
      <w:r>
        <w:rPr>
          <w:rFonts w:ascii="Arial" w:cs="Arial" w:eastAsia="Arial" w:hAnsi="Arial"/>
          <w:sz w:val="19"/>
          <w:szCs w:val="19"/>
          <w:color w:val="auto"/>
        </w:rPr>
        <w:t>. Except as indicated in Section 5.13 of the Disclosure Schedule or otherwise disclosed in writing to Agent, no Restricted Person has any other office or place of business.</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Subsidiaries</w:t>
      </w:r>
      <w:r>
        <w:rPr>
          <w:rFonts w:ascii="Arial" w:cs="Arial" w:eastAsia="Arial" w:hAnsi="Arial"/>
          <w:sz w:val="22"/>
          <w:szCs w:val="22"/>
          <w:color w:val="auto"/>
        </w:rPr>
        <w:t>. As of the Amendment No. 5 Effective Date, Borrower does not presently have any Subsidiary except those listed in Section 5.14 of the Disclosure Schedule or disclosed to Agent in writing. No Restricted Person has any equity investments in any other Person except those listed in Section 5.14 of the Disclosure Schedule or otherwise permitted under this Agreement. Borrower owns, directly or indirectly, the equity interests in each of its Subsidiaries indicated in Section 5.14 of the Disclosure Schedule or as disclosed to Agent in writing.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8" w:name="page109"/>
    <w:bookmarkEnd w:id="108"/>
    <w:p>
      <w:pPr>
        <w:jc w:val="both"/>
        <w:ind w:firstLine="648"/>
        <w:spacing w:after="0" w:line="287"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u w:val="single" w:color="auto"/>
          <w:color w:val="auto"/>
        </w:rPr>
        <w:t>Government Regulation</w:t>
      </w:r>
      <w:r>
        <w:rPr>
          <w:rFonts w:ascii="Arial" w:cs="Arial" w:eastAsia="Arial" w:hAnsi="Arial"/>
          <w:sz w:val="19"/>
          <w:szCs w:val="19"/>
          <w:color w:val="auto"/>
        </w:rPr>
        <w:t>. Neither Borrower nor any other Restricted Person owing Obligations is an “investment company” or a company “controlled” by an “investment company” within the meaning of the Investment Company Act of 1940, as amended. The pledge of the Equity of each Subsidiary of Borrower does not violate Regulation T, U, or X of the Board of Governors of the Federal Reserve System.</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5.16 </w:t>
      </w:r>
      <w:r>
        <w:rPr>
          <w:rFonts w:ascii="Arial" w:cs="Arial" w:eastAsia="Arial" w:hAnsi="Arial"/>
          <w:sz w:val="22"/>
          <w:szCs w:val="22"/>
          <w:u w:val="single" w:color="auto"/>
          <w:color w:val="auto"/>
        </w:rPr>
        <w:t>Insider</w:t>
      </w:r>
      <w:r>
        <w:rPr>
          <w:rFonts w:ascii="Arial" w:cs="Arial" w:eastAsia="Arial" w:hAnsi="Arial"/>
          <w:sz w:val="22"/>
          <w:szCs w:val="22"/>
          <w:color w:val="auto"/>
        </w:rPr>
        <w:t>. No Restricted Person, nor, to the knowledge of Borrower as of the Closing Date, any Person having “control” (as that term is defined in 12 U.S.C. § 375b(9) or in regulations promulgated pursuant thereto) of any Restricted Person, is a “director” or an “executive officer” or “principal shareholder” (as those terms are defined in 12 U.S.C. § 375b(8) or (9) or in regulations promulgated pursuant thereto) of any Lender, of a bank holding company of which any Lender is a Subsidiary or of any Subsidiary of a bank holding company of which any Lender is a Subsidiary.</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u w:val="single" w:color="auto"/>
          <w:color w:val="auto"/>
        </w:rPr>
        <w:t>Solvency</w:t>
      </w:r>
      <w:r>
        <w:rPr>
          <w:rFonts w:ascii="Arial" w:cs="Arial" w:eastAsia="Arial" w:hAnsi="Arial"/>
          <w:sz w:val="19"/>
          <w:szCs w:val="19"/>
          <w:color w:val="auto"/>
        </w:rPr>
        <w:t>. Upon giving effect to the issuance of the Notes, the execution of the Loan Documents by Borrower and each Guarantor and the consummation of the transactions contemplated hereby, Borrower and the Guarantors, on a Consolidated basis, will be Solvent. Neither Borrower nor any Restricted Person has incurred (whether under the Loan Documents or otherwise), nor does any Restricted Person intend to incur or believe that it will incur Liabilities which will be beyond its ability to pay as such debts mature.</w:t>
      </w:r>
    </w:p>
    <w:p>
      <w:pPr>
        <w:spacing w:after="0" w:line="14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5.18</w:t>
      </w:r>
      <w:r>
        <w:rPr>
          <w:sz w:val="20"/>
          <w:szCs w:val="20"/>
          <w:color w:val="auto"/>
        </w:rPr>
        <w:tab/>
      </w:r>
      <w:r>
        <w:rPr>
          <w:rFonts w:ascii="Arial" w:cs="Arial" w:eastAsia="Arial" w:hAnsi="Arial"/>
          <w:sz w:val="19"/>
          <w:szCs w:val="19"/>
          <w:color w:val="auto"/>
        </w:rPr>
        <w:t>[Reserved].</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5.19 </w:t>
      </w:r>
      <w:r>
        <w:rPr>
          <w:rFonts w:ascii="Arial" w:cs="Arial" w:eastAsia="Arial" w:hAnsi="Arial"/>
          <w:sz w:val="19"/>
          <w:szCs w:val="19"/>
          <w:u w:val="single" w:color="auto"/>
          <w:color w:val="auto"/>
        </w:rPr>
        <w:t>Title to Properties; Licenses</w:t>
      </w:r>
      <w:r>
        <w:rPr>
          <w:rFonts w:ascii="Arial" w:cs="Arial" w:eastAsia="Arial" w:hAnsi="Arial"/>
          <w:sz w:val="19"/>
          <w:szCs w:val="19"/>
          <w:color w:val="auto"/>
        </w:rPr>
        <w:t>. Each Restricted Person has good and defensible title to all of the Collateral and to all of its material properties and assets, free and clear of all Liens, encumbrances, or adverse claims other than Permitted Liens and free and clear of all impediments to the use of such properties and assets in such Restricted Person’s business. Each Restricted Person possesses all licenses, permits, franchises, patents, copyrights, trademarks and trade names, and other intellectual property (or otherwise possesses the right to use such intellectual property without violation of the rights of any other Person) which are necessary to carry out its business as presently conducted and as presently proposed to be conducted hereafter, except to the extent failure to possess such licenses, permits, franchises, patents, copyrights, trademarks and trade names, and other intellectual property could reasonably be expected to cause a Material Adverse Change and no Restricted Person is in violation of the terms under which it possesses such intellectual property or the right to use such intellectual property, the violation of which could reasonably be expected to cause a Material Adverse Change.</w:t>
      </w:r>
    </w:p>
    <w:p>
      <w:pPr>
        <w:spacing w:after="0" w:line="15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5.20 </w:t>
      </w:r>
      <w:r>
        <w:rPr>
          <w:rFonts w:ascii="Arial" w:cs="Arial" w:eastAsia="Arial" w:hAnsi="Arial"/>
          <w:sz w:val="22"/>
          <w:szCs w:val="22"/>
          <w:u w:val="single" w:color="auto"/>
          <w:color w:val="auto"/>
        </w:rPr>
        <w:t>Regulation U</w:t>
      </w:r>
      <w:r>
        <w:rPr>
          <w:rFonts w:ascii="Arial" w:cs="Arial" w:eastAsia="Arial" w:hAnsi="Arial"/>
          <w:sz w:val="22"/>
          <w:szCs w:val="22"/>
          <w:color w:val="auto"/>
        </w:rPr>
        <w:t>. None of the Borrower and its Subsidiaries are engaged in the business of extending credit for the purpose of purchasing or carrying Margin Stock, and no proceeds of any Loans will be used for a purpose which violates Regulation U.</w:t>
      </w:r>
    </w:p>
    <w:p>
      <w:pPr>
        <w:spacing w:after="0" w:line="18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Section 5.21 </w:t>
      </w:r>
      <w:r>
        <w:rPr>
          <w:rFonts w:ascii="Arial" w:cs="Arial" w:eastAsia="Arial" w:hAnsi="Arial"/>
          <w:sz w:val="21"/>
          <w:szCs w:val="21"/>
          <w:u w:val="single" w:color="auto"/>
          <w:color w:val="auto"/>
        </w:rPr>
        <w:t>Taxes</w:t>
      </w:r>
      <w:r>
        <w:rPr>
          <w:rFonts w:ascii="Arial" w:cs="Arial" w:eastAsia="Arial" w:hAnsi="Arial"/>
          <w:sz w:val="21"/>
          <w:szCs w:val="21"/>
          <w:color w:val="auto"/>
        </w:rPr>
        <w:t>. Each Restricted Person has timely filed or caused to be filed all material Tax returns and reports required to have been filed and has paid or caused to be paid all Taxes required to have been paid by it, except (a) Taxes that are being contested in good faith by appropriate proceedings and for which such Restricted Person, as applicable, has set aside on its books adequate reserves in accordance with GAAP and (b) Taxes which individually or in the aggregate do not exceed $3,000,000.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9" w:name="page110"/>
    <w:bookmarkEnd w:id="109"/>
    <w:p>
      <w:pPr>
        <w:jc w:val="both"/>
        <w:ind w:firstLine="648"/>
        <w:spacing w:after="0" w:line="248" w:lineRule="auto"/>
        <w:rPr>
          <w:sz w:val="20"/>
          <w:szCs w:val="20"/>
          <w:color w:val="auto"/>
        </w:rPr>
      </w:pPr>
      <w:r>
        <w:rPr>
          <w:rFonts w:ascii="Arial" w:cs="Arial" w:eastAsia="Arial" w:hAnsi="Arial"/>
          <w:sz w:val="21"/>
          <w:szCs w:val="21"/>
          <w:color w:val="auto"/>
        </w:rPr>
        <w:t xml:space="preserve">Section 5.22 </w:t>
      </w:r>
      <w:r>
        <w:rPr>
          <w:rFonts w:ascii="Arial" w:cs="Arial" w:eastAsia="Arial" w:hAnsi="Arial"/>
          <w:sz w:val="21"/>
          <w:szCs w:val="21"/>
          <w:u w:val="single" w:color="auto"/>
          <w:color w:val="auto"/>
        </w:rPr>
        <w:t>Anti-Corruption Laws and Sanctions</w:t>
      </w:r>
      <w:r>
        <w:rPr>
          <w:rFonts w:ascii="Arial" w:cs="Arial" w:eastAsia="Arial" w:hAnsi="Arial"/>
          <w:sz w:val="21"/>
          <w:szCs w:val="21"/>
          <w:color w:val="auto"/>
        </w:rPr>
        <w:t>. None of (a) Borrower, any Subsidiary or, to the knowledge of Borrower, any of their respective directors, officers, employees or affiliates, (b) to the knowledge of Borrower, any agent or representative of Borrower or any Subsidiary that will act in any capacity in connection with or benefit from the credit facility established hereby, (i) is a Sanctioned Person or currently the subject or target of any Sanctions or (ii) has taken any action, directly or indirectly, that would result in a material violation by Borrower or any Guarantor of any Anti-Corruption Laws.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AFFIRMATIVE COVENANTS OF BORROWER.</w:t>
      </w:r>
    </w:p>
    <w:p>
      <w:pPr>
        <w:spacing w:after="0" w:line="18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Borrower covenants and agrees that until the full and final payment of the Obligations and the termination of this Agreement, unless Required Lenders have previously agreed otherwise:</w:t>
      </w:r>
    </w:p>
    <w:p>
      <w:pPr>
        <w:spacing w:after="0" w:line="17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6.1 </w:t>
      </w:r>
      <w:r>
        <w:rPr>
          <w:rFonts w:ascii="Arial" w:cs="Arial" w:eastAsia="Arial" w:hAnsi="Arial"/>
          <w:sz w:val="22"/>
          <w:szCs w:val="22"/>
          <w:u w:val="single" w:color="auto"/>
          <w:color w:val="auto"/>
        </w:rPr>
        <w:t>Payment and Performance</w:t>
      </w:r>
      <w:r>
        <w:rPr>
          <w:rFonts w:ascii="Arial" w:cs="Arial" w:eastAsia="Arial" w:hAnsi="Arial"/>
          <w:sz w:val="22"/>
          <w:szCs w:val="22"/>
          <w:color w:val="auto"/>
        </w:rPr>
        <w:t>. Borrower will cause each other Restricted Person to observe, perform and comply with every term, covenant and condition in any Loan Document.</w:t>
      </w:r>
    </w:p>
    <w:p>
      <w:pPr>
        <w:spacing w:after="0" w:line="17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6.2 </w:t>
      </w:r>
      <w:r>
        <w:rPr>
          <w:rFonts w:ascii="Arial" w:cs="Arial" w:eastAsia="Arial" w:hAnsi="Arial"/>
          <w:sz w:val="22"/>
          <w:szCs w:val="22"/>
          <w:u w:val="single" w:color="auto"/>
          <w:color w:val="auto"/>
        </w:rPr>
        <w:t>Books, Financial Statements and Reports</w:t>
      </w:r>
      <w:r>
        <w:rPr>
          <w:rFonts w:ascii="Arial" w:cs="Arial" w:eastAsia="Arial" w:hAnsi="Arial"/>
          <w:sz w:val="22"/>
          <w:szCs w:val="22"/>
          <w:color w:val="auto"/>
        </w:rPr>
        <w:t>. Each Restricted Person will at all times maintain full and accurate books of account and records. Borrower will maintain and will cause its Subsidiaries to maintain a standard system of accounting, will maintain its Fiscal Year, and will furnish the following statements and reports to each Lender Party at Borrower’s expense:</w:t>
      </w:r>
    </w:p>
    <w:p>
      <w:pPr>
        <w:spacing w:after="0" w:line="185" w:lineRule="exact"/>
        <w:rPr>
          <w:sz w:val="20"/>
          <w:szCs w:val="20"/>
          <w:color w:val="auto"/>
        </w:rPr>
      </w:pPr>
    </w:p>
    <w:p>
      <w:pPr>
        <w:jc w:val="both"/>
        <w:ind w:firstLine="648"/>
        <w:spacing w:after="0" w:line="245" w:lineRule="auto"/>
        <w:tabs>
          <w:tab w:leader="none" w:pos="1401" w:val="left"/>
        </w:tabs>
        <w:numPr>
          <w:ilvl w:val="0"/>
          <w:numId w:val="71"/>
        </w:numPr>
        <w:rPr>
          <w:rFonts w:ascii="Arial" w:cs="Arial" w:eastAsia="Arial" w:hAnsi="Arial"/>
          <w:sz w:val="21"/>
          <w:szCs w:val="21"/>
          <w:color w:val="auto"/>
        </w:rPr>
      </w:pPr>
      <w:r>
        <w:rPr>
          <w:rFonts w:ascii="Arial" w:cs="Arial" w:eastAsia="Arial" w:hAnsi="Arial"/>
          <w:sz w:val="21"/>
          <w:szCs w:val="21"/>
          <w:color w:val="auto"/>
        </w:rPr>
        <w:t>As soon as available, and in any event within one hundred twenty (120) days after the end of each Fiscal Year, complete Consolidated financial statements of Borrower together with all notes thereto, prepared in reasonable detail in accordance with GAAP, together with an unqualified opinion on the Consolidated Statements, based on an audit using GAAP, by independent certified public accountants selected by Borrower of nationally recognized standing, stating that such Consolidated financial statements have been so prepared. These financial statements shall contain a Consolidated and consolidating balance sheet as of the end of such Fiscal Year and Consolidated and consolidating statements of income for such Fiscal Year and Consolidated statements of cash flows and stockholders’ equity for such Fiscal Year, each setting forth in comparative form the corresponding figures for the preceding Fiscal Year.</w:t>
      </w:r>
    </w:p>
    <w:p>
      <w:pPr>
        <w:spacing w:after="0" w:line="185" w:lineRule="exact"/>
        <w:rPr>
          <w:rFonts w:ascii="Arial" w:cs="Arial" w:eastAsia="Arial" w:hAnsi="Arial"/>
          <w:sz w:val="21"/>
          <w:szCs w:val="21"/>
          <w:color w:val="auto"/>
        </w:rPr>
      </w:pPr>
    </w:p>
    <w:p>
      <w:pPr>
        <w:jc w:val="both"/>
        <w:ind w:firstLine="648"/>
        <w:spacing w:after="0" w:line="273" w:lineRule="auto"/>
        <w:tabs>
          <w:tab w:leader="none" w:pos="1481"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As soon as available, and in any event within forty-five (45) days after the end of the first three Fiscal Quarters in each Fiscal Year, Borrower’s unaudited Consolidated and consolidating balance sheet and income statements as of the end of such Fiscal Quarter and Consolidated statements of Borrower’s cash flows and stockholders’ equity for the period from the beginning of the then current Fiscal Year to the end of such Fiscal Quarter, all in reasonable detail and prepared in accordance with GAAP, subject to changes resulting from normal year-end adjustments. In addition Borrower will, together with each such set of financial statements and each set of financial statements furnished under subsection (a) of this section, furnish a certificate in the form of </w:t>
      </w:r>
      <w:r>
        <w:rPr>
          <w:rFonts w:ascii="Arial" w:cs="Arial" w:eastAsia="Arial" w:hAnsi="Arial"/>
          <w:sz w:val="19"/>
          <w:szCs w:val="19"/>
          <w:u w:val="single" w:color="auto"/>
          <w:color w:val="auto"/>
        </w:rPr>
        <w:t>Exhibit 6.2(b)</w:t>
      </w:r>
      <w:r>
        <w:rPr>
          <w:rFonts w:ascii="Arial" w:cs="Arial" w:eastAsia="Arial" w:hAnsi="Arial"/>
          <w:sz w:val="19"/>
          <w:szCs w:val="19"/>
          <w:color w:val="auto"/>
        </w:rPr>
        <w:t xml:space="preserve"> signed by the chief financial officer of Borrower stating that such financial statements are fair and complete in all material respects and fairly present the Consolidated financial position of Borrower for the periods covered thereby (subject to normal year-end adjustments), stating that he has reviewed the Loan Documents, containing calculations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0" w:name="page111"/>
    <w:bookmarkEnd w:id="110"/>
    <w:p>
      <w:pPr>
        <w:jc w:val="both"/>
        <w:spacing w:after="0" w:line="236" w:lineRule="auto"/>
        <w:rPr>
          <w:sz w:val="20"/>
          <w:szCs w:val="20"/>
          <w:color w:val="auto"/>
        </w:rPr>
      </w:pPr>
      <w:r>
        <w:rPr>
          <w:rFonts w:ascii="Arial" w:cs="Arial" w:eastAsia="Arial" w:hAnsi="Arial"/>
          <w:sz w:val="22"/>
          <w:szCs w:val="22"/>
          <w:color w:val="auto"/>
        </w:rPr>
        <w:t xml:space="preserve">showing compliance (or non-compliance) at the end of such Fiscal Quarter with the requirements of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showing Borrower’s compliance (or non-compliance) as of the end of such Fiscal Quarter with the negative covenants set forth in </w:t>
      </w:r>
      <w:r>
        <w:rPr>
          <w:rFonts w:ascii="Arial" w:cs="Arial" w:eastAsia="Arial" w:hAnsi="Arial"/>
          <w:sz w:val="22"/>
          <w:szCs w:val="22"/>
          <w:u w:val="single" w:color="auto"/>
          <w:color w:val="auto"/>
        </w:rPr>
        <w:t>Sections 7.1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7.10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and stating that no Default exists at the end of such Fiscal Quarter or at the time of such certificate or specifying the nature and period of existence of any such Default.</w:t>
      </w:r>
    </w:p>
    <w:p>
      <w:pPr>
        <w:spacing w:after="0" w:line="188" w:lineRule="exact"/>
        <w:rPr>
          <w:sz w:val="20"/>
          <w:szCs w:val="20"/>
          <w:color w:val="auto"/>
        </w:rPr>
      </w:pPr>
    </w:p>
    <w:p>
      <w:pPr>
        <w:jc w:val="both"/>
        <w:ind w:firstLine="648"/>
        <w:spacing w:after="0" w:line="252" w:lineRule="auto"/>
        <w:tabs>
          <w:tab w:leader="none" w:pos="1523" w:val="left"/>
        </w:tabs>
        <w:numPr>
          <w:ilvl w:val="0"/>
          <w:numId w:val="72"/>
        </w:numPr>
        <w:rPr>
          <w:rFonts w:ascii="Arial" w:cs="Arial" w:eastAsia="Arial" w:hAnsi="Arial"/>
          <w:sz w:val="21"/>
          <w:szCs w:val="21"/>
          <w:color w:val="auto"/>
        </w:rPr>
      </w:pPr>
      <w:r>
        <w:rPr>
          <w:rFonts w:ascii="Arial" w:cs="Arial" w:eastAsia="Arial" w:hAnsi="Arial"/>
          <w:sz w:val="21"/>
          <w:szCs w:val="21"/>
          <w:color w:val="auto"/>
        </w:rPr>
        <w:t>Promptly upon their becoming available, copies of all financial statements, reports, notices and proxy statements sent by any Restricted Person to its stockholders and all registration statements, periodic reports and other statements and schedules filed by any Restricted Person with any securities exchange, the Securities and Exchange Commission or any similar governmental authority.</w:t>
      </w:r>
    </w:p>
    <w:p>
      <w:pPr>
        <w:spacing w:after="0" w:line="174" w:lineRule="exact"/>
        <w:rPr>
          <w:rFonts w:ascii="Arial" w:cs="Arial" w:eastAsia="Arial" w:hAnsi="Arial"/>
          <w:sz w:val="21"/>
          <w:szCs w:val="21"/>
          <w:color w:val="auto"/>
        </w:rPr>
      </w:pPr>
    </w:p>
    <w:p>
      <w:pPr>
        <w:jc w:val="both"/>
        <w:ind w:firstLine="648"/>
        <w:spacing w:after="0" w:line="277" w:lineRule="auto"/>
        <w:tabs>
          <w:tab w:leader="none" w:pos="1413" w:val="left"/>
        </w:tabs>
        <w:numPr>
          <w:ilvl w:val="0"/>
          <w:numId w:val="72"/>
        </w:numPr>
        <w:rPr>
          <w:rFonts w:ascii="Arial" w:cs="Arial" w:eastAsia="Arial" w:hAnsi="Arial"/>
          <w:sz w:val="19"/>
          <w:szCs w:val="19"/>
          <w:color w:val="auto"/>
        </w:rPr>
      </w:pPr>
      <w:r>
        <w:rPr>
          <w:rFonts w:ascii="Arial" w:cs="Arial" w:eastAsia="Arial" w:hAnsi="Arial"/>
          <w:sz w:val="19"/>
          <w:szCs w:val="19"/>
          <w:color w:val="auto"/>
        </w:rPr>
        <w:t>Each Restricted Person will cooperate with the Agent in connection with the publication of certain materials and/or information provided by or on behalf of each such Restricted Person to Agent and Lenders (collectively, the “</w:t>
      </w:r>
      <w:r>
        <w:rPr>
          <w:rFonts w:ascii="Arial" w:cs="Arial" w:eastAsia="Arial" w:hAnsi="Arial"/>
          <w:sz w:val="19"/>
          <w:szCs w:val="19"/>
          <w:u w:val="single" w:color="auto"/>
          <w:color w:val="auto"/>
        </w:rPr>
        <w:t>Information Materials</w:t>
      </w:r>
      <w:r>
        <w:rPr>
          <w:rFonts w:ascii="Arial" w:cs="Arial" w:eastAsia="Arial" w:hAnsi="Arial"/>
          <w:sz w:val="19"/>
          <w:szCs w:val="19"/>
          <w:color w:val="auto"/>
        </w:rPr>
        <w:t xml:space="preserve">”) pursuant to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will, at the reasonable request of the Agent, designate Information Materials (i) that are either available to the public or not material with respect to any Restricted Person or any of their respective securities for purposes of United States federal and state securities laws, as “Public Information” and (ii) that are not Public Information as “Private Information.” If any Information Materials are not labeled “Public Information,” they shall be deemed to be labeled “Private Information”.</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u w:val="single" w:color="auto"/>
          <w:color w:val="auto"/>
        </w:rPr>
        <w:t>Other Information and Inspections</w:t>
      </w:r>
      <w:r>
        <w:rPr>
          <w:rFonts w:ascii="Arial" w:cs="Arial" w:eastAsia="Arial" w:hAnsi="Arial"/>
          <w:sz w:val="19"/>
          <w:szCs w:val="19"/>
          <w:color w:val="auto"/>
        </w:rPr>
        <w:t>. Each Restricted Person will furnish to each Lender any information which Agent may from time to time reasonably request concerning any provision of the Loan Documents, any Collateral, or any matter in connection with Restricted Persons’ businesses, properties, prospects, financial condition and operations, including all evidence which Agent from time to time reasonably requests in writing as to the accuracy and validity of or compliance with all representations, warranties and covenants made by any Restricted Person in the Loan Documents, the satisfaction of all conditions contained therein, and all other matters pertaining thereto. Each Restricted Person will permit representatives appointed by Agent (including independent accountants, auditors, Agents, attorneys, appraisers and any other Persons) to visit and inspect during normal business hours any of such Restricted Person’s property, including its books of account, other books and records, and any facilities or other business assets, and to make extra copies therefrom and photocopies and photographs thereof, and to write down and record any information such representatives obtain, and each Restricted Person shall permit Agent or its representatives to investigate and verify the accuracy of the information furnished to Agent or any Lender in connection with the Loan Documents and to discuss all such matters with its officers, employees and representatives.</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6.4 </w:t>
      </w:r>
      <w:r>
        <w:rPr>
          <w:rFonts w:ascii="Arial" w:cs="Arial" w:eastAsia="Arial" w:hAnsi="Arial"/>
          <w:sz w:val="22"/>
          <w:szCs w:val="22"/>
          <w:u w:val="single" w:color="auto"/>
          <w:color w:val="auto"/>
        </w:rPr>
        <w:t>Notice of Material Events and Change of Address</w:t>
      </w:r>
      <w:r>
        <w:rPr>
          <w:rFonts w:ascii="Arial" w:cs="Arial" w:eastAsia="Arial" w:hAnsi="Arial"/>
          <w:sz w:val="22"/>
          <w:szCs w:val="22"/>
          <w:color w:val="auto"/>
        </w:rPr>
        <w:t>. Borrower will, after it has knowledge thereof, promptly notify each Lender in writing, stating that such notice is being given pursuant to this Agreement, of:</w:t>
      </w:r>
    </w:p>
    <w:p>
      <w:pPr>
        <w:spacing w:after="0" w:line="186" w:lineRule="exact"/>
        <w:rPr>
          <w:sz w:val="20"/>
          <w:szCs w:val="20"/>
          <w:color w:val="auto"/>
        </w:rPr>
      </w:pPr>
    </w:p>
    <w:p>
      <w:pPr>
        <w:ind w:left="1320" w:hanging="672"/>
        <w:spacing w:after="0"/>
        <w:tabs>
          <w:tab w:leader="none" w:pos="13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occurrence of any Material Adverse Change,</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occurrence of any Default or Event of Default,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1" w:name="page112"/>
    <w:bookmarkEnd w:id="111"/>
    <w:p>
      <w:pPr>
        <w:jc w:val="both"/>
        <w:ind w:firstLine="648"/>
        <w:spacing w:after="0" w:line="238" w:lineRule="auto"/>
        <w:tabs>
          <w:tab w:leader="none" w:pos="1334"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acceleration of the maturity of any Indebtedness owed by any Restricted Person or of any default by any Restricted Person under any indenture, mortgage, agreement, contract or other instrument to which any of them is a party or by which any of them or any of their properties is bound, if such acceleration or default could reasonably be expected to cause a Material Adverse Change,</w:t>
      </w:r>
    </w:p>
    <w:p>
      <w:pPr>
        <w:spacing w:after="0" w:line="185" w:lineRule="exact"/>
        <w:rPr>
          <w:rFonts w:ascii="Arial" w:cs="Arial" w:eastAsia="Arial" w:hAnsi="Arial"/>
          <w:sz w:val="22"/>
          <w:szCs w:val="22"/>
          <w:color w:val="auto"/>
        </w:rPr>
      </w:pPr>
    </w:p>
    <w:p>
      <w:pPr>
        <w:ind w:left="1520" w:hanging="872"/>
        <w:spacing w:after="0"/>
        <w:tabs>
          <w:tab w:leader="none" w:pos="152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occurrence of any Termination Event that could reasonably be expected to cause a Material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Adverse Change,</w:t>
      </w:r>
    </w:p>
    <w:p>
      <w:pPr>
        <w:spacing w:after="0" w:line="188" w:lineRule="exact"/>
        <w:rPr>
          <w:rFonts w:ascii="Arial" w:cs="Arial" w:eastAsia="Arial" w:hAnsi="Arial"/>
          <w:sz w:val="19"/>
          <w:szCs w:val="19"/>
          <w:color w:val="auto"/>
        </w:rPr>
      </w:pPr>
    </w:p>
    <w:p>
      <w:pPr>
        <w:jc w:val="both"/>
        <w:ind w:firstLine="648"/>
        <w:spacing w:after="0" w:line="252" w:lineRule="auto"/>
        <w:tabs>
          <w:tab w:leader="none" w:pos="155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any claim that is reasonably likely to result in liability to the Borrower and its Subsidiaries of $5,000,000 or more, any notice of potential liability under any Environmental Laws that is reasonably likely to result in liability to the Borrower and its Subsidiaries of $5,000,000 or more, or any other material adverse claim asserted against any Restricted Person or with respect to any Restricted Person’s properties,</w:t>
      </w:r>
    </w:p>
    <w:p>
      <w:pPr>
        <w:spacing w:after="0" w:line="174" w:lineRule="exact"/>
        <w:rPr>
          <w:rFonts w:ascii="Arial" w:cs="Arial" w:eastAsia="Arial" w:hAnsi="Arial"/>
          <w:sz w:val="21"/>
          <w:szCs w:val="21"/>
          <w:color w:val="auto"/>
        </w:rPr>
      </w:pPr>
    </w:p>
    <w:p>
      <w:pPr>
        <w:ind w:firstLine="648"/>
        <w:spacing w:after="0" w:line="251" w:lineRule="auto"/>
        <w:tabs>
          <w:tab w:leader="none" w:pos="1323"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filing of any suit or proceeding against any Restricted Person in which an adverse decision could reasonably be expected to cause a Material Adverse Change, and</w:t>
      </w:r>
    </w:p>
    <w:p>
      <w:pPr>
        <w:spacing w:after="0" w:line="173" w:lineRule="exact"/>
        <w:rPr>
          <w:rFonts w:ascii="Arial" w:cs="Arial" w:eastAsia="Arial" w:hAnsi="Arial"/>
          <w:sz w:val="22"/>
          <w:szCs w:val="22"/>
          <w:color w:val="auto"/>
        </w:rPr>
      </w:pPr>
    </w:p>
    <w:p>
      <w:pPr>
        <w:jc w:val="both"/>
        <w:ind w:firstLine="648"/>
        <w:spacing w:after="0" w:line="252" w:lineRule="auto"/>
        <w:tabs>
          <w:tab w:leader="none" w:pos="1495"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filing of any material financing statement, registration of a pledge (such as with an issuer of uncertificated securities), or other arrangement or action which would serve to perfect a Lien, in each case other than in connection with a Permitted Lien, regardless of whether such financing statement is filed, such registration is made, or such arrangement or action is undertaken before or after such Lien exists.</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Upon the occurrence of any of the foregoing Restricted Persons will take all necessary or appropriate steps to promptly remedy any such Material Adverse Change, Default, Event of Default, acceleration, default or Termination Event (to the extent such Termination Event can be remedied), to protect against any such adverse claim, to defend any such suit or proceeding, and to resolve all controversies on account of any of the foregoing. Borrower will also notify Agent and Agent’s counsel in writing at least ten (10) Business Days prior to the date that any Restricted Person changes its name or the location of its chief executive office or its location under the Uniform Commercial Code.</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Section 6.5 </w:t>
      </w:r>
      <w:r>
        <w:rPr>
          <w:rFonts w:ascii="Arial" w:cs="Arial" w:eastAsia="Arial" w:hAnsi="Arial"/>
          <w:sz w:val="21"/>
          <w:szCs w:val="21"/>
          <w:u w:val="single" w:color="auto"/>
          <w:color w:val="auto"/>
        </w:rPr>
        <w:t>Maintenance of Properties</w:t>
      </w:r>
      <w:r>
        <w:rPr>
          <w:rFonts w:ascii="Arial" w:cs="Arial" w:eastAsia="Arial" w:hAnsi="Arial"/>
          <w:sz w:val="21"/>
          <w:szCs w:val="21"/>
          <w:color w:val="auto"/>
        </w:rPr>
        <w:t>. Each Restricted Person will maintain, preserve, protect, and keep all Collateral and all other material property used or useful in the conduct of its business in good condition (ordinary wear and tear excepted) in accordance with reasonably prudent industry standards, and in compliance with all applicable Laws which could reasonably be expected to cause a Material Adverse Change, in conformity with all applicable contracts, servitudes, leases and agreements which could reasonably be expected to cause a Material Adverse Change, and will from time to time make all commercially reasonable repairs, renewals and replacements needed to enable the business and operations carried on in connection therewith to be promptly and advantageously conducted at all times.</w:t>
      </w:r>
    </w:p>
    <w:p>
      <w:pPr>
        <w:spacing w:after="0" w:line="18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6.6 </w:t>
      </w:r>
      <w:r>
        <w:rPr>
          <w:rFonts w:ascii="Arial" w:cs="Arial" w:eastAsia="Arial" w:hAnsi="Arial"/>
          <w:sz w:val="22"/>
          <w:szCs w:val="22"/>
          <w:u w:val="single" w:color="auto"/>
          <w:color w:val="auto"/>
        </w:rPr>
        <w:t>Maintenance of Existence and Qualifications</w:t>
      </w:r>
      <w:r>
        <w:rPr>
          <w:rFonts w:ascii="Arial" w:cs="Arial" w:eastAsia="Arial" w:hAnsi="Arial"/>
          <w:sz w:val="22"/>
          <w:szCs w:val="22"/>
          <w:color w:val="auto"/>
        </w:rPr>
        <w:t xml:space="preserve">. Except as permitted under </w:t>
      </w:r>
      <w:r>
        <w:rPr>
          <w:rFonts w:ascii="Arial" w:cs="Arial" w:eastAsia="Arial" w:hAnsi="Arial"/>
          <w:sz w:val="22"/>
          <w:szCs w:val="22"/>
          <w:u w:val="single" w:color="auto"/>
          <w:color w:val="auto"/>
        </w:rPr>
        <w:t>Section 7.4</w:t>
      </w:r>
      <w:r>
        <w:rPr>
          <w:rFonts w:ascii="Arial" w:cs="Arial" w:eastAsia="Arial" w:hAnsi="Arial"/>
          <w:sz w:val="22"/>
          <w:szCs w:val="22"/>
          <w:color w:val="auto"/>
        </w:rPr>
        <w:t>, each Restricted Person will maintain and preserve its existence and its rights and franchises in full force and effect and will qualify to do business in all states or jurisdictions where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2" w:name="page113"/>
    <w:bookmarkEnd w:id="112"/>
    <w:p>
      <w:pPr>
        <w:jc w:val="both"/>
        <w:spacing w:after="0" w:line="251" w:lineRule="auto"/>
        <w:rPr>
          <w:sz w:val="20"/>
          <w:szCs w:val="20"/>
          <w:color w:val="auto"/>
        </w:rPr>
      </w:pPr>
      <w:r>
        <w:rPr>
          <w:rFonts w:ascii="Arial" w:cs="Arial" w:eastAsia="Arial" w:hAnsi="Arial"/>
          <w:sz w:val="22"/>
          <w:szCs w:val="22"/>
          <w:color w:val="auto"/>
        </w:rPr>
        <w:t>required by applicable Law, except where the failure to maintain, preserve and qualify could reasonably be expected to cause a Material Adverse Change.</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6.7 </w:t>
      </w:r>
      <w:r>
        <w:rPr>
          <w:rFonts w:ascii="Arial" w:cs="Arial" w:eastAsia="Arial" w:hAnsi="Arial"/>
          <w:sz w:val="19"/>
          <w:szCs w:val="19"/>
          <w:u w:val="single" w:color="auto"/>
          <w:color w:val="auto"/>
        </w:rPr>
        <w:t>Payment of Taxes</w:t>
      </w:r>
      <w:r>
        <w:rPr>
          <w:rFonts w:ascii="Arial" w:cs="Arial" w:eastAsia="Arial" w:hAnsi="Arial"/>
          <w:sz w:val="19"/>
          <w:szCs w:val="19"/>
          <w:color w:val="auto"/>
        </w:rPr>
        <w:t>. Each Restricted Person will (a) timely file all material required tax returns including any material extensions; (b) timely pay all Taxes, assessments, and other governmental charges or levies imposed upon it or upon its income, profits or property before the same become delinquent (except such Taxes that individually or in the aggregate do not exceed $3,000,000); and (c) maintain appropriate accruals and reserves for all of the foregoing in accordance with GAAP. Each Restricted Person may, however, delay paying or discharging any of the foregoing so long as it is in good faith contesting the validity thereof by appropriate proceedings, if necessary, and has set aside on its books adequate reserves therefore which are required by GAAP.</w:t>
      </w:r>
    </w:p>
    <w:p>
      <w:pPr>
        <w:spacing w:after="0" w:line="15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6.8</w:t>
      </w:r>
      <w:r>
        <w:rPr>
          <w:sz w:val="20"/>
          <w:szCs w:val="20"/>
          <w:color w:val="auto"/>
        </w:rPr>
        <w:tab/>
      </w:r>
      <w:r>
        <w:rPr>
          <w:rFonts w:ascii="Arial" w:cs="Arial" w:eastAsia="Arial" w:hAnsi="Arial"/>
          <w:sz w:val="19"/>
          <w:szCs w:val="19"/>
          <w:u w:val="single" w:color="auto"/>
          <w:color w:val="auto"/>
        </w:rPr>
        <w:t>Insurance</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73" w:lineRule="auto"/>
        <w:tabs>
          <w:tab w:leader="none" w:pos="1347"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Restricted Person shall at all times maintain (at its own expense) insurance for its property and insurance with respect to all Collateral and liability insurance, with financially sound and reputable insurance companies, in such amounts and against such risks as is customary in the industry for similarly situated businesses and properties. All insurance policies covering Collateral shall be endorsed (i) to provide for payment of losses to Agent as its interests may appear and Borrower shall deliver a certificate to that effect, (ii) to provide that such policies may not be canceled or reduced or affected in any material manner for any reason without ten (10) days prior notice to Agent from the insurer, (iii) to provide for any other matters specified in any applicable Security Document or which Agent may reasonably require; and (iv) to provide for insurance against fire, casualty and any other hazards normally insured against, (less a reasonable deductible not to exceed amounts customary in the industry for similarly situated businesses and properties) of the property insured.</w:t>
      </w:r>
    </w:p>
    <w:p>
      <w:pPr>
        <w:spacing w:after="0" w:line="161" w:lineRule="exact"/>
        <w:rPr>
          <w:rFonts w:ascii="Arial" w:cs="Arial" w:eastAsia="Arial" w:hAnsi="Arial"/>
          <w:sz w:val="19"/>
          <w:szCs w:val="19"/>
          <w:color w:val="auto"/>
        </w:rPr>
      </w:pPr>
    </w:p>
    <w:p>
      <w:pPr>
        <w:jc w:val="both"/>
        <w:ind w:firstLine="648"/>
        <w:spacing w:after="0" w:line="274" w:lineRule="auto"/>
        <w:tabs>
          <w:tab w:leader="none" w:pos="1441" w:val="left"/>
        </w:tabs>
        <w:numPr>
          <w:ilvl w:val="0"/>
          <w:numId w:val="75"/>
        </w:numPr>
        <w:rPr>
          <w:rFonts w:ascii="Arial" w:cs="Arial" w:eastAsia="Arial" w:hAnsi="Arial"/>
          <w:sz w:val="19"/>
          <w:szCs w:val="19"/>
          <w:color w:val="auto"/>
        </w:rPr>
      </w:pPr>
      <w:r>
        <w:rPr>
          <w:rFonts w:ascii="Arial" w:cs="Arial" w:eastAsia="Arial" w:hAnsi="Arial"/>
          <w:sz w:val="19"/>
          <w:szCs w:val="19"/>
          <w:color w:val="auto"/>
        </w:rPr>
        <w:t>Each such policy shall (i) if such policy is for liability insurance, name the appropriate Restricted Person and Agent, as agent for the Lenders, as insured parties thereunder (without any representation or warranty by or obligation upon Agent or Lenders) as their interests may appear, (ii) if such policy is for property insurance, contain the agreement by the insurer that any loss thereunder shall be payable to Agent notwithstanding any action, inaction or breach of representation or warranty by any Restricted Person, and (iii) provide that there shall be no recourse against Agent or Lenders for payment of premiums or other amounts with respect thereto. Each Restricted Person will, if so requested by Agent, deliver to Agent original or duplicate policies of such insurance. Agent is hereby authorized to enforce payment under all such insurance policies and to compromise and settle any claims thereunder, in its own name or in the name of the Restricted Persons.</w:t>
      </w:r>
    </w:p>
    <w:p>
      <w:pPr>
        <w:spacing w:after="0" w:line="158" w:lineRule="exact"/>
        <w:rPr>
          <w:rFonts w:ascii="Arial" w:cs="Arial" w:eastAsia="Arial" w:hAnsi="Arial"/>
          <w:sz w:val="19"/>
          <w:szCs w:val="19"/>
          <w:color w:val="auto"/>
        </w:rPr>
      </w:pPr>
    </w:p>
    <w:p>
      <w:pPr>
        <w:ind w:firstLine="648"/>
        <w:spacing w:after="0" w:line="328" w:lineRule="auto"/>
        <w:tabs>
          <w:tab w:leader="none" w:pos="1334"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Any proceeds paid under any liability insurance policy maintained by Restricted Persons pursuant to this </w:t>
      </w:r>
      <w:r>
        <w:rPr>
          <w:rFonts w:ascii="Arial" w:cs="Arial" w:eastAsia="Arial" w:hAnsi="Arial"/>
          <w:sz w:val="19"/>
          <w:szCs w:val="19"/>
          <w:u w:val="single" w:color="auto"/>
          <w:color w:val="auto"/>
        </w:rPr>
        <w:t>Section 6.8</w:t>
      </w:r>
      <w:r>
        <w:rPr>
          <w:rFonts w:ascii="Arial" w:cs="Arial" w:eastAsia="Arial" w:hAnsi="Arial"/>
          <w:sz w:val="19"/>
          <w:szCs w:val="19"/>
          <w:color w:val="auto"/>
        </w:rPr>
        <w:t xml:space="preserve"> may be paid directly to the Person who has incurred the liability covered by such insurance.</w:t>
      </w:r>
    </w:p>
    <w:p>
      <w:pPr>
        <w:spacing w:after="0" w:line="105" w:lineRule="exact"/>
        <w:rPr>
          <w:rFonts w:ascii="Arial" w:cs="Arial" w:eastAsia="Arial" w:hAnsi="Arial"/>
          <w:sz w:val="19"/>
          <w:szCs w:val="19"/>
          <w:color w:val="auto"/>
        </w:rPr>
      </w:pPr>
    </w:p>
    <w:p>
      <w:pPr>
        <w:ind w:firstLine="648"/>
        <w:spacing w:after="0" w:line="251" w:lineRule="auto"/>
        <w:tabs>
          <w:tab w:leader="none" w:pos="1386"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Any proceeds paid under a property or casualty insurance policy maintained by a Restricted Person pursuant to this </w:t>
      </w:r>
      <w:r>
        <w:rPr>
          <w:rFonts w:ascii="Arial" w:cs="Arial" w:eastAsia="Arial" w:hAnsi="Arial"/>
          <w:sz w:val="22"/>
          <w:szCs w:val="22"/>
          <w:u w:val="single" w:color="auto"/>
          <w:color w:val="auto"/>
        </w:rPr>
        <w:t>Section 6.8</w:t>
      </w:r>
      <w:r>
        <w:rPr>
          <w:rFonts w:ascii="Arial" w:cs="Arial" w:eastAsia="Arial" w:hAnsi="Arial"/>
          <w:sz w:val="22"/>
          <w:szCs w:val="22"/>
          <w:color w:val="auto"/>
        </w:rPr>
        <w:t xml:space="preserve"> will be paid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3" w:name="page114"/>
    <w:bookmarkEnd w:id="113"/>
    <w:p>
      <w:pPr>
        <w:ind w:left="1980" w:hanging="684"/>
        <w:spacing w:after="0"/>
        <w:tabs>
          <w:tab w:leader="none" w:pos="1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an Event of Default exists, then such proceeds shall be paid to Agent;</w:t>
      </w:r>
    </w:p>
    <w:p>
      <w:pPr>
        <w:spacing w:after="0" w:line="206" w:lineRule="exact"/>
        <w:rPr>
          <w:rFonts w:ascii="Arial" w:cs="Arial" w:eastAsia="Arial" w:hAnsi="Arial"/>
          <w:sz w:val="22"/>
          <w:szCs w:val="22"/>
          <w:color w:val="auto"/>
        </w:rPr>
      </w:pPr>
    </w:p>
    <w:p>
      <w:pPr>
        <w:ind w:left="640" w:firstLine="656"/>
        <w:spacing w:after="0" w:line="251" w:lineRule="auto"/>
        <w:tabs>
          <w:tab w:leader="none" w:pos="2011"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an Event of Default does not exist and such proceeds are less than $2,000,000, then such proceeds shall be paid to the Borrower; and</w:t>
      </w:r>
    </w:p>
    <w:p>
      <w:pPr>
        <w:spacing w:after="0" w:line="173" w:lineRule="exact"/>
        <w:rPr>
          <w:rFonts w:ascii="Arial" w:cs="Arial" w:eastAsia="Arial" w:hAnsi="Arial"/>
          <w:sz w:val="22"/>
          <w:szCs w:val="22"/>
          <w:color w:val="auto"/>
        </w:rPr>
      </w:pPr>
    </w:p>
    <w:p>
      <w:pPr>
        <w:ind w:left="640" w:firstLine="656"/>
        <w:spacing w:after="0" w:line="328" w:lineRule="auto"/>
        <w:tabs>
          <w:tab w:leader="none" w:pos="2058"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an Event of Default does not exist and such proceeds exceed $2,000,000, then the first $2,000,000 shall be paid to the Borrower and the remainder of such proceeds shall be paid to Agent.</w:t>
      </w:r>
    </w:p>
    <w:p>
      <w:pPr>
        <w:spacing w:after="0" w:line="1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Agent shall release to Borrower any funds delivered to it under clause (i) or (iii) above if (i) Borrower delivers to Agent a request for such release within 365 days of Agent’s receipt of such funds accompanied by a certificate of Borrower’s chief financial officer stating (A) the purposes for which such funds will be applied and that such purposes comply with clauses (b)(i) and (b)(ii) of the definition of “Net Casualty Proceeds” or (B) that such funds are cash insurance proceeds not in excess of $2,000,000 per incident (or series of related incidents), and (ii) no Event of Default then exists. If no such request is received by Agent within 365 days of its receipt of such funds, then Agent shall apply such funds to the prepayment of the Loans under </w:t>
      </w:r>
      <w:r>
        <w:rPr>
          <w:rFonts w:ascii="Arial" w:cs="Arial" w:eastAsia="Arial" w:hAnsi="Arial"/>
          <w:sz w:val="19"/>
          <w:szCs w:val="19"/>
          <w:u w:val="single" w:color="auto"/>
          <w:color w:val="auto"/>
        </w:rPr>
        <w:t>Section 2.7(b)</w:t>
      </w:r>
      <w:r>
        <w:rPr>
          <w:rFonts w:ascii="Arial" w:cs="Arial" w:eastAsia="Arial" w:hAnsi="Arial"/>
          <w:sz w:val="19"/>
          <w:szCs w:val="19"/>
          <w:color w:val="auto"/>
        </w:rPr>
        <w:t>.</w:t>
      </w:r>
    </w:p>
    <w:p>
      <w:pPr>
        <w:spacing w:after="0" w:line="153" w:lineRule="exact"/>
        <w:rPr>
          <w:sz w:val="20"/>
          <w:szCs w:val="20"/>
          <w:color w:val="auto"/>
        </w:rPr>
      </w:pPr>
    </w:p>
    <w:p>
      <w:pPr>
        <w:jc w:val="both"/>
        <w:ind w:firstLine="648"/>
        <w:spacing w:after="0" w:line="238" w:lineRule="auto"/>
        <w:tabs>
          <w:tab w:leader="none" w:pos="1388"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Agent receives proceeds of property or casualty insurance required to be paid to Borrower under clause (d)(ii) or (d)(iii) above, Agent shall promptly deliver to the Borrower such proceeds. If Borrower receives proceeds of property or casualty insurance required to be paid to Agent under clause (d)(i) or (d)(iii) above, Borrower shall promptly deliver to Agent such proceeds.</w:t>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6.9 </w:t>
      </w:r>
      <w:r>
        <w:rPr>
          <w:rFonts w:ascii="Arial" w:cs="Arial" w:eastAsia="Arial" w:hAnsi="Arial"/>
          <w:sz w:val="22"/>
          <w:szCs w:val="22"/>
          <w:u w:val="single" w:color="auto"/>
          <w:color w:val="auto"/>
        </w:rPr>
        <w:t>Performance on Borrower’s Behalf</w:t>
      </w:r>
      <w:r>
        <w:rPr>
          <w:rFonts w:ascii="Arial" w:cs="Arial" w:eastAsia="Arial" w:hAnsi="Arial"/>
          <w:sz w:val="22"/>
          <w:szCs w:val="22"/>
          <w:color w:val="auto"/>
        </w:rPr>
        <w:t>. If any Restricted Person fails to pay any Taxes, insurance premiums, expenses, attorneys’ fees or other amounts it is required to pay under any Loan Document, Agent may pay the same. Borrower shall immediately reimburse Agent for any such payments and each amount paid by Agent shall constitute an Obligation owed hereunder which is due and payable on the date such amount is paid by Agent.</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Default Interest</w:t>
      </w:r>
      <w:r>
        <w:rPr>
          <w:rFonts w:ascii="Arial" w:cs="Arial" w:eastAsia="Arial" w:hAnsi="Arial"/>
          <w:sz w:val="22"/>
          <w:szCs w:val="22"/>
          <w:color w:val="auto"/>
        </w:rPr>
        <w:t xml:space="preserve">. Borrower hereby promises to each Lender Party to pay interest at the Default Rate on all Obligations (including Obligations to pay fees or to reimburse or indemnify any Lender) which Borrower has in this Agreement promised to pay to such Lender Party and which are not paid when due, after the expiration of any grace period for such payment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 Such interest shall accrue from the expiration of any such grace period until such Obligations are paid.</w:t>
      </w:r>
    </w:p>
    <w:p>
      <w:pPr>
        <w:spacing w:after="0" w:line="18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Compliance with Law</w:t>
      </w:r>
      <w:r>
        <w:rPr>
          <w:rFonts w:ascii="Arial" w:cs="Arial" w:eastAsia="Arial" w:hAnsi="Arial"/>
          <w:sz w:val="22"/>
          <w:szCs w:val="22"/>
          <w:color w:val="auto"/>
        </w:rPr>
        <w:t>. Each Restricted Person will conduct its business and affairs in compliance with all Laws applicable thereto, except as could not reasonably be expected to cause a Material Adverse Change. Each Restricted Person will cause all licenses and permits necessary or appropriate for the conduct of its business and the ownership and operation of its property used and useful in the conduct of its business to be at all times maintained in good standing and in full force and effect, except as could not reasonably be expected to cause a Material Adverse Change.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4" w:name="page115"/>
    <w:bookmarkEnd w:id="114"/>
    <w:p>
      <w:pPr>
        <w:ind w:left="640"/>
        <w:spacing w:after="0"/>
        <w:tabs>
          <w:tab w:leader="none" w:pos="1920" w:val="left"/>
        </w:tabs>
        <w:rPr>
          <w:sz w:val="20"/>
          <w:szCs w:val="20"/>
          <w:color w:val="auto"/>
        </w:rPr>
      </w:pPr>
      <w:r>
        <w:rPr>
          <w:rFonts w:ascii="Arial" w:cs="Arial" w:eastAsia="Arial" w:hAnsi="Arial"/>
          <w:sz w:val="22"/>
          <w:szCs w:val="22"/>
          <w:color w:val="auto"/>
        </w:rPr>
        <w:t>Section 6.12</w:t>
      </w:r>
      <w:r>
        <w:rPr>
          <w:sz w:val="20"/>
          <w:szCs w:val="20"/>
          <w:color w:val="auto"/>
        </w:rPr>
        <w:tab/>
      </w:r>
      <w:r>
        <w:rPr>
          <w:rFonts w:ascii="Arial" w:cs="Arial" w:eastAsia="Arial" w:hAnsi="Arial"/>
          <w:sz w:val="19"/>
          <w:szCs w:val="19"/>
          <w:u w:val="single" w:color="auto"/>
          <w:color w:val="auto"/>
        </w:rPr>
        <w:t>Environmental Matters; Environmental Reviews</w:t>
      </w:r>
      <w:r>
        <w:rPr>
          <w:rFonts w:ascii="Arial" w:cs="Arial" w:eastAsia="Arial" w:hAnsi="Arial"/>
          <w:sz w:val="19"/>
          <w:szCs w:val="19"/>
          <w:color w:val="auto"/>
        </w:rPr>
        <w:t>.</w:t>
      </w:r>
    </w:p>
    <w:p>
      <w:pPr>
        <w:spacing w:after="0" w:line="207" w:lineRule="exact"/>
        <w:rPr>
          <w:sz w:val="20"/>
          <w:szCs w:val="20"/>
          <w:color w:val="auto"/>
        </w:rPr>
      </w:pPr>
    </w:p>
    <w:p>
      <w:pPr>
        <w:jc w:val="both"/>
        <w:ind w:firstLine="648"/>
        <w:spacing w:after="0" w:line="273" w:lineRule="auto"/>
        <w:tabs>
          <w:tab w:leader="none" w:pos="1482" w:val="left"/>
        </w:tabs>
        <w:numPr>
          <w:ilvl w:val="0"/>
          <w:numId w:val="78"/>
        </w:numPr>
        <w:rPr>
          <w:rFonts w:ascii="Arial" w:cs="Arial" w:eastAsia="Arial" w:hAnsi="Arial"/>
          <w:sz w:val="19"/>
          <w:szCs w:val="19"/>
          <w:color w:val="auto"/>
        </w:rPr>
      </w:pPr>
      <w:r>
        <w:rPr>
          <w:rFonts w:ascii="Arial" w:cs="Arial" w:eastAsia="Arial" w:hAnsi="Arial"/>
          <w:sz w:val="19"/>
          <w:szCs w:val="19"/>
          <w:color w:val="auto"/>
        </w:rPr>
        <w:t>Each Restricted Person will comply with all Environmental Laws now or hereafter applicable to such Restricted Person, as well as all contractual obligations and agreements with respect to environmental remediation or other environmental matters (except as could not reasonably be expected to result in a Material Adverse Change), and shall obtain, at or prior to the time required by applicable Environmental Laws, all environmental, health and safety permits, licenses and other authorizations necessary for its operations (except as could not reasonably be expected to result in a Material Adverse Change) and will maintain such authorizations in full force and effect (except as could not reasonably be expected to result in a Material Adverse Change). No Restricted Person will do anything or permit anything to be done which will subject any of its properties to any remedial obligations under, or result in noncompliance with applicable permits and licenses issued under, any applicable Environmental Laws, assuming disclosure to the applicable governmental authorities of all relevant facts, conditions and circumstances (except as could not reasonably be expected to result in a Material Adverse Change).</w:t>
      </w:r>
    </w:p>
    <w:p>
      <w:pPr>
        <w:spacing w:after="0" w:line="156" w:lineRule="exact"/>
        <w:rPr>
          <w:rFonts w:ascii="Arial" w:cs="Arial" w:eastAsia="Arial" w:hAnsi="Arial"/>
          <w:sz w:val="19"/>
          <w:szCs w:val="19"/>
          <w:color w:val="auto"/>
        </w:rPr>
      </w:pPr>
    </w:p>
    <w:p>
      <w:pPr>
        <w:jc w:val="both"/>
        <w:ind w:firstLine="648"/>
        <w:spacing w:after="0" w:line="279" w:lineRule="auto"/>
        <w:tabs>
          <w:tab w:leader="none" w:pos="1441" w:val="left"/>
        </w:tabs>
        <w:numPr>
          <w:ilvl w:val="0"/>
          <w:numId w:val="78"/>
        </w:numPr>
        <w:rPr>
          <w:rFonts w:ascii="Arial" w:cs="Arial" w:eastAsia="Arial" w:hAnsi="Arial"/>
          <w:sz w:val="19"/>
          <w:szCs w:val="19"/>
          <w:color w:val="auto"/>
        </w:rPr>
      </w:pPr>
      <w:r>
        <w:rPr>
          <w:rFonts w:ascii="Arial" w:cs="Arial" w:eastAsia="Arial" w:hAnsi="Arial"/>
          <w:sz w:val="19"/>
          <w:szCs w:val="19"/>
          <w:color w:val="auto"/>
        </w:rPr>
        <w:t>Borrower will promptly furnish to Agent copies of all written notices of violation, orders, claims, citations, complaints, penalty assessments, suits or other proceedings received by any Restricted Person, or of which Borrower otherwise has notice, pending or threatened against any Restricted Person by any governmental authority with respect to any alleged violation of or non-compliance with any Environmental Laws or with respect to any permits, licenses or authorizations in connection with any Restricted Person’s ownership or use of its properties or the operation of its business, in each case, that could reasonably be expected to result in a Material Adverse Change.</w:t>
      </w:r>
    </w:p>
    <w:p>
      <w:pPr>
        <w:spacing w:after="0" w:line="150" w:lineRule="exact"/>
        <w:rPr>
          <w:rFonts w:ascii="Arial" w:cs="Arial" w:eastAsia="Arial" w:hAnsi="Arial"/>
          <w:sz w:val="19"/>
          <w:szCs w:val="19"/>
          <w:color w:val="auto"/>
        </w:rPr>
      </w:pPr>
    </w:p>
    <w:p>
      <w:pPr>
        <w:jc w:val="both"/>
        <w:ind w:firstLine="648"/>
        <w:spacing w:after="0" w:line="236" w:lineRule="auto"/>
        <w:tabs>
          <w:tab w:leader="none" w:pos="1536" w:val="left"/>
        </w:tabs>
        <w:numPr>
          <w:ilvl w:val="0"/>
          <w:numId w:val="78"/>
        </w:numPr>
        <w:rPr>
          <w:rFonts w:ascii="Arial" w:cs="Arial" w:eastAsia="Arial" w:hAnsi="Arial"/>
          <w:sz w:val="22"/>
          <w:szCs w:val="22"/>
          <w:color w:val="auto"/>
        </w:rPr>
      </w:pPr>
      <w:r>
        <w:rPr>
          <w:rFonts w:ascii="Arial" w:cs="Arial" w:eastAsia="Arial" w:hAnsi="Arial"/>
          <w:sz w:val="22"/>
          <w:szCs w:val="22"/>
          <w:color w:val="auto"/>
        </w:rPr>
        <w:t>Borrower will promptly furnish to Agent all written requests for information, notices of claim, demand letters, and other written notifications, received by Borrower in connection with any Restricted Person’s ownership or use of its properties or the conduct of its business, relating to potential responsibility with respect to any investigation or clean-up of Hazardous Material at any location that could reasonably be expected to have a Material Adverse Change.</w:t>
      </w:r>
    </w:p>
    <w:p>
      <w:pPr>
        <w:spacing w:after="0" w:line="18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Section 6.13 </w:t>
      </w:r>
      <w:r>
        <w:rPr>
          <w:rFonts w:ascii="Arial" w:cs="Arial" w:eastAsia="Arial" w:hAnsi="Arial"/>
          <w:sz w:val="21"/>
          <w:szCs w:val="21"/>
          <w:u w:val="single" w:color="auto"/>
          <w:color w:val="auto"/>
        </w:rPr>
        <w:t>Further Assurances</w:t>
      </w:r>
      <w:r>
        <w:rPr>
          <w:rFonts w:ascii="Arial" w:cs="Arial" w:eastAsia="Arial" w:hAnsi="Arial"/>
          <w:sz w:val="21"/>
          <w:szCs w:val="21"/>
          <w:color w:val="auto"/>
        </w:rPr>
        <w:t>. The Borrower shall, and shall cause each other Restricted Person to, (a) promptly upon the reasonable request by the Agent, correct any material defect or error that may be discovered in any Loan Document or in the execution, acknowledgment, filing or recordation thereof, and (b) promptly upon request by the Agent, take such action as the Agent may reasonably require from time to time in order to carry out more effectively the purposes of the Loan Documents.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Section 6.14 </w:t>
      </w:r>
      <w:r>
        <w:rPr>
          <w:rFonts w:ascii="Arial" w:cs="Arial" w:eastAsia="Arial" w:hAnsi="Arial"/>
          <w:sz w:val="19"/>
          <w:szCs w:val="19"/>
          <w:u w:val="single" w:color="auto"/>
          <w:color w:val="auto"/>
        </w:rPr>
        <w:t>Bank Accounts; Offset</w:t>
      </w:r>
      <w:r>
        <w:rPr>
          <w:rFonts w:ascii="Arial" w:cs="Arial" w:eastAsia="Arial" w:hAnsi="Arial"/>
          <w:sz w:val="19"/>
          <w:szCs w:val="19"/>
          <w:color w:val="auto"/>
        </w:rPr>
        <w:t>. To secure the repayment of the Obligations Borrower hereby grants to each Lender a security interest, a lien, and a right of offset, each of which shall be in addition to all other interests, liens, and rights of any Lender at common law, under the Loan Documents, or otherwise, and each of which shall be upon and against (a) any and all moneys, securities or other property (and the proceeds therefrom) of Borrower now or hereafter held or received by or in transit to any Lender from or for the account of Borrower, whether for safekeeping, custody, pledge, transmission, collection or otherwise, (b) any and all deposits (general or special, time or demand, provisional or final) of Borrower with any Lender, and (c)</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5" w:name="page116"/>
    <w:bookmarkEnd w:id="115"/>
    <w:p>
      <w:pPr>
        <w:jc w:val="both"/>
        <w:spacing w:after="0" w:line="235" w:lineRule="auto"/>
        <w:rPr>
          <w:sz w:val="20"/>
          <w:szCs w:val="20"/>
          <w:color w:val="auto"/>
        </w:rPr>
      </w:pPr>
      <w:r>
        <w:rPr>
          <w:rFonts w:ascii="Arial" w:cs="Arial" w:eastAsia="Arial" w:hAnsi="Arial"/>
          <w:sz w:val="22"/>
          <w:szCs w:val="22"/>
          <w:color w:val="auto"/>
        </w:rPr>
        <w:t>any other credits and claims of Borrower at any time existing against any Lender, including claims under certificates of deposit. At any time and from time to time after the occurrence of any Event of Default, each Lender is hereby authorized to foreclose upon, or to offset against the Obligations then due and payable (in either case without notice to Borrower), any and all items hereinabove referred to. The remedies of foreclosure and offset are separate and cumulative, and either may be exercised independently of the other without regard to procedures or restrictions applicable to the other.</w:t>
      </w:r>
    </w:p>
    <w:p>
      <w:pPr>
        <w:spacing w:after="0" w:line="18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Section 6.15 </w:t>
      </w:r>
      <w:r>
        <w:rPr>
          <w:rFonts w:ascii="Arial" w:cs="Arial" w:eastAsia="Arial" w:hAnsi="Arial"/>
          <w:sz w:val="21"/>
          <w:szCs w:val="21"/>
          <w:u w:val="single" w:color="auto"/>
          <w:color w:val="auto"/>
        </w:rPr>
        <w:t>Guaranties of Borrower’s Subsidiaries</w:t>
      </w:r>
      <w:r>
        <w:rPr>
          <w:rFonts w:ascii="Arial" w:cs="Arial" w:eastAsia="Arial" w:hAnsi="Arial"/>
          <w:sz w:val="21"/>
          <w:szCs w:val="21"/>
          <w:color w:val="auto"/>
        </w:rPr>
        <w:t>. Each Subsidiary created, acquired or coming into existence after the date hereof, other than an Immaterial Subsidiary, an Unrestricted Subsidiary or a Foreign Subsidiary, shall, promptly upon request by Agent, execute and deliver to Agent an absolute and unconditional guaranty of the timely repayment of the Secured Obligations and the due and punctual performance of the Secured Obligations, which guaranty shall be in substantially the same form as the Guaranty entered into as of the Closing Date or otherwise reasonably satisfactory to Agent in form and substance. Borrower will cause each such Subsidiary to deliver to Agent, simultaneously with its delivery of such a guaranty, written evidence reasonably satisfactory to Agent and its counsel that such Subsidiary has taken all corporate or partnership action necessary to duly approve and authorize its execution, delivery and performance of such guaranty and any other documents which it is reasonably required to execute.</w:t>
      </w:r>
    </w:p>
    <w:p>
      <w:pPr>
        <w:spacing w:after="0" w:line="18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Section 6.16 </w:t>
      </w:r>
      <w:r>
        <w:rPr>
          <w:rFonts w:ascii="Arial" w:cs="Arial" w:eastAsia="Arial" w:hAnsi="Arial"/>
          <w:sz w:val="22"/>
          <w:szCs w:val="22"/>
          <w:u w:val="single" w:color="auto"/>
          <w:color w:val="auto"/>
        </w:rPr>
        <w:t>Agreement to Deliver Security Documents</w:t>
      </w:r>
      <w:r>
        <w:rPr>
          <w:rFonts w:ascii="Arial" w:cs="Arial" w:eastAsia="Arial" w:hAnsi="Arial"/>
          <w:sz w:val="22"/>
          <w:szCs w:val="22"/>
          <w:color w:val="auto"/>
        </w:rPr>
        <w:t>. Borrower agrees to deliver and to cause each Guarantor to deliver, to further secure the Secured Obligations whenever requested by Agent in its sole and absolute discretion, deeds of trust, mortgages, chattel mortgages, security agreements, financing statements continuation statements, extension agreements, acknowledgments, and other Security Documents in form and substance satisfactory to Agent for the purpose of granting, confirming, protecting and perfecting Liens or security interests in any personal property (other than Excluded Assets) now owned or hereafter acquired by Borrower or any Guarantor.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NEGATIVE COVENANTS OF BORROWER</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To conform with the terms and conditions under which each Lender is willing to have credit outstanding to Borrower, and to induce each Lender to enter into this Agreement and make the Loans, Borrower warrants, covenants and agrees that until the full and final payment of the Obligations and the termination of this Agreement, unless Required Lenders have previously agreed otherwise:</w:t>
      </w:r>
    </w:p>
    <w:p>
      <w:pPr>
        <w:spacing w:after="0" w:line="185" w:lineRule="exact"/>
        <w:rPr>
          <w:sz w:val="20"/>
          <w:szCs w:val="20"/>
          <w:color w:val="auto"/>
        </w:rPr>
      </w:pPr>
    </w:p>
    <w:p>
      <w:pPr>
        <w:ind w:left="640"/>
        <w:spacing w:after="0"/>
        <w:tabs>
          <w:tab w:leader="none" w:pos="204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Indebtedness</w:t>
      </w:r>
      <w:r>
        <w:rPr>
          <w:rFonts w:ascii="Arial" w:cs="Arial" w:eastAsia="Arial" w:hAnsi="Arial"/>
          <w:sz w:val="19"/>
          <w:szCs w:val="19"/>
          <w:color w:val="auto"/>
        </w:rPr>
        <w:t>.  No Restricted Person will in any manner owe or be liable for Indebtedness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except:</w:t>
      </w:r>
    </w:p>
    <w:p>
      <w:pPr>
        <w:spacing w:after="0" w:line="188" w:lineRule="exact"/>
        <w:rPr>
          <w:sz w:val="20"/>
          <w:szCs w:val="20"/>
          <w:color w:val="auto"/>
        </w:rPr>
      </w:pPr>
    </w:p>
    <w:p>
      <w:pPr>
        <w:ind w:left="1320" w:hanging="672"/>
        <w:spacing w:after="0"/>
        <w:tabs>
          <w:tab w:leader="none" w:pos="132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Secured Obligations;</w:t>
      </w:r>
    </w:p>
    <w:p>
      <w:pPr>
        <w:spacing w:after="0" w:line="206" w:lineRule="exact"/>
        <w:rPr>
          <w:rFonts w:ascii="Arial" w:cs="Arial" w:eastAsia="Arial" w:hAnsi="Arial"/>
          <w:sz w:val="22"/>
          <w:szCs w:val="22"/>
          <w:color w:val="auto"/>
        </w:rPr>
      </w:pPr>
    </w:p>
    <w:p>
      <w:pPr>
        <w:ind w:left="1340" w:hanging="692"/>
        <w:spacing w:after="0"/>
        <w:tabs>
          <w:tab w:leader="none" w:pos="13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unsecured Indebtedness among Borrower and the Guarantors;</w:t>
      </w:r>
    </w:p>
    <w:p>
      <w:pPr>
        <w:spacing w:after="0" w:line="206" w:lineRule="exact"/>
        <w:rPr>
          <w:rFonts w:ascii="Arial" w:cs="Arial" w:eastAsia="Arial" w:hAnsi="Arial"/>
          <w:sz w:val="22"/>
          <w:szCs w:val="22"/>
          <w:color w:val="auto"/>
        </w:rPr>
      </w:pPr>
    </w:p>
    <w:p>
      <w:pPr>
        <w:jc w:val="both"/>
        <w:ind w:firstLine="648"/>
        <w:spacing w:after="0"/>
        <w:tabs>
          <w:tab w:leader="none" w:pos="1415" w:val="left"/>
        </w:tabs>
        <w:numPr>
          <w:ilvl w:val="0"/>
          <w:numId w:val="79"/>
        </w:numPr>
        <w:rPr>
          <w:rFonts w:ascii="Arial" w:cs="Arial" w:eastAsia="Arial" w:hAnsi="Arial"/>
          <w:sz w:val="22"/>
          <w:szCs w:val="22"/>
          <w:color w:val="auto"/>
        </w:rPr>
      </w:pPr>
      <w:r>
        <w:rPr>
          <w:rFonts w:ascii="Arial" w:cs="Arial" w:eastAsia="Arial" w:hAnsi="Arial"/>
          <w:sz w:val="22"/>
          <w:szCs w:val="22"/>
          <w:color w:val="auto"/>
        </w:rPr>
        <w:t>purchase money Indebtedness, Capital Lease Obligations and Indebtedness incurred to finance the construction, renovation or improvement of assets of any Restricted Person and any refinancing or replacement of such Indebtedness in an aggregate principal amount for 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6" w:name="page117"/>
    <w:bookmarkEnd w:id="116"/>
    <w:p>
      <w:pPr>
        <w:jc w:val="both"/>
        <w:spacing w:after="0" w:line="287" w:lineRule="auto"/>
        <w:rPr>
          <w:sz w:val="20"/>
          <w:szCs w:val="20"/>
          <w:color w:val="auto"/>
        </w:rPr>
      </w:pPr>
      <w:r>
        <w:rPr>
          <w:rFonts w:ascii="Arial" w:cs="Arial" w:eastAsia="Arial" w:hAnsi="Arial"/>
          <w:sz w:val="19"/>
          <w:szCs w:val="19"/>
          <w:color w:val="auto"/>
        </w:rPr>
        <w:t xml:space="preserve">such Indebtedness not to exceed $25,000,000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original principal amount of any such Indebtedness shall not be in excess of the purchase price of the assets acquired with the proceeds thereof or subject to such Capital Lease, or the fair market value of the assets constructed, renovated, or improved with the proceeds thereof, as applicable, and such Indebtedness shall be secured only by such assets;</w:t>
      </w:r>
    </w:p>
    <w:p>
      <w:pPr>
        <w:spacing w:after="0" w:line="144" w:lineRule="exact"/>
        <w:rPr>
          <w:sz w:val="20"/>
          <w:szCs w:val="20"/>
          <w:color w:val="auto"/>
        </w:rPr>
      </w:pPr>
    </w:p>
    <w:p>
      <w:pPr>
        <w:ind w:firstLine="648"/>
        <w:spacing w:after="0" w:line="251" w:lineRule="auto"/>
        <w:tabs>
          <w:tab w:leader="none" w:pos="1535"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Indebtedness existing on the Amendment No. 3 Effective Date and listed on </w:t>
      </w:r>
      <w:r>
        <w:rPr>
          <w:rFonts w:ascii="Arial" w:cs="Arial" w:eastAsia="Arial" w:hAnsi="Arial"/>
          <w:sz w:val="22"/>
          <w:szCs w:val="22"/>
          <w:u w:val="single" w:color="auto"/>
          <w:color w:val="auto"/>
        </w:rPr>
        <w:t>Schedule 7.1</w:t>
      </w:r>
      <w:r>
        <w:rPr>
          <w:rFonts w:ascii="Arial" w:cs="Arial" w:eastAsia="Arial" w:hAnsi="Arial"/>
          <w:sz w:val="22"/>
          <w:szCs w:val="22"/>
          <w:color w:val="auto"/>
        </w:rPr>
        <w:t>, and renewals and extensions thereof;</w:t>
      </w:r>
    </w:p>
    <w:p>
      <w:pPr>
        <w:spacing w:after="0" w:line="173" w:lineRule="exact"/>
        <w:rPr>
          <w:rFonts w:ascii="Arial" w:cs="Arial" w:eastAsia="Arial" w:hAnsi="Arial"/>
          <w:sz w:val="22"/>
          <w:szCs w:val="22"/>
          <w:color w:val="auto"/>
        </w:rPr>
      </w:pPr>
    </w:p>
    <w:p>
      <w:pPr>
        <w:ind w:firstLine="648"/>
        <w:spacing w:after="0" w:line="251" w:lineRule="auto"/>
        <w:tabs>
          <w:tab w:leader="none" w:pos="1590" w:val="left"/>
        </w:tabs>
        <w:numPr>
          <w:ilvl w:val="0"/>
          <w:numId w:val="80"/>
        </w:numPr>
        <w:rPr>
          <w:rFonts w:ascii="Arial" w:cs="Arial" w:eastAsia="Arial" w:hAnsi="Arial"/>
          <w:sz w:val="22"/>
          <w:szCs w:val="22"/>
          <w:color w:val="auto"/>
        </w:rPr>
      </w:pPr>
      <w:r>
        <w:rPr>
          <w:rFonts w:ascii="Arial" w:cs="Arial" w:eastAsia="Arial" w:hAnsi="Arial"/>
          <w:sz w:val="22"/>
          <w:szCs w:val="22"/>
          <w:color w:val="auto"/>
        </w:rPr>
        <w:t>Subordinated Debt incurred in connection with Permitted Acquisitions having a maturity date beyond the term of this Agreement;</w:t>
      </w:r>
    </w:p>
    <w:p>
      <w:pPr>
        <w:spacing w:after="0" w:line="173" w:lineRule="exact"/>
        <w:rPr>
          <w:rFonts w:ascii="Arial" w:cs="Arial" w:eastAsia="Arial" w:hAnsi="Arial"/>
          <w:sz w:val="22"/>
          <w:szCs w:val="22"/>
          <w:color w:val="auto"/>
        </w:rPr>
      </w:pPr>
    </w:p>
    <w:p>
      <w:pPr>
        <w:jc w:val="both"/>
        <w:ind w:firstLine="648"/>
        <w:spacing w:after="0"/>
        <w:tabs>
          <w:tab w:leader="none" w:pos="1323"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Indebtedness in respect of deferred software licensing fees in connection with Borrower or any of its Subsidiaries licensing software in the ordinary course of business consistent with past practices in a total amount not to exceed $3,000,000 in the aggregate at any time outstanding;</w:t>
      </w:r>
    </w:p>
    <w:p>
      <w:pPr>
        <w:spacing w:after="0" w:line="186" w:lineRule="exact"/>
        <w:rPr>
          <w:rFonts w:ascii="Arial" w:cs="Arial" w:eastAsia="Arial" w:hAnsi="Arial"/>
          <w:sz w:val="22"/>
          <w:szCs w:val="22"/>
          <w:color w:val="auto"/>
        </w:rPr>
      </w:pPr>
    </w:p>
    <w:p>
      <w:pPr>
        <w:ind w:firstLine="648"/>
        <w:spacing w:after="0" w:line="251" w:lineRule="auto"/>
        <w:tabs>
          <w:tab w:leader="none" w:pos="1373" w:val="left"/>
        </w:tabs>
        <w:numPr>
          <w:ilvl w:val="0"/>
          <w:numId w:val="80"/>
        </w:numPr>
        <w:rPr>
          <w:rFonts w:ascii="Arial" w:cs="Arial" w:eastAsia="Arial" w:hAnsi="Arial"/>
          <w:sz w:val="22"/>
          <w:szCs w:val="22"/>
          <w:color w:val="auto"/>
        </w:rPr>
      </w:pPr>
      <w:r>
        <w:rPr>
          <w:rFonts w:ascii="Arial" w:cs="Arial" w:eastAsia="Arial" w:hAnsi="Arial"/>
          <w:sz w:val="22"/>
          <w:szCs w:val="22"/>
          <w:color w:val="auto"/>
        </w:rPr>
        <w:t>unsecured Indebtedness incurred in connection with Permitted Acquisitions in an aggregate amount not to exceed $60,000,000 at any time outstanding;</w:t>
      </w:r>
    </w:p>
    <w:p>
      <w:pPr>
        <w:spacing w:after="0" w:line="173" w:lineRule="exact"/>
        <w:rPr>
          <w:rFonts w:ascii="Arial" w:cs="Arial" w:eastAsia="Arial" w:hAnsi="Arial"/>
          <w:sz w:val="22"/>
          <w:szCs w:val="22"/>
          <w:color w:val="auto"/>
        </w:rPr>
      </w:pPr>
    </w:p>
    <w:p>
      <w:pPr>
        <w:jc w:val="both"/>
        <w:ind w:firstLine="648"/>
        <w:spacing w:after="0" w:line="245" w:lineRule="auto"/>
        <w:tabs>
          <w:tab w:leader="none" w:pos="1535"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Indebtedness of a Person that becomes a Subsidiary of the Borrower (or is a Subsidiary of the Borrower that survives a merger with that Person or any of its Subsidiaries) and Indebtedness secured by assets that are acquired by the Borrower or any of its Subsidiaries, in each case after the Closing Date as the result of a Permitted Acquisition if (i) that Indebtedness existed at the time such Person became a Subsidiary of the Borrower or at the time such assets were acquired, as the case may be, and was not created in anticipation thereof, (ii) that Indebtedness is not guaranteed in any respect by the Borrower or any other Subsidiary of the Borrower (other than a Subsidiary acquired as part of such Permitted Acquisition that had guaranteed such Indebtedness prior to such Permitted Acquisition), and (iii) the aggregate principal amount of Indebtedness outstanding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7.1(h)</w:t>
      </w:r>
      <w:r>
        <w:rPr>
          <w:rFonts w:ascii="Arial" w:cs="Arial" w:eastAsia="Arial" w:hAnsi="Arial"/>
          <w:sz w:val="21"/>
          <w:szCs w:val="21"/>
          <w:color w:val="auto"/>
        </w:rPr>
        <w:t xml:space="preserve"> does not exceed $20,000,000 at any time;</w:t>
      </w:r>
    </w:p>
    <w:p>
      <w:pPr>
        <w:spacing w:after="0" w:line="185" w:lineRule="exact"/>
        <w:rPr>
          <w:rFonts w:ascii="Arial" w:cs="Arial" w:eastAsia="Arial" w:hAnsi="Arial"/>
          <w:sz w:val="21"/>
          <w:szCs w:val="21"/>
          <w:color w:val="auto"/>
        </w:rPr>
      </w:pPr>
    </w:p>
    <w:p>
      <w:pPr>
        <w:ind w:firstLine="648"/>
        <w:spacing w:after="0" w:line="251" w:lineRule="auto"/>
        <w:tabs>
          <w:tab w:leader="none" w:pos="1379" w:val="left"/>
        </w:tabs>
        <w:numPr>
          <w:ilvl w:val="0"/>
          <w:numId w:val="80"/>
        </w:numPr>
        <w:rPr>
          <w:rFonts w:ascii="Arial" w:cs="Arial" w:eastAsia="Arial" w:hAnsi="Arial"/>
          <w:sz w:val="22"/>
          <w:szCs w:val="22"/>
          <w:color w:val="auto"/>
        </w:rPr>
      </w:pPr>
      <w:r>
        <w:rPr>
          <w:rFonts w:ascii="Arial" w:cs="Arial" w:eastAsia="Arial" w:hAnsi="Arial"/>
          <w:sz w:val="22"/>
          <w:szCs w:val="22"/>
          <w:color w:val="auto"/>
        </w:rPr>
        <w:t>Attributable Indebtedness in connection with Sale Leaseback Transactions solely related to vehicles and real property, in an aggregate amount not to exceed $30,000,000; and</w:t>
      </w:r>
    </w:p>
    <w:p>
      <w:pPr>
        <w:spacing w:after="0" w:line="173" w:lineRule="exact"/>
        <w:rPr>
          <w:rFonts w:ascii="Arial" w:cs="Arial" w:eastAsia="Arial" w:hAnsi="Arial"/>
          <w:sz w:val="22"/>
          <w:szCs w:val="22"/>
          <w:color w:val="auto"/>
        </w:rPr>
      </w:pPr>
    </w:p>
    <w:p>
      <w:pPr>
        <w:ind w:left="1340" w:hanging="692"/>
        <w:spacing w:after="0"/>
        <w:tabs>
          <w:tab w:leader="none" w:pos="13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any other Indebtedness not to exceed $25,000,000 in the aggregate at any time outstanding.</w:t>
      </w:r>
    </w:p>
    <w:p>
      <w:pPr>
        <w:spacing w:after="0" w:line="21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u w:val="single" w:color="auto"/>
          <w:color w:val="auto"/>
        </w:rPr>
        <w:t>Limitation on Liens</w:t>
      </w:r>
      <w:r>
        <w:rPr>
          <w:rFonts w:ascii="Arial" w:cs="Arial" w:eastAsia="Arial" w:hAnsi="Arial"/>
          <w:sz w:val="21"/>
          <w:szCs w:val="21"/>
          <w:color w:val="auto"/>
        </w:rPr>
        <w:t>. Except for Permitted Liens, no Restricted Person will create, assume or permit to exist any Lien upon any of the properties or assets which it now owns or hereafter acquires.</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u w:val="single" w:color="auto"/>
          <w:color w:val="auto"/>
        </w:rPr>
        <w:t>Hedging Contracts</w:t>
      </w:r>
      <w:r>
        <w:rPr>
          <w:rFonts w:ascii="Arial" w:cs="Arial" w:eastAsia="Arial" w:hAnsi="Arial"/>
          <w:sz w:val="19"/>
          <w:szCs w:val="19"/>
          <w:color w:val="auto"/>
        </w:rPr>
        <w:t xml:space="preserve">. No Restricted Person will be a party to or in any manner be liable on any Hedging Contract except Hedging Contracts entered into by a Restricted Person and the Agent or any other Lender or an Affiliate of Agent or any Lender with the purpose and effect of fixing interest rates on a principal amount of indebtedness of such Restricted Person that is accruing interest at a variable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aggregate notional amount of such contracts never exceeds seventy-five percent (75%) of the anticipated outstanding principal balance of the indebtedness to be hedged by such contracts or an average of such principal balances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7" w:name="page118"/>
    <w:bookmarkEnd w:id="117"/>
    <w:p>
      <w:pPr>
        <w:jc w:val="both"/>
        <w:ind w:left="1"/>
        <w:spacing w:after="0" w:line="258" w:lineRule="auto"/>
        <w:rPr>
          <w:sz w:val="20"/>
          <w:szCs w:val="20"/>
          <w:color w:val="auto"/>
        </w:rPr>
      </w:pPr>
      <w:r>
        <w:rPr>
          <w:rFonts w:ascii="Arial" w:cs="Arial" w:eastAsia="Arial" w:hAnsi="Arial"/>
          <w:sz w:val="21"/>
          <w:szCs w:val="21"/>
          <w:color w:val="auto"/>
        </w:rPr>
        <w:t>calculated using a generally accepted method of matching interest swap contracts to declining principal balances, and (b) the floating rate index of each such contract generally matches the index used to determine the floating rates of interest on the corresponding indebtedness to be hedged by such contract.</w:t>
      </w:r>
    </w:p>
    <w:p>
      <w:pPr>
        <w:spacing w:after="0" w:line="167"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9"/>
          <w:szCs w:val="19"/>
          <w:color w:val="auto"/>
        </w:rPr>
        <w:t xml:space="preserve">Section 7.4 </w:t>
      </w:r>
      <w:r>
        <w:rPr>
          <w:rFonts w:ascii="Arial" w:cs="Arial" w:eastAsia="Arial" w:hAnsi="Arial"/>
          <w:sz w:val="19"/>
          <w:szCs w:val="19"/>
          <w:u w:val="single" w:color="auto"/>
          <w:color w:val="auto"/>
        </w:rPr>
        <w:t>Limitation on Mergers, Issuances of Securities</w:t>
      </w:r>
      <w:r>
        <w:rPr>
          <w:rFonts w:ascii="Arial" w:cs="Arial" w:eastAsia="Arial" w:hAnsi="Arial"/>
          <w:sz w:val="19"/>
          <w:szCs w:val="19"/>
          <w:color w:val="auto"/>
        </w:rPr>
        <w:t>. No Restricted Person will merge or consolidate with or into any other Person, except that any Subsidiary of Borrower may be merged into or consolidated with (a) another Subsidiary of Borrower so long as, if a Guarantor is one of the merged entities, a Guarantor is the surviving business entity, (b) Borrower, so long as Borrower is the surviving business entity, and</w:t>
      </w:r>
    </w:p>
    <w:p>
      <w:pPr>
        <w:spacing w:after="0" w:line="4" w:lineRule="exact"/>
        <w:rPr>
          <w:sz w:val="20"/>
          <w:szCs w:val="20"/>
          <w:color w:val="auto"/>
        </w:rPr>
      </w:pPr>
    </w:p>
    <w:p>
      <w:pPr>
        <w:jc w:val="both"/>
        <w:ind w:left="1" w:hanging="1"/>
        <w:spacing w:after="0" w:line="273" w:lineRule="auto"/>
        <w:tabs>
          <w:tab w:leader="none" w:pos="331"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any other Person in connection with a sale of such Restricted Person’s Equity that is permitted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7.5</w:t>
      </w:r>
      <w:r>
        <w:rPr>
          <w:rFonts w:ascii="Arial" w:cs="Arial" w:eastAsia="Arial" w:hAnsi="Arial"/>
          <w:sz w:val="19"/>
          <w:szCs w:val="19"/>
          <w:color w:val="auto"/>
        </w:rPr>
        <w:t>. Borrower will not issue any equity securities other than shares of its common or preferred stock and any options or warrants giving the holders thereof only the right to acquire such shares. No Subsidiary of Borrower will issue any additional shares of its capital stock or other equity securities or any options, warrants or other rights to acquire such additional shares or other equity securities except to Borrower or another Subsidiary of Borrower and only to the extent not otherwise forbidden under the terms hereof. No Subsidiary of Borrower which is a partnership will allow any diminution of Borrower’s interest (direct or indirect) therein.</w:t>
      </w:r>
    </w:p>
    <w:p>
      <w:pPr>
        <w:spacing w:after="0" w:line="160"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Limitation on Sales of Property and Discounting of Receivables</w:t>
      </w:r>
      <w:r>
        <w:rPr>
          <w:rFonts w:ascii="Arial" w:cs="Arial" w:eastAsia="Arial" w:hAnsi="Arial"/>
          <w:sz w:val="22"/>
          <w:szCs w:val="22"/>
          <w:color w:val="auto"/>
        </w:rPr>
        <w:t>. No Restricted Person will sell, transfer, lease, exchange, alienate or dispose of any of its material assets or properties or any material interest therein, or discount, adjust, settle, compromise, release, allow any credit against, sell, pledge or assign any notes payable to it, accounts receivable or future income, except:</w:t>
      </w:r>
    </w:p>
    <w:p>
      <w:pPr>
        <w:spacing w:after="0" w:line="185" w:lineRule="exact"/>
        <w:rPr>
          <w:sz w:val="20"/>
          <w:szCs w:val="20"/>
          <w:color w:val="auto"/>
        </w:rPr>
      </w:pPr>
    </w:p>
    <w:p>
      <w:pPr>
        <w:ind w:left="1" w:firstLine="648"/>
        <w:spacing w:after="0" w:line="251" w:lineRule="auto"/>
        <w:tabs>
          <w:tab w:leader="none" w:pos="1348" w:val="left"/>
        </w:tabs>
        <w:numPr>
          <w:ilvl w:val="0"/>
          <w:numId w:val="82"/>
        </w:numPr>
        <w:rPr>
          <w:rFonts w:ascii="Arial" w:cs="Arial" w:eastAsia="Arial" w:hAnsi="Arial"/>
          <w:sz w:val="22"/>
          <w:szCs w:val="22"/>
          <w:color w:val="auto"/>
        </w:rPr>
      </w:pPr>
      <w:r>
        <w:rPr>
          <w:rFonts w:ascii="Arial" w:cs="Arial" w:eastAsia="Arial" w:hAnsi="Arial"/>
          <w:sz w:val="22"/>
          <w:szCs w:val="22"/>
          <w:color w:val="auto"/>
        </w:rPr>
        <w:t>equipment which is worthless, obsolete, no longer used by or useful to a Restricted Person or which is replaced by equipment of equal suitability and value;</w:t>
      </w:r>
    </w:p>
    <w:p>
      <w:pPr>
        <w:spacing w:after="0" w:line="173" w:lineRule="exact"/>
        <w:rPr>
          <w:rFonts w:ascii="Arial" w:cs="Arial" w:eastAsia="Arial" w:hAnsi="Arial"/>
          <w:sz w:val="22"/>
          <w:szCs w:val="22"/>
          <w:color w:val="auto"/>
        </w:rPr>
      </w:pPr>
    </w:p>
    <w:p>
      <w:pPr>
        <w:ind w:left="1341" w:hanging="692"/>
        <w:spacing w:after="0"/>
        <w:tabs>
          <w:tab w:leader="none" w:pos="134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inventory which is sold in the ordinary course of business;</w:t>
      </w:r>
    </w:p>
    <w:p>
      <w:pPr>
        <w:spacing w:after="0" w:line="206" w:lineRule="exact"/>
        <w:rPr>
          <w:rFonts w:ascii="Arial" w:cs="Arial" w:eastAsia="Arial" w:hAnsi="Arial"/>
          <w:sz w:val="22"/>
          <w:szCs w:val="22"/>
          <w:color w:val="auto"/>
        </w:rPr>
      </w:pPr>
    </w:p>
    <w:p>
      <w:pPr>
        <w:ind w:left="1" w:firstLine="648"/>
        <w:spacing w:after="0" w:line="251" w:lineRule="auto"/>
        <w:tabs>
          <w:tab w:leader="none" w:pos="1335" w:val="left"/>
        </w:tabs>
        <w:numPr>
          <w:ilvl w:val="0"/>
          <w:numId w:val="82"/>
        </w:numPr>
        <w:rPr>
          <w:rFonts w:ascii="Arial" w:cs="Arial" w:eastAsia="Arial" w:hAnsi="Arial"/>
          <w:sz w:val="22"/>
          <w:szCs w:val="22"/>
          <w:color w:val="auto"/>
        </w:rPr>
      </w:pPr>
      <w:r>
        <w:rPr>
          <w:rFonts w:ascii="Arial" w:cs="Arial" w:eastAsia="Arial" w:hAnsi="Arial"/>
          <w:sz w:val="22"/>
          <w:szCs w:val="22"/>
          <w:color w:val="auto"/>
        </w:rPr>
        <w:t>customary credits and discounts of accounts receivable (not including factoring or securitizations) in the ordinary course of business;</w:t>
      </w:r>
    </w:p>
    <w:p>
      <w:pPr>
        <w:spacing w:after="0" w:line="173" w:lineRule="exact"/>
        <w:rPr>
          <w:rFonts w:ascii="Arial" w:cs="Arial" w:eastAsia="Arial" w:hAnsi="Arial"/>
          <w:sz w:val="22"/>
          <w:szCs w:val="22"/>
          <w:color w:val="auto"/>
        </w:rPr>
      </w:pPr>
    </w:p>
    <w:p>
      <w:pPr>
        <w:jc w:val="both"/>
        <w:ind w:left="1" w:firstLine="648"/>
        <w:spacing w:after="0"/>
        <w:tabs>
          <w:tab w:leader="none" w:pos="1401" w:val="left"/>
        </w:tabs>
        <w:numPr>
          <w:ilvl w:val="0"/>
          <w:numId w:val="82"/>
        </w:numPr>
        <w:rPr>
          <w:rFonts w:ascii="Arial" w:cs="Arial" w:eastAsia="Arial" w:hAnsi="Arial"/>
          <w:sz w:val="22"/>
          <w:szCs w:val="22"/>
          <w:color w:val="auto"/>
        </w:rPr>
      </w:pPr>
      <w:r>
        <w:rPr>
          <w:rFonts w:ascii="Arial" w:cs="Arial" w:eastAsia="Arial" w:hAnsi="Arial"/>
          <w:sz w:val="22"/>
          <w:szCs w:val="22"/>
          <w:color w:val="auto"/>
        </w:rPr>
        <w:t>other property which is sold for fair consideration not in the aggregate in excess of $30,000,000 in any Fiscal Year, the sale of which will not materially impair or diminish the value of the Collateral or the Consolidated financial condition, business or operations of Borrower; and</w:t>
      </w:r>
    </w:p>
    <w:p>
      <w:pPr>
        <w:spacing w:after="0" w:line="186" w:lineRule="exact"/>
        <w:rPr>
          <w:rFonts w:ascii="Arial" w:cs="Arial" w:eastAsia="Arial" w:hAnsi="Arial"/>
          <w:sz w:val="22"/>
          <w:szCs w:val="22"/>
          <w:color w:val="auto"/>
        </w:rPr>
      </w:pPr>
    </w:p>
    <w:p>
      <w:pPr>
        <w:ind w:left="1" w:firstLine="648"/>
        <w:spacing w:after="0" w:line="251" w:lineRule="auto"/>
        <w:tabs>
          <w:tab w:leader="none" w:pos="1605" w:val="left"/>
        </w:tabs>
        <w:numPr>
          <w:ilvl w:val="0"/>
          <w:numId w:val="82"/>
        </w:numPr>
        <w:rPr>
          <w:rFonts w:ascii="Arial" w:cs="Arial" w:eastAsia="Arial" w:hAnsi="Arial"/>
          <w:sz w:val="22"/>
          <w:szCs w:val="22"/>
          <w:color w:val="auto"/>
        </w:rPr>
      </w:pPr>
      <w:r>
        <w:rPr>
          <w:rFonts w:ascii="Arial" w:cs="Arial" w:eastAsia="Arial" w:hAnsi="Arial"/>
          <w:sz w:val="22"/>
          <w:szCs w:val="22"/>
          <w:color w:val="auto"/>
        </w:rPr>
        <w:t>Sale Leaseback Transactions relating to solely to vehicles or real property if the Attributable Indebtedness of all Sale Leaseback Transactions then in effect is less than $30,000,000.</w:t>
      </w:r>
    </w:p>
    <w:p>
      <w:pPr>
        <w:spacing w:after="0" w:line="173" w:lineRule="exact"/>
        <w:rPr>
          <w:sz w:val="20"/>
          <w:szCs w:val="20"/>
          <w:color w:val="auto"/>
        </w:rPr>
      </w:pPr>
    </w:p>
    <w:p>
      <w:pPr>
        <w:ind w:left="641"/>
        <w:spacing w:after="0"/>
        <w:tabs>
          <w:tab w:leader="none" w:pos="192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Limitation on Distributions and Subordinated Debt</w:t>
      </w:r>
      <w:r>
        <w:rPr>
          <w:rFonts w:ascii="Arial" w:cs="Arial" w:eastAsia="Arial" w:hAnsi="Arial"/>
          <w:sz w:val="19"/>
          <w:szCs w:val="19"/>
          <w:color w:val="auto"/>
        </w:rPr>
        <w:t>.</w:t>
      </w:r>
    </w:p>
    <w:p>
      <w:pPr>
        <w:spacing w:after="0" w:line="206" w:lineRule="exact"/>
        <w:rPr>
          <w:sz w:val="20"/>
          <w:szCs w:val="20"/>
          <w:color w:val="auto"/>
        </w:rPr>
      </w:pPr>
    </w:p>
    <w:p>
      <w:pPr>
        <w:ind w:left="1" w:firstLine="648"/>
        <w:spacing w:after="0" w:line="251" w:lineRule="auto"/>
        <w:tabs>
          <w:tab w:leader="none" w:pos="1524"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Restricted Person will declare or make any Distribution except, in each case, so long as no Default or Event of Default exists at the time thereof or would result therefrom:</w:t>
      </w:r>
    </w:p>
    <w:p>
      <w:pPr>
        <w:spacing w:after="0" w:line="173" w:lineRule="exact"/>
        <w:rPr>
          <w:rFonts w:ascii="Arial" w:cs="Arial" w:eastAsia="Arial" w:hAnsi="Arial"/>
          <w:sz w:val="22"/>
          <w:szCs w:val="22"/>
          <w:color w:val="auto"/>
        </w:rPr>
      </w:pPr>
    </w:p>
    <w:p>
      <w:pPr>
        <w:ind w:left="1981" w:hanging="684"/>
        <w:spacing w:after="0"/>
        <w:tabs>
          <w:tab w:leader="none" w:pos="1981" w:val="left"/>
        </w:tabs>
        <w:numPr>
          <w:ilvl w:val="1"/>
          <w:numId w:val="83"/>
        </w:numPr>
        <w:rPr>
          <w:rFonts w:ascii="Arial" w:cs="Arial" w:eastAsia="Arial" w:hAnsi="Arial"/>
          <w:sz w:val="21"/>
          <w:szCs w:val="21"/>
          <w:color w:val="auto"/>
        </w:rPr>
      </w:pPr>
      <w:r>
        <w:rPr>
          <w:rFonts w:ascii="Arial" w:cs="Arial" w:eastAsia="Arial" w:hAnsi="Arial"/>
          <w:sz w:val="21"/>
          <w:szCs w:val="21"/>
          <w:color w:val="auto"/>
        </w:rPr>
        <w:t>Distributions made at any time when the Net Leverage Ratio is less than 1.25 to 1.00;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18" w:name="page119"/>
    <w:bookmarkEnd w:id="118"/>
    <w:p>
      <w:pPr>
        <w:jc w:val="both"/>
        <w:ind w:left="640" w:firstLine="656"/>
        <w:spacing w:after="0" w:line="258" w:lineRule="auto"/>
        <w:tabs>
          <w:tab w:leader="none" w:pos="1930" w:val="left"/>
        </w:tabs>
        <w:numPr>
          <w:ilvl w:val="0"/>
          <w:numId w:val="84"/>
        </w:numPr>
        <w:rPr>
          <w:rFonts w:ascii="Arial" w:cs="Arial" w:eastAsia="Arial" w:hAnsi="Arial"/>
          <w:sz w:val="21"/>
          <w:szCs w:val="21"/>
          <w:color w:val="auto"/>
        </w:rPr>
      </w:pPr>
      <w:r>
        <w:rPr>
          <w:rFonts w:ascii="Arial" w:cs="Arial" w:eastAsia="Arial" w:hAnsi="Arial"/>
          <w:sz w:val="21"/>
          <w:szCs w:val="21"/>
          <w:color w:val="auto"/>
        </w:rPr>
        <w:t xml:space="preserve">regularly scheduled dividends in an amount per share paid in any Fiscal Quarter not to exceed 130% of the amount per share paid during the immediately preceding Fiscal Quarter;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all such increases paid in any Fiscal Year shall not exceed $2,500,000; and</w:t>
      </w:r>
    </w:p>
    <w:p>
      <w:pPr>
        <w:spacing w:after="0" w:line="167" w:lineRule="exact"/>
        <w:rPr>
          <w:rFonts w:ascii="Arial" w:cs="Arial" w:eastAsia="Arial" w:hAnsi="Arial"/>
          <w:sz w:val="21"/>
          <w:szCs w:val="21"/>
          <w:color w:val="auto"/>
        </w:rPr>
      </w:pPr>
    </w:p>
    <w:p>
      <w:pPr>
        <w:ind w:left="640" w:firstLine="656"/>
        <w:spacing w:after="0" w:line="251" w:lineRule="auto"/>
        <w:tabs>
          <w:tab w:leader="none" w:pos="2071" w:val="left"/>
        </w:tabs>
        <w:numPr>
          <w:ilvl w:val="0"/>
          <w:numId w:val="84"/>
        </w:numPr>
        <w:rPr>
          <w:rFonts w:ascii="Arial" w:cs="Arial" w:eastAsia="Arial" w:hAnsi="Arial"/>
          <w:sz w:val="22"/>
          <w:szCs w:val="22"/>
          <w:color w:val="auto"/>
        </w:rPr>
      </w:pPr>
      <w:r>
        <w:rPr>
          <w:rFonts w:ascii="Arial" w:cs="Arial" w:eastAsia="Arial" w:hAnsi="Arial"/>
          <w:sz w:val="22"/>
          <w:szCs w:val="22"/>
          <w:color w:val="auto"/>
        </w:rPr>
        <w:t>repurchases of the Borrower’s common stock made after the Amendment No. 5 Effective Date in an aggregate amount not to exceed $30,000,000.</w:t>
      </w:r>
    </w:p>
    <w:p>
      <w:pPr>
        <w:spacing w:after="0" w:line="173" w:lineRule="exact"/>
        <w:rPr>
          <w:sz w:val="20"/>
          <w:szCs w:val="20"/>
          <w:color w:val="auto"/>
        </w:rPr>
      </w:pPr>
    </w:p>
    <w:p>
      <w:pPr>
        <w:ind w:firstLine="648"/>
        <w:spacing w:after="0" w:line="251" w:lineRule="auto"/>
        <w:tabs>
          <w:tab w:leader="none" w:pos="1373"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Restricted Person will make any payments on Subordinated Debt, unless no Default or Event of Default exists at such time or would occur as a result thereof.</w:t>
      </w:r>
    </w:p>
    <w:p>
      <w:pPr>
        <w:spacing w:after="0" w:line="17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Section 7.7 Lim</w:t>
      </w:r>
      <w:r>
        <w:rPr>
          <w:rFonts w:ascii="Arial" w:cs="Arial" w:eastAsia="Arial" w:hAnsi="Arial"/>
          <w:sz w:val="22"/>
          <w:szCs w:val="22"/>
          <w:u w:val="single" w:color="auto"/>
          <w:color w:val="auto"/>
        </w:rPr>
        <w:t>itation on Investments, Acquisitions, Capital Expenditures, and Lines of Business</w:t>
      </w:r>
      <w:r>
        <w:rPr>
          <w:rFonts w:ascii="Arial" w:cs="Arial" w:eastAsia="Arial" w:hAnsi="Arial"/>
          <w:sz w:val="22"/>
          <w:szCs w:val="22"/>
          <w:color w:val="auto"/>
        </w:rPr>
        <w:t>. No Restricted Person will:</w:t>
      </w:r>
    </w:p>
    <w:p>
      <w:pPr>
        <w:spacing w:after="0" w:line="173" w:lineRule="exact"/>
        <w:rPr>
          <w:sz w:val="20"/>
          <w:szCs w:val="20"/>
          <w:color w:val="auto"/>
        </w:rPr>
      </w:pPr>
    </w:p>
    <w:p>
      <w:pPr>
        <w:jc w:val="both"/>
        <w:ind w:firstLine="648"/>
        <w:spacing w:after="0"/>
        <w:tabs>
          <w:tab w:leader="none" w:pos="16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make any Investments other than (i) Permitted Investments, (ii) investments in Unrestricted Subsidiaries not in excess of $25,000,000 during any Fiscal Year, and (iii) investments in the Southeast Acquisition Entity;</w:t>
      </w:r>
    </w:p>
    <w:p>
      <w:pPr>
        <w:spacing w:after="0" w:line="186" w:lineRule="exact"/>
        <w:rPr>
          <w:rFonts w:ascii="Arial" w:cs="Arial" w:eastAsia="Arial" w:hAnsi="Arial"/>
          <w:sz w:val="22"/>
          <w:szCs w:val="22"/>
          <w:color w:val="auto"/>
        </w:rPr>
      </w:pPr>
    </w:p>
    <w:p>
      <w:pPr>
        <w:jc w:val="both"/>
        <w:ind w:firstLine="648"/>
        <w:spacing w:after="0"/>
        <w:tabs>
          <w:tab w:leader="none" w:pos="1386" w:val="left"/>
        </w:tabs>
        <w:numPr>
          <w:ilvl w:val="0"/>
          <w:numId w:val="86"/>
        </w:numPr>
        <w:rPr>
          <w:rFonts w:ascii="Arial" w:cs="Arial" w:eastAsia="Arial" w:hAnsi="Arial"/>
          <w:sz w:val="22"/>
          <w:szCs w:val="22"/>
          <w:color w:val="auto"/>
        </w:rPr>
      </w:pPr>
      <w:r>
        <w:rPr>
          <w:rFonts w:ascii="Arial" w:cs="Arial" w:eastAsia="Arial" w:hAnsi="Arial"/>
          <w:sz w:val="22"/>
          <w:szCs w:val="22"/>
          <w:color w:val="auto"/>
        </w:rPr>
        <w:t>make Capital Expenditures in any Fiscal Year in excess of the sum of (i) $60,000,000 plus (ii) cash proceeds from the sale of Capital Assets received in such Fiscal Year plus (iii) any unused amounts under this basket from the immediately preceding Fiscal Year;</w:t>
      </w:r>
    </w:p>
    <w:p>
      <w:pPr>
        <w:spacing w:after="0" w:line="186" w:lineRule="exact"/>
        <w:rPr>
          <w:rFonts w:ascii="Arial" w:cs="Arial" w:eastAsia="Arial" w:hAnsi="Arial"/>
          <w:sz w:val="22"/>
          <w:szCs w:val="22"/>
          <w:color w:val="auto"/>
        </w:rPr>
      </w:pPr>
    </w:p>
    <w:p>
      <w:pPr>
        <w:ind w:left="1320" w:hanging="672"/>
        <w:spacing w:after="0"/>
        <w:tabs>
          <w:tab w:leader="none" w:pos="13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make any Acquisition unless the following conditions are satisfied:</w:t>
      </w:r>
    </w:p>
    <w:p>
      <w:pPr>
        <w:spacing w:after="0" w:line="206" w:lineRule="exact"/>
        <w:rPr>
          <w:rFonts w:ascii="Arial" w:cs="Arial" w:eastAsia="Arial" w:hAnsi="Arial"/>
          <w:sz w:val="22"/>
          <w:szCs w:val="22"/>
          <w:color w:val="auto"/>
        </w:rPr>
      </w:pPr>
    </w:p>
    <w:p>
      <w:pPr>
        <w:ind w:left="1980" w:hanging="684"/>
        <w:spacing w:after="0"/>
        <w:tabs>
          <w:tab w:leader="none" w:pos="1980"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the Acquisition is not hostile in nature;</w:t>
      </w:r>
    </w:p>
    <w:p>
      <w:pPr>
        <w:spacing w:after="0" w:line="206" w:lineRule="exact"/>
        <w:rPr>
          <w:rFonts w:ascii="Arial" w:cs="Arial" w:eastAsia="Arial" w:hAnsi="Arial"/>
          <w:sz w:val="22"/>
          <w:szCs w:val="22"/>
          <w:color w:val="auto"/>
        </w:rPr>
      </w:pPr>
    </w:p>
    <w:p>
      <w:pPr>
        <w:ind w:left="640" w:firstLine="656"/>
        <w:spacing w:after="0" w:line="251" w:lineRule="auto"/>
        <w:tabs>
          <w:tab w:leader="none" w:pos="1944" w:val="left"/>
        </w:tabs>
        <w:numPr>
          <w:ilvl w:val="1"/>
          <w:numId w:val="86"/>
        </w:numPr>
        <w:rPr>
          <w:rFonts w:ascii="Arial" w:cs="Arial" w:eastAsia="Arial" w:hAnsi="Arial"/>
          <w:sz w:val="22"/>
          <w:szCs w:val="22"/>
          <w:color w:val="auto"/>
        </w:rPr>
      </w:pPr>
      <w:r>
        <w:rPr>
          <w:rFonts w:ascii="Arial" w:cs="Arial" w:eastAsia="Arial" w:hAnsi="Arial"/>
          <w:sz w:val="22"/>
          <w:szCs w:val="22"/>
          <w:color w:val="auto"/>
        </w:rPr>
        <w:t>each line of business to be acquired in the Acquisition is similar to a line of business engaged in by the Borrower at the time of the Acquisition; and</w:t>
      </w:r>
    </w:p>
    <w:p>
      <w:pPr>
        <w:spacing w:after="0" w:line="173" w:lineRule="exact"/>
        <w:rPr>
          <w:rFonts w:ascii="Arial" w:cs="Arial" w:eastAsia="Arial" w:hAnsi="Arial"/>
          <w:sz w:val="22"/>
          <w:szCs w:val="22"/>
          <w:color w:val="auto"/>
        </w:rPr>
      </w:pPr>
    </w:p>
    <w:p>
      <w:pPr>
        <w:jc w:val="both"/>
        <w:ind w:left="640" w:firstLine="656"/>
        <w:spacing w:after="0" w:line="287" w:lineRule="auto"/>
        <w:tabs>
          <w:tab w:leader="none" w:pos="1936" w:val="left"/>
        </w:tabs>
        <w:numPr>
          <w:ilvl w:val="1"/>
          <w:numId w:val="86"/>
        </w:numPr>
        <w:rPr>
          <w:rFonts w:ascii="Arial" w:cs="Arial" w:eastAsia="Arial" w:hAnsi="Arial"/>
          <w:sz w:val="19"/>
          <w:szCs w:val="19"/>
          <w:color w:val="auto"/>
        </w:rPr>
      </w:pPr>
      <w:r>
        <w:rPr>
          <w:rFonts w:ascii="Arial" w:cs="Arial" w:eastAsia="Arial" w:hAnsi="Arial"/>
          <w:sz w:val="19"/>
          <w:szCs w:val="19"/>
          <w:color w:val="auto"/>
        </w:rPr>
        <w:t>either (A) the Total Leverage Ratio is less than or equal to 2.00 to 1.00 after giving pro forma effect to the Acquisition or (B) the purchase price for such Acquisition is less than or equal to $40,000,000 and the aggregate purchase price for such Acquisition and all prior Acquisitions made during the Fiscal Year when such Acquisition is consummated is less than or equal to $80,000,000; or</w:t>
      </w:r>
    </w:p>
    <w:p>
      <w:pPr>
        <w:spacing w:after="0" w:line="143" w:lineRule="exact"/>
        <w:rPr>
          <w:rFonts w:ascii="Arial" w:cs="Arial" w:eastAsia="Arial" w:hAnsi="Arial"/>
          <w:sz w:val="19"/>
          <w:szCs w:val="19"/>
          <w:color w:val="auto"/>
        </w:rPr>
      </w:pPr>
    </w:p>
    <w:p>
      <w:pPr>
        <w:ind w:firstLine="648"/>
        <w:spacing w:after="0" w:line="251" w:lineRule="auto"/>
        <w:tabs>
          <w:tab w:leader="none" w:pos="1359" w:val="left"/>
        </w:tabs>
        <w:numPr>
          <w:ilvl w:val="0"/>
          <w:numId w:val="86"/>
        </w:numPr>
        <w:rPr>
          <w:rFonts w:ascii="Arial" w:cs="Arial" w:eastAsia="Arial" w:hAnsi="Arial"/>
          <w:sz w:val="22"/>
          <w:szCs w:val="22"/>
          <w:color w:val="auto"/>
        </w:rPr>
      </w:pPr>
      <w:r>
        <w:rPr>
          <w:rFonts w:ascii="Arial" w:cs="Arial" w:eastAsia="Arial" w:hAnsi="Arial"/>
          <w:sz w:val="22"/>
          <w:szCs w:val="22"/>
          <w:color w:val="auto"/>
        </w:rPr>
        <w:t>engage directly or indirectly in any business or conduct any operations except in connection with or incidental to its present businesses and operations.</w:t>
      </w:r>
    </w:p>
    <w:p>
      <w:pPr>
        <w:spacing w:after="0" w:line="173"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7.8</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Section 7.9 </w:t>
      </w:r>
      <w:r>
        <w:rPr>
          <w:rFonts w:ascii="Arial" w:cs="Arial" w:eastAsia="Arial" w:hAnsi="Arial"/>
          <w:sz w:val="21"/>
          <w:szCs w:val="21"/>
          <w:u w:val="single" w:color="auto"/>
          <w:color w:val="auto"/>
        </w:rPr>
        <w:t>Transactions with Affiliates</w:t>
      </w:r>
      <w:r>
        <w:rPr>
          <w:rFonts w:ascii="Arial" w:cs="Arial" w:eastAsia="Arial" w:hAnsi="Arial"/>
          <w:sz w:val="21"/>
          <w:szCs w:val="21"/>
          <w:color w:val="auto"/>
        </w:rPr>
        <w:t>. Neither Borrower nor any of its Subsidiaries will engage in any material transaction with any of its Affiliates on terms which are less favorable to it than those which would have been obtainable at the time in arm’s-length dealing with Persons other than such Affiliates, provided that such restriction shall not apply to transactions among Borrower and its Subsidiaries.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Prohibited Contracts</w:t>
      </w:r>
      <w:r>
        <w:rPr>
          <w:rFonts w:ascii="Arial" w:cs="Arial" w:eastAsia="Arial" w:hAnsi="Arial"/>
          <w:sz w:val="22"/>
          <w:szCs w:val="22"/>
          <w:color w:val="auto"/>
        </w:rPr>
        <w:t>. Except as expressly provided for in the Loan Documents, no Restricted Person will, directly or indirectly, enter into, create, or otherwise allow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9" w:name="page120"/>
    <w:bookmarkEnd w:id="119"/>
    <w:p>
      <w:pPr>
        <w:ind w:left="1"/>
        <w:spacing w:after="0"/>
        <w:rPr>
          <w:sz w:val="20"/>
          <w:szCs w:val="20"/>
          <w:color w:val="auto"/>
        </w:rPr>
      </w:pPr>
      <w:r>
        <w:rPr>
          <w:rFonts w:ascii="Arial" w:cs="Arial" w:eastAsia="Arial" w:hAnsi="Arial"/>
          <w:sz w:val="19"/>
          <w:szCs w:val="19"/>
          <w:color w:val="auto"/>
        </w:rPr>
        <w:t>to exist any contract that restricts, or other consensual restriction on, the ability of any Subsidiary of Borrower to:</w:t>
      </w:r>
    </w:p>
    <w:p>
      <w:pPr>
        <w:spacing w:after="0" w:line="43" w:lineRule="exact"/>
        <w:rPr>
          <w:sz w:val="20"/>
          <w:szCs w:val="20"/>
          <w:color w:val="auto"/>
        </w:rPr>
      </w:pPr>
    </w:p>
    <w:p>
      <w:pPr>
        <w:jc w:val="both"/>
        <w:ind w:left="1" w:hanging="1"/>
        <w:spacing w:after="0" w:line="267" w:lineRule="auto"/>
        <w:tabs>
          <w:tab w:leader="none" w:pos="297" w:val="left"/>
        </w:tabs>
        <w:numPr>
          <w:ilvl w:val="0"/>
          <w:numId w:val="87"/>
        </w:numPr>
        <w:rPr>
          <w:rFonts w:ascii="Arial" w:cs="Arial" w:eastAsia="Arial" w:hAnsi="Arial"/>
          <w:sz w:val="19"/>
          <w:szCs w:val="19"/>
          <w:color w:val="auto"/>
        </w:rPr>
      </w:pPr>
      <w:r>
        <w:rPr>
          <w:rFonts w:ascii="Arial" w:cs="Arial" w:eastAsia="Arial" w:hAnsi="Arial"/>
          <w:sz w:val="19"/>
          <w:szCs w:val="19"/>
          <w:color w:val="auto"/>
        </w:rPr>
        <w:t>pay dividends or make other Distributions to Borrower, (b) to redeem Equity held in it by Borrower, (c) to repay loans and other Indebtedness owing by it to Borrower, (d) to transfer any of its assets to Borrower, or (e) make loans or advances to Borrower or any of its Subsidiaries. No Restricted Person will enter, or permit the entry by any Restricted Person into, any contract, lease, or amendment that releases, qualifies, limits, makes contingent or otherwise materially detrimentally affects the rights and benefits of Agent or any Lender under or acquired pursuant to any Security Documents. No ERISA Affiliate will incur any obligation with respect to any “multiemployer plan” as defined in Section 4001 of ERISA, except (a) an obligation pursuant to collective bargaining agreements to make contributions in the ordinary course of business for employees subject to such collective bargaining agreements, or</w:t>
      </w:r>
    </w:p>
    <w:p>
      <w:pPr>
        <w:ind w:left="301" w:hanging="301"/>
        <w:spacing w:after="0"/>
        <w:tabs>
          <w:tab w:leader="none" w:pos="301" w:val="left"/>
        </w:tabs>
        <w:numPr>
          <w:ilvl w:val="0"/>
          <w:numId w:val="87"/>
        </w:numPr>
        <w:rPr>
          <w:rFonts w:ascii="Arial" w:cs="Arial" w:eastAsia="Arial" w:hAnsi="Arial"/>
          <w:sz w:val="22"/>
          <w:szCs w:val="22"/>
          <w:color w:val="auto"/>
        </w:rPr>
      </w:pPr>
      <w:r>
        <w:rPr>
          <w:rFonts w:ascii="Arial" w:cs="Arial" w:eastAsia="Arial" w:hAnsi="Arial"/>
          <w:sz w:val="22"/>
          <w:szCs w:val="22"/>
          <w:color w:val="auto"/>
        </w:rPr>
        <w:t>as would not reasonably be expected to cause a Material Adverse Change.</w:t>
      </w:r>
    </w:p>
    <w:p>
      <w:pPr>
        <w:spacing w:after="0" w:line="188" w:lineRule="exact"/>
        <w:rPr>
          <w:sz w:val="20"/>
          <w:szCs w:val="20"/>
          <w:color w:val="auto"/>
        </w:rPr>
      </w:pPr>
    </w:p>
    <w:p>
      <w:pPr>
        <w:ind w:left="641"/>
        <w:spacing w:after="0"/>
        <w:tabs>
          <w:tab w:leader="none" w:pos="192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Financial Covenants</w:t>
      </w:r>
      <w:r>
        <w:rPr>
          <w:rFonts w:ascii="Arial" w:cs="Arial" w:eastAsia="Arial" w:hAnsi="Arial"/>
          <w:sz w:val="19"/>
          <w:szCs w:val="19"/>
          <w:color w:val="auto"/>
        </w:rPr>
        <w:t>.</w:t>
      </w:r>
    </w:p>
    <w:p>
      <w:pPr>
        <w:spacing w:after="0" w:line="206" w:lineRule="exact"/>
        <w:rPr>
          <w:sz w:val="20"/>
          <w:szCs w:val="20"/>
          <w:color w:val="auto"/>
        </w:rPr>
      </w:pPr>
    </w:p>
    <w:p>
      <w:pPr>
        <w:jc w:val="both"/>
        <w:ind w:left="1" w:firstLine="648"/>
        <w:spacing w:after="0" w:line="269" w:lineRule="auto"/>
        <w:tabs>
          <w:tab w:leader="none" w:pos="1389"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Minimum Fixed Charge Coverage Ratio</w:t>
      </w:r>
      <w:r>
        <w:rPr>
          <w:rFonts w:ascii="Arial" w:cs="Arial" w:eastAsia="Arial" w:hAnsi="Arial"/>
          <w:sz w:val="19"/>
          <w:szCs w:val="19"/>
          <w:color w:val="auto"/>
        </w:rPr>
        <w:t xml:space="preserve">. The Borrower will not permit the ratio, determined as of the end of each of its Fiscal Quarters, for the then most-recently ended four Fiscal Quarters, of (i) its Consolidated EBITDA, minus (A) Consolidated Capital Expenditures, (B) the provision for income Taxes (excluding one-time Tax charges arising solely from changes to GAAP), and (C) if the Net Leverage Ratio for the most recently ended four Fiscal Quarters is greater than 1.75 to 1.00, Distributions made to Persons that are not Restricted Persons during such four-Fiscal Quarter period (other than (x) any Distribution permitted under </w:t>
      </w:r>
      <w:r>
        <w:rPr>
          <w:rFonts w:ascii="Arial" w:cs="Arial" w:eastAsia="Arial" w:hAnsi="Arial"/>
          <w:sz w:val="19"/>
          <w:szCs w:val="19"/>
          <w:u w:val="single" w:color="auto"/>
          <w:color w:val="auto"/>
        </w:rPr>
        <w:t>Section 7.6(a)(iii)</w:t>
      </w:r>
      <w:r>
        <w:rPr>
          <w:rFonts w:ascii="Arial" w:cs="Arial" w:eastAsia="Arial" w:hAnsi="Arial"/>
          <w:sz w:val="19"/>
          <w:szCs w:val="19"/>
          <w:color w:val="auto"/>
        </w:rPr>
        <w:t xml:space="preserve"> if at the time of and after giving effect to such Distribution the Net Leverage Ratio was less than or equal to 1.75 to 1.00 and</w:t>
      </w:r>
    </w:p>
    <w:p>
      <w:pPr>
        <w:spacing w:after="0" w:line="5" w:lineRule="exact"/>
        <w:rPr>
          <w:rFonts w:ascii="Arial" w:cs="Arial" w:eastAsia="Arial" w:hAnsi="Arial"/>
          <w:sz w:val="19"/>
          <w:szCs w:val="19"/>
          <w:color w:val="auto"/>
        </w:rPr>
      </w:pPr>
    </w:p>
    <w:p>
      <w:pPr>
        <w:jc w:val="both"/>
        <w:ind w:left="1" w:hanging="1"/>
        <w:spacing w:after="0" w:line="280" w:lineRule="auto"/>
        <w:tabs>
          <w:tab w:leader="none" w:pos="339"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any Distribution made by a Restricted Person that is a Non-Wholly Owned Subsidiary to the holders of its equity interests that are not Restricted Persons on a pro rata basis), in each case, calculated for the Borrower on a Consolidated basis, to (ii) its Consolidated Interest Expense for such four-Fiscal Quarter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scheduled principal payments of Indebtedness made during such four-Fiscal Quarter period, to be less than 2.00 to 1.00.</w:t>
      </w:r>
    </w:p>
    <w:p>
      <w:pPr>
        <w:spacing w:after="0" w:line="150" w:lineRule="exact"/>
        <w:rPr>
          <w:rFonts w:ascii="Arial" w:cs="Arial" w:eastAsia="Arial" w:hAnsi="Arial"/>
          <w:sz w:val="19"/>
          <w:szCs w:val="19"/>
          <w:color w:val="auto"/>
        </w:rPr>
      </w:pPr>
    </w:p>
    <w:p>
      <w:pPr>
        <w:jc w:val="both"/>
        <w:ind w:left="1" w:firstLine="648"/>
        <w:spacing w:after="0"/>
        <w:tabs>
          <w:tab w:leader="none" w:pos="1401" w:val="left"/>
        </w:tabs>
        <w:numPr>
          <w:ilvl w:val="1"/>
          <w:numId w:val="89"/>
        </w:numPr>
        <w:rPr>
          <w:rFonts w:ascii="Arial" w:cs="Arial" w:eastAsia="Arial" w:hAnsi="Arial"/>
          <w:sz w:val="22"/>
          <w:szCs w:val="22"/>
          <w:color w:val="auto"/>
        </w:rPr>
      </w:pPr>
      <w:r>
        <w:rPr>
          <w:rFonts w:ascii="Arial" w:cs="Arial" w:eastAsia="Arial" w:hAnsi="Arial"/>
          <w:sz w:val="22"/>
          <w:szCs w:val="22"/>
          <w:u w:val="single" w:color="auto"/>
          <w:color w:val="auto"/>
        </w:rPr>
        <w:t>Total Leverage Ratio</w:t>
      </w:r>
      <w:r>
        <w:rPr>
          <w:rFonts w:ascii="Arial" w:cs="Arial" w:eastAsia="Arial" w:hAnsi="Arial"/>
          <w:sz w:val="22"/>
          <w:szCs w:val="22"/>
          <w:color w:val="auto"/>
        </w:rPr>
        <w:t>. The Borrower will not permit its Total Leverage Ratio, determined as of the end of each of its Fiscal Quarters, for the then most-recently ended four Fiscal Quarters, to be greater than 3.00 to 1.00 as of the end of each Fiscal Quarter.</w:t>
      </w:r>
    </w:p>
    <w:p>
      <w:pPr>
        <w:spacing w:after="0" w:line="186" w:lineRule="exact"/>
        <w:rPr>
          <w:sz w:val="20"/>
          <w:szCs w:val="20"/>
          <w:color w:val="auto"/>
        </w:rPr>
      </w:pPr>
    </w:p>
    <w:p>
      <w:pPr>
        <w:jc w:val="both"/>
        <w:ind w:left="1" w:firstLine="648"/>
        <w:spacing w:after="0" w:line="297"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Limitation on Further Negative Pledges</w:t>
      </w:r>
      <w:r>
        <w:rPr>
          <w:rFonts w:ascii="Arial" w:cs="Arial" w:eastAsia="Arial" w:hAnsi="Arial"/>
          <w:sz w:val="19"/>
          <w:szCs w:val="19"/>
          <w:color w:val="auto"/>
        </w:rPr>
        <w:t>. The Borrower shall not, and shall cause each other Restricted Person not to, enter into any agreement limiting its ability to create, incur, assume or suffer to exist any Lien upon any of its property, assets or revenues, whether now owned or hereafter acquired, except</w:t>
      </w:r>
    </w:p>
    <w:p>
      <w:pPr>
        <w:spacing w:after="0" w:line="134" w:lineRule="exact"/>
        <w:rPr>
          <w:sz w:val="20"/>
          <w:szCs w:val="20"/>
          <w:color w:val="auto"/>
        </w:rPr>
      </w:pPr>
    </w:p>
    <w:p>
      <w:pPr>
        <w:ind w:left="1321" w:hanging="672"/>
        <w:spacing w:after="0"/>
        <w:tabs>
          <w:tab w:leader="none" w:pos="1321" w:val="left"/>
        </w:tabs>
        <w:numPr>
          <w:ilvl w:val="0"/>
          <w:numId w:val="90"/>
        </w:numPr>
        <w:rPr>
          <w:rFonts w:ascii="Arial" w:cs="Arial" w:eastAsia="Arial" w:hAnsi="Arial"/>
          <w:sz w:val="22"/>
          <w:szCs w:val="22"/>
          <w:color w:val="auto"/>
        </w:rPr>
      </w:pPr>
      <w:r>
        <w:rPr>
          <w:rFonts w:ascii="Arial" w:cs="Arial" w:eastAsia="Arial" w:hAnsi="Arial"/>
          <w:sz w:val="22"/>
          <w:szCs w:val="22"/>
          <w:color w:val="auto"/>
        </w:rPr>
        <w:t>pursuant to the Loan Documents;</w:t>
      </w:r>
    </w:p>
    <w:p>
      <w:pPr>
        <w:spacing w:after="0" w:line="206" w:lineRule="exact"/>
        <w:rPr>
          <w:rFonts w:ascii="Arial" w:cs="Arial" w:eastAsia="Arial" w:hAnsi="Arial"/>
          <w:sz w:val="22"/>
          <w:szCs w:val="22"/>
          <w:color w:val="auto"/>
        </w:rPr>
      </w:pPr>
    </w:p>
    <w:p>
      <w:pPr>
        <w:ind w:left="1341" w:hanging="692"/>
        <w:spacing w:after="0"/>
        <w:tabs>
          <w:tab w:leader="none" w:pos="1341" w:val="left"/>
        </w:tabs>
        <w:numPr>
          <w:ilvl w:val="0"/>
          <w:numId w:val="90"/>
        </w:numPr>
        <w:rPr>
          <w:rFonts w:ascii="Arial" w:cs="Arial" w:eastAsia="Arial" w:hAnsi="Arial"/>
          <w:sz w:val="19"/>
          <w:szCs w:val="19"/>
          <w:color w:val="auto"/>
        </w:rPr>
      </w:pPr>
      <w:r>
        <w:rPr>
          <w:rFonts w:ascii="Arial" w:cs="Arial" w:eastAsia="Arial" w:hAnsi="Arial"/>
          <w:sz w:val="19"/>
          <w:szCs w:val="19"/>
          <w:color w:val="auto"/>
        </w:rPr>
        <w:t>pursuant to any agreement with any counterparty that has entered into an Intercreditor Agreement;</w:t>
      </w:r>
    </w:p>
    <w:p>
      <w:pPr>
        <w:spacing w:after="0" w:line="240" w:lineRule="exact"/>
        <w:rPr>
          <w:rFonts w:ascii="Arial" w:cs="Arial" w:eastAsia="Arial" w:hAnsi="Arial"/>
          <w:sz w:val="19"/>
          <w:szCs w:val="19"/>
          <w:color w:val="auto"/>
        </w:rPr>
      </w:pPr>
    </w:p>
    <w:p>
      <w:pPr>
        <w:jc w:val="both"/>
        <w:ind w:left="1" w:firstLine="648"/>
        <w:spacing w:after="0" w:line="238" w:lineRule="auto"/>
        <w:tabs>
          <w:tab w:leader="none" w:pos="1443" w:val="left"/>
        </w:tabs>
        <w:numPr>
          <w:ilvl w:val="0"/>
          <w:numId w:val="90"/>
        </w:numPr>
        <w:rPr>
          <w:rFonts w:ascii="Arial" w:cs="Arial" w:eastAsia="Arial" w:hAnsi="Arial"/>
          <w:sz w:val="22"/>
          <w:szCs w:val="22"/>
          <w:color w:val="auto"/>
        </w:rPr>
      </w:pPr>
      <w:r>
        <w:rPr>
          <w:rFonts w:ascii="Arial" w:cs="Arial" w:eastAsia="Arial" w:hAnsi="Arial"/>
          <w:sz w:val="22"/>
          <w:szCs w:val="22"/>
          <w:color w:val="auto"/>
        </w:rPr>
        <w:t>pursuant to any other agreement that does not restrict in any manner (directly or indirectly) Liens created pursuant to the Loan Documents on property or assets of the Borrower or any other Restricted Person (whether now owned or hereafter acquired) securing the Secured Obligations and does not require the direct or indirect granting of any Lien securing 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20" w:name="page121"/>
    <w:bookmarkEnd w:id="120"/>
    <w:p>
      <w:pPr>
        <w:ind w:left="1"/>
        <w:spacing w:after="0" w:line="251" w:lineRule="auto"/>
        <w:rPr>
          <w:sz w:val="20"/>
          <w:szCs w:val="20"/>
          <w:color w:val="auto"/>
        </w:rPr>
      </w:pPr>
      <w:r>
        <w:rPr>
          <w:rFonts w:ascii="Arial" w:cs="Arial" w:eastAsia="Arial" w:hAnsi="Arial"/>
          <w:sz w:val="22"/>
          <w:szCs w:val="22"/>
          <w:color w:val="auto"/>
        </w:rPr>
        <w:t>Indebtedness or other obligation by virtue of the granting of Liens on or pledge of property of the Borrower or any other Restricted Person to secure the Secured Obligations;</w:t>
      </w:r>
    </w:p>
    <w:p>
      <w:pPr>
        <w:spacing w:after="0" w:line="174" w:lineRule="exact"/>
        <w:rPr>
          <w:sz w:val="20"/>
          <w:szCs w:val="20"/>
          <w:color w:val="auto"/>
        </w:rPr>
      </w:pPr>
    </w:p>
    <w:p>
      <w:pPr>
        <w:jc w:val="both"/>
        <w:ind w:left="1" w:firstLine="648"/>
        <w:spacing w:after="0" w:line="297" w:lineRule="auto"/>
        <w:tabs>
          <w:tab w:leader="none" w:pos="1482" w:val="left"/>
        </w:tabs>
        <w:numPr>
          <w:ilvl w:val="0"/>
          <w:numId w:val="91"/>
        </w:numPr>
        <w:rPr>
          <w:rFonts w:ascii="Arial" w:cs="Arial" w:eastAsia="Arial" w:hAnsi="Arial"/>
          <w:sz w:val="19"/>
          <w:szCs w:val="19"/>
          <w:color w:val="auto"/>
        </w:rPr>
      </w:pPr>
      <w:r>
        <w:rPr>
          <w:rFonts w:ascii="Arial" w:cs="Arial" w:eastAsia="Arial" w:hAnsi="Arial"/>
          <w:sz w:val="19"/>
          <w:szCs w:val="19"/>
          <w:color w:val="auto"/>
        </w:rPr>
        <w:t>prohibitions or limitations contained in any industrial revenue or development bonds, acquisition agreements, licenses, and leases of real property and equipment entered into in the ordinary course of business that apply only to the property that is the subject of those bonds, agreements, licenses or leases;</w:t>
      </w:r>
    </w:p>
    <w:p>
      <w:pPr>
        <w:spacing w:after="0" w:line="134" w:lineRule="exact"/>
        <w:rPr>
          <w:rFonts w:ascii="Arial" w:cs="Arial" w:eastAsia="Arial" w:hAnsi="Arial"/>
          <w:sz w:val="19"/>
          <w:szCs w:val="19"/>
          <w:color w:val="auto"/>
        </w:rPr>
      </w:pPr>
    </w:p>
    <w:p>
      <w:pPr>
        <w:ind w:left="1" w:firstLine="648"/>
        <w:spacing w:after="0" w:line="251" w:lineRule="auto"/>
        <w:tabs>
          <w:tab w:leader="none" w:pos="1443" w:val="left"/>
        </w:tabs>
        <w:numPr>
          <w:ilvl w:val="0"/>
          <w:numId w:val="91"/>
        </w:numPr>
        <w:rPr>
          <w:rFonts w:ascii="Arial" w:cs="Arial" w:eastAsia="Arial" w:hAnsi="Arial"/>
          <w:sz w:val="22"/>
          <w:szCs w:val="22"/>
          <w:color w:val="auto"/>
        </w:rPr>
      </w:pPr>
      <w:r>
        <w:rPr>
          <w:rFonts w:ascii="Arial" w:cs="Arial" w:eastAsia="Arial" w:hAnsi="Arial"/>
          <w:sz w:val="22"/>
          <w:szCs w:val="22"/>
          <w:color w:val="auto"/>
        </w:rPr>
        <w:t>prohibitions or limitations against other encumbrances on specific property encumbered to secure payment of particular Indebtedness permitted under this Agreement;</w:t>
      </w:r>
    </w:p>
    <w:p>
      <w:pPr>
        <w:spacing w:after="0" w:line="173" w:lineRule="exact"/>
        <w:rPr>
          <w:rFonts w:ascii="Arial" w:cs="Arial" w:eastAsia="Arial" w:hAnsi="Arial"/>
          <w:sz w:val="22"/>
          <w:szCs w:val="22"/>
          <w:color w:val="auto"/>
        </w:rPr>
      </w:pPr>
    </w:p>
    <w:p>
      <w:pPr>
        <w:ind w:left="1" w:firstLine="648"/>
        <w:spacing w:after="0" w:line="251" w:lineRule="auto"/>
        <w:tabs>
          <w:tab w:leader="none" w:pos="1297" w:val="left"/>
        </w:tabs>
        <w:numPr>
          <w:ilvl w:val="0"/>
          <w:numId w:val="91"/>
        </w:numPr>
        <w:rPr>
          <w:rFonts w:ascii="Arial" w:cs="Arial" w:eastAsia="Arial" w:hAnsi="Arial"/>
          <w:sz w:val="22"/>
          <w:szCs w:val="22"/>
          <w:color w:val="auto"/>
        </w:rPr>
      </w:pPr>
      <w:r>
        <w:rPr>
          <w:rFonts w:ascii="Arial" w:cs="Arial" w:eastAsia="Arial" w:hAnsi="Arial"/>
          <w:sz w:val="22"/>
          <w:szCs w:val="22"/>
          <w:color w:val="auto"/>
        </w:rPr>
        <w:t>prohibitions or limitations against encumbrances on specific property subject to a proposed asset sale permitted hereunder contained in any document relating to that asset sale;</w:t>
      </w:r>
    </w:p>
    <w:p>
      <w:pPr>
        <w:spacing w:after="0" w:line="173" w:lineRule="exact"/>
        <w:rPr>
          <w:rFonts w:ascii="Arial" w:cs="Arial" w:eastAsia="Arial" w:hAnsi="Arial"/>
          <w:sz w:val="22"/>
          <w:szCs w:val="22"/>
          <w:color w:val="auto"/>
        </w:rPr>
      </w:pPr>
    </w:p>
    <w:p>
      <w:pPr>
        <w:jc w:val="both"/>
        <w:ind w:left="1" w:firstLine="648"/>
        <w:spacing w:after="0"/>
        <w:tabs>
          <w:tab w:leader="none" w:pos="1468"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prohibitions or limitations in favor of any holder of Indebtedness permitted under </w:t>
      </w:r>
      <w:r>
        <w:rPr>
          <w:rFonts w:ascii="Arial" w:cs="Arial" w:eastAsia="Arial" w:hAnsi="Arial"/>
          <w:sz w:val="22"/>
          <w:szCs w:val="22"/>
          <w:u w:val="single" w:color="auto"/>
          <w:color w:val="auto"/>
        </w:rPr>
        <w:t>Section 7.1(h)</w:t>
      </w:r>
      <w:r>
        <w:rPr>
          <w:rFonts w:ascii="Arial" w:cs="Arial" w:eastAsia="Arial" w:hAnsi="Arial"/>
          <w:sz w:val="22"/>
          <w:szCs w:val="22"/>
          <w:color w:val="auto"/>
        </w:rPr>
        <w:t>, solely to the extent any such negative pledge relates to property acquired as part of the Permitted Acquisition pursuant to which the Borrower acquired the obligor of such Indebtedness; and</w:t>
      </w:r>
    </w:p>
    <w:p>
      <w:pPr>
        <w:spacing w:after="0" w:line="186" w:lineRule="exact"/>
        <w:rPr>
          <w:rFonts w:ascii="Arial" w:cs="Arial" w:eastAsia="Arial" w:hAnsi="Arial"/>
          <w:sz w:val="22"/>
          <w:szCs w:val="22"/>
          <w:color w:val="auto"/>
        </w:rPr>
      </w:pPr>
    </w:p>
    <w:p>
      <w:pPr>
        <w:jc w:val="both"/>
        <w:ind w:left="1" w:firstLine="648"/>
        <w:spacing w:after="0" w:line="282" w:lineRule="auto"/>
        <w:tabs>
          <w:tab w:leader="none" w:pos="1441" w:val="left"/>
        </w:tabs>
        <w:numPr>
          <w:ilvl w:val="0"/>
          <w:numId w:val="91"/>
        </w:numPr>
        <w:rPr>
          <w:rFonts w:ascii="Arial" w:cs="Arial" w:eastAsia="Arial" w:hAnsi="Arial"/>
          <w:sz w:val="19"/>
          <w:szCs w:val="19"/>
          <w:color w:val="auto"/>
        </w:rPr>
      </w:pPr>
      <w:r>
        <w:rPr>
          <w:rFonts w:ascii="Arial" w:cs="Arial" w:eastAsia="Arial" w:hAnsi="Arial"/>
          <w:sz w:val="19"/>
          <w:szCs w:val="19"/>
          <w:color w:val="auto"/>
        </w:rPr>
        <w:t>prohibitions or limitations against encumbrances on property (including equipment, but excluding real property) (i) to be delivered by a Restricted Person to a job site in the ordinary course of business, (ii) transferred in the ordinary course of business to a Restricted Person as part of a transaction pursuant to which such property will be transferred to the owner of such project at or prior to the end of such job, or (iii) that otherwise temporarily enters a Restricted Person’s custody in the ordinary course of business.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EVENTS OF DEFAULT AND REMEDIES</w:t>
      </w:r>
    </w:p>
    <w:p>
      <w:pPr>
        <w:spacing w:after="0" w:line="188" w:lineRule="exact"/>
        <w:rPr>
          <w:sz w:val="20"/>
          <w:szCs w:val="20"/>
          <w:color w:val="auto"/>
        </w:rPr>
      </w:pPr>
    </w:p>
    <w:p>
      <w:pPr>
        <w:ind w:left="641"/>
        <w:spacing w:after="0"/>
        <w:tabs>
          <w:tab w:leader="none" w:pos="2020" w:val="left"/>
        </w:tabs>
        <w:rPr>
          <w:sz w:val="20"/>
          <w:szCs w:val="20"/>
          <w:color w:val="auto"/>
        </w:rPr>
      </w:pPr>
      <w:r>
        <w:rPr>
          <w:rFonts w:ascii="Arial" w:cs="Arial" w:eastAsia="Arial" w:hAnsi="Arial"/>
          <w:sz w:val="22"/>
          <w:szCs w:val="22"/>
          <w:color w:val="auto"/>
        </w:rPr>
        <w:t>Section 8.1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Each of the following events constitutes an Event of Default under this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581" w:hanging="932"/>
        <w:spacing w:after="0"/>
        <w:tabs>
          <w:tab w:leader="none" w:pos="1581"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 Restricted Person fails to pay any principal component of any Obligation when due and</w:t>
      </w:r>
    </w:p>
    <w:p>
      <w:pPr>
        <w:spacing w:after="0" w:line="42" w:lineRule="exact"/>
        <w:rPr>
          <w:rFonts w:ascii="Arial" w:cs="Arial" w:eastAsia="Arial" w:hAnsi="Arial"/>
          <w:sz w:val="19"/>
          <w:szCs w:val="19"/>
          <w:color w:val="auto"/>
        </w:rPr>
      </w:pPr>
    </w:p>
    <w:p>
      <w:pPr>
        <w:ind w:left="1"/>
        <w:spacing w:after="0"/>
        <w:rPr>
          <w:rFonts w:ascii="Arial" w:cs="Arial" w:eastAsia="Arial" w:hAnsi="Arial"/>
          <w:sz w:val="19"/>
          <w:szCs w:val="19"/>
          <w:color w:val="auto"/>
        </w:rPr>
      </w:pPr>
      <w:r>
        <w:rPr>
          <w:rFonts w:ascii="Arial" w:cs="Arial" w:eastAsia="Arial" w:hAnsi="Arial"/>
          <w:sz w:val="22"/>
          <w:szCs w:val="22"/>
          <w:color w:val="auto"/>
        </w:rPr>
        <w:t>payable;</w:t>
      </w:r>
    </w:p>
    <w:p>
      <w:pPr>
        <w:spacing w:after="0" w:line="188" w:lineRule="exact"/>
        <w:rPr>
          <w:rFonts w:ascii="Arial" w:cs="Arial" w:eastAsia="Arial" w:hAnsi="Arial"/>
          <w:sz w:val="19"/>
          <w:szCs w:val="19"/>
          <w:color w:val="auto"/>
        </w:rPr>
      </w:pPr>
    </w:p>
    <w:p>
      <w:pPr>
        <w:ind w:left="1" w:firstLine="648"/>
        <w:spacing w:after="0" w:line="251" w:lineRule="auto"/>
        <w:tabs>
          <w:tab w:leader="none" w:pos="1333"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Any Restricted Person fails to pay any payment of interest or fees on the date which such payment is due and such failure continues for a period of three (3) days;</w:t>
      </w:r>
    </w:p>
    <w:p>
      <w:pPr>
        <w:spacing w:after="0" w:line="173" w:lineRule="exact"/>
        <w:rPr>
          <w:rFonts w:ascii="Arial" w:cs="Arial" w:eastAsia="Arial" w:hAnsi="Arial"/>
          <w:sz w:val="22"/>
          <w:szCs w:val="22"/>
          <w:color w:val="auto"/>
        </w:rPr>
      </w:pPr>
    </w:p>
    <w:p>
      <w:pPr>
        <w:ind w:left="1361" w:hanging="712"/>
        <w:spacing w:after="0"/>
        <w:tabs>
          <w:tab w:leader="none" w:pos="1361"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 Restricted Person fails to pay any Obligation (other than the Obligations in subsections (a) and</w:t>
      </w:r>
    </w:p>
    <w:p>
      <w:pPr>
        <w:spacing w:after="0" w:line="42" w:lineRule="exact"/>
        <w:rPr>
          <w:rFonts w:ascii="Arial" w:cs="Arial" w:eastAsia="Arial" w:hAnsi="Arial"/>
          <w:sz w:val="19"/>
          <w:szCs w:val="19"/>
          <w:color w:val="auto"/>
        </w:rPr>
      </w:pPr>
    </w:p>
    <w:p>
      <w:pPr>
        <w:jc w:val="both"/>
        <w:ind w:left="1" w:hanging="1"/>
        <w:spacing w:after="0" w:line="234" w:lineRule="auto"/>
        <w:tabs>
          <w:tab w:leader="none" w:pos="318" w:val="left"/>
        </w:tabs>
        <w:numPr>
          <w:ilvl w:val="0"/>
          <w:numId w:val="93"/>
        </w:numPr>
        <w:rPr>
          <w:rFonts w:ascii="Arial" w:cs="Arial" w:eastAsia="Arial" w:hAnsi="Arial"/>
          <w:sz w:val="22"/>
          <w:szCs w:val="22"/>
          <w:color w:val="auto"/>
        </w:rPr>
      </w:pPr>
      <w:r>
        <w:rPr>
          <w:rFonts w:ascii="Arial" w:cs="Arial" w:eastAsia="Arial" w:hAnsi="Arial"/>
          <w:sz w:val="22"/>
          <w:szCs w:val="22"/>
          <w:color w:val="auto"/>
        </w:rPr>
        <w:t>above) within three Business Days after the same becomes due and payable, whether at a date for the payment of a fixed installment or as a contingent or other payment becomes due and payable or as a result of acceleration or otherwise;</w:t>
      </w:r>
    </w:p>
    <w:p>
      <w:pPr>
        <w:spacing w:after="0" w:line="187" w:lineRule="exact"/>
        <w:rPr>
          <w:rFonts w:ascii="Arial" w:cs="Arial" w:eastAsia="Arial" w:hAnsi="Arial"/>
          <w:sz w:val="22"/>
          <w:szCs w:val="22"/>
          <w:color w:val="auto"/>
        </w:rPr>
      </w:pPr>
    </w:p>
    <w:p>
      <w:pPr>
        <w:ind w:left="1" w:firstLine="648"/>
        <w:spacing w:after="0" w:line="328" w:lineRule="auto"/>
        <w:tabs>
          <w:tab w:leader="none" w:pos="1482" w:val="left"/>
        </w:tabs>
        <w:numPr>
          <w:ilvl w:val="1"/>
          <w:numId w:val="93"/>
        </w:numPr>
        <w:rPr>
          <w:rFonts w:ascii="Arial" w:cs="Arial" w:eastAsia="Arial" w:hAnsi="Arial"/>
          <w:sz w:val="19"/>
          <w:szCs w:val="19"/>
          <w:color w:val="auto"/>
        </w:rPr>
      </w:pPr>
      <w:r>
        <w:rPr>
          <w:rFonts w:ascii="Arial" w:cs="Arial" w:eastAsia="Arial" w:hAnsi="Arial"/>
          <w:sz w:val="19"/>
          <w:szCs w:val="19"/>
          <w:color w:val="auto"/>
        </w:rPr>
        <w:t>Any “default” or “event of default” occurs under any Loan Document which defines either such term, and the same is not remedied within the applicable period of grace (if any) provided in such Loan Document;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21" w:name="page122"/>
    <w:bookmarkEnd w:id="121"/>
    <w:p>
      <w:pPr>
        <w:ind w:left="1" w:firstLine="648"/>
        <w:spacing w:after="0" w:line="251" w:lineRule="auto"/>
        <w:tabs>
          <w:tab w:leader="none" w:pos="1456" w:val="left"/>
        </w:tabs>
        <w:numPr>
          <w:ilvl w:val="1"/>
          <w:numId w:val="94"/>
        </w:numPr>
        <w:rPr>
          <w:rFonts w:ascii="Arial" w:cs="Arial" w:eastAsia="Arial" w:hAnsi="Arial"/>
          <w:sz w:val="22"/>
          <w:szCs w:val="22"/>
          <w:color w:val="auto"/>
        </w:rPr>
      </w:pPr>
      <w:r>
        <w:rPr>
          <w:rFonts w:ascii="Arial" w:cs="Arial" w:eastAsia="Arial" w:hAnsi="Arial"/>
          <w:sz w:val="22"/>
          <w:szCs w:val="22"/>
          <w:color w:val="auto"/>
        </w:rPr>
        <w:t xml:space="preserve">Any Restricted Person fails to duly observe, perform or comply with any covenant, agreement or provision of </w:t>
      </w:r>
      <w:r>
        <w:rPr>
          <w:rFonts w:ascii="Arial" w:cs="Arial" w:eastAsia="Arial" w:hAnsi="Arial"/>
          <w:sz w:val="22"/>
          <w:szCs w:val="22"/>
          <w:u w:val="single" w:color="auto"/>
          <w:color w:val="auto"/>
        </w:rPr>
        <w:t>Article VII</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jc w:val="both"/>
        <w:ind w:left="1" w:firstLine="648"/>
        <w:spacing w:after="0" w:line="238" w:lineRule="auto"/>
        <w:tabs>
          <w:tab w:leader="none" w:pos="1351" w:val="left"/>
        </w:tabs>
        <w:numPr>
          <w:ilvl w:val="1"/>
          <w:numId w:val="94"/>
        </w:numPr>
        <w:rPr>
          <w:rFonts w:ascii="Arial" w:cs="Arial" w:eastAsia="Arial" w:hAnsi="Arial"/>
          <w:sz w:val="22"/>
          <w:szCs w:val="22"/>
          <w:color w:val="auto"/>
        </w:rPr>
      </w:pPr>
      <w:r>
        <w:rPr>
          <w:rFonts w:ascii="Arial" w:cs="Arial" w:eastAsia="Arial" w:hAnsi="Arial"/>
          <w:sz w:val="22"/>
          <w:szCs w:val="22"/>
          <w:color w:val="auto"/>
        </w:rPr>
        <w:t>Any Restricted Person fails (other than as referred to in subsections (a), (b), (c), (d) or (e) above) to duly observe, perform or comply with any covenant, agreement, condition or provision of any Loan Document, and such failure remains unremedied for a period of thirty (30) days after notice of such failure is given by Agent to Borrower;</w:t>
      </w:r>
    </w:p>
    <w:p>
      <w:pPr>
        <w:spacing w:after="0" w:line="185" w:lineRule="exact"/>
        <w:rPr>
          <w:rFonts w:ascii="Arial" w:cs="Arial" w:eastAsia="Arial" w:hAnsi="Arial"/>
          <w:sz w:val="22"/>
          <w:szCs w:val="22"/>
          <w:color w:val="auto"/>
        </w:rPr>
      </w:pPr>
    </w:p>
    <w:p>
      <w:pPr>
        <w:jc w:val="both"/>
        <w:ind w:left="1" w:firstLine="648"/>
        <w:spacing w:after="0" w:line="287" w:lineRule="auto"/>
        <w:tabs>
          <w:tab w:leader="none" w:pos="136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Any representation or warranty previously, presently or hereafter made in writing by or on behalf of any Restricted Person in connection with any Loan Document shall prove to have been false or incorrect in any material respect on any date on or as of which made, or any Loan Document at any time ceases to be valid, binding and enforceable as warranted in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for any reason other than its release or subordination by Agent;</w:t>
      </w:r>
    </w:p>
    <w:p>
      <w:pPr>
        <w:spacing w:after="0" w:line="143" w:lineRule="exact"/>
        <w:rPr>
          <w:rFonts w:ascii="Arial" w:cs="Arial" w:eastAsia="Arial" w:hAnsi="Arial"/>
          <w:sz w:val="19"/>
          <w:szCs w:val="19"/>
          <w:color w:val="auto"/>
        </w:rPr>
      </w:pPr>
    </w:p>
    <w:p>
      <w:pPr>
        <w:jc w:val="both"/>
        <w:ind w:left="1" w:firstLine="648"/>
        <w:spacing w:after="0" w:line="252" w:lineRule="auto"/>
        <w:tabs>
          <w:tab w:leader="none" w:pos="1671" w:val="left"/>
        </w:tabs>
        <w:numPr>
          <w:ilvl w:val="1"/>
          <w:numId w:val="94"/>
        </w:numPr>
        <w:rPr>
          <w:rFonts w:ascii="Arial" w:cs="Arial" w:eastAsia="Arial" w:hAnsi="Arial"/>
          <w:sz w:val="21"/>
          <w:szCs w:val="21"/>
          <w:color w:val="auto"/>
        </w:rPr>
      </w:pPr>
      <w:r>
        <w:rPr>
          <w:rFonts w:ascii="Arial" w:cs="Arial" w:eastAsia="Arial" w:hAnsi="Arial"/>
          <w:sz w:val="21"/>
          <w:szCs w:val="21"/>
          <w:color w:val="auto"/>
        </w:rPr>
        <w:t>Any Restricted Person (i) fails to pay any portion, when such portion is due, of any of its Indebtedness in excess of $10,000,000, or (ii) breaches or defaults in the performance of any agreement or instrument by which any such Indebtedness is issued, evidenced, governed, or secured, and any such failure, breach or default continues beyond any applicable period of grace provided therefor;</w:t>
      </w:r>
    </w:p>
    <w:p>
      <w:pPr>
        <w:spacing w:after="0" w:line="174" w:lineRule="exact"/>
        <w:rPr>
          <w:rFonts w:ascii="Arial" w:cs="Arial" w:eastAsia="Arial" w:hAnsi="Arial"/>
          <w:sz w:val="21"/>
          <w:szCs w:val="21"/>
          <w:color w:val="auto"/>
        </w:rPr>
      </w:pPr>
    </w:p>
    <w:p>
      <w:pPr>
        <w:jc w:val="both"/>
        <w:ind w:left="1" w:firstLine="648"/>
        <w:spacing w:after="0" w:line="270" w:lineRule="auto"/>
        <w:tabs>
          <w:tab w:leader="none" w:pos="1569"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of (i) any ERISA Affiliate fails to satisfy the “minimum funding standard” (as defined in Section 412(a) of the Internal Revenue Code), without taking into account any waiver by the Secretary of the Treasury or his delegate, with respect to any ERISA Plan, and the aggregate amount necessary to cure all such failures exceeds $10,000,000, (ii) the occurrence of a Termination Event with respect to any ERISA Plan, that, when taken together with all other Termination Events that have occurred and are continuing, could reasonably be expected to subject to any Restricted Person to liability individually or in the aggregate in excess of $10,000,000, or</w:t>
      </w:r>
    </w:p>
    <w:p>
      <w:pPr>
        <w:spacing w:after="0" w:line="1" w:lineRule="exact"/>
        <w:rPr>
          <w:rFonts w:ascii="Arial" w:cs="Arial" w:eastAsia="Arial" w:hAnsi="Arial"/>
          <w:sz w:val="19"/>
          <w:szCs w:val="19"/>
          <w:color w:val="auto"/>
        </w:rPr>
      </w:pPr>
    </w:p>
    <w:p>
      <w:pPr>
        <w:jc w:val="both"/>
        <w:ind w:left="1" w:hanging="1"/>
        <w:spacing w:after="0" w:line="287" w:lineRule="auto"/>
        <w:tabs>
          <w:tab w:leader="none" w:pos="379"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payment by a Restricted Person of the sum of the contributions to each ERISA Plan that would be necessary for the “adjusted funding target attainment percentage” (within the meaning of Section 436 of the Code) of each such ERISA Plan to equal 100 percent could reasonably be expected to cause a Material Adverse Change;</w:t>
      </w:r>
    </w:p>
    <w:p>
      <w:pPr>
        <w:spacing w:after="0" w:line="143" w:lineRule="exact"/>
        <w:rPr>
          <w:rFonts w:ascii="Arial" w:cs="Arial" w:eastAsia="Arial" w:hAnsi="Arial"/>
          <w:sz w:val="19"/>
          <w:szCs w:val="19"/>
          <w:color w:val="auto"/>
        </w:rPr>
      </w:pPr>
    </w:p>
    <w:p>
      <w:pPr>
        <w:ind w:left="1341" w:hanging="692"/>
        <w:spacing w:after="0"/>
        <w:tabs>
          <w:tab w:leader="none" w:pos="1341" w:val="left"/>
        </w:tabs>
        <w:numPr>
          <w:ilvl w:val="1"/>
          <w:numId w:val="95"/>
        </w:numPr>
        <w:rPr>
          <w:rFonts w:ascii="Arial" w:cs="Arial" w:eastAsia="Arial" w:hAnsi="Arial"/>
          <w:sz w:val="22"/>
          <w:szCs w:val="22"/>
          <w:color w:val="auto"/>
        </w:rPr>
      </w:pPr>
      <w:r>
        <w:rPr>
          <w:rFonts w:ascii="Arial" w:cs="Arial" w:eastAsia="Arial" w:hAnsi="Arial"/>
          <w:sz w:val="22"/>
          <w:szCs w:val="22"/>
          <w:color w:val="auto"/>
        </w:rPr>
        <w:t>Any Restricted Person:</w:t>
      </w:r>
    </w:p>
    <w:p>
      <w:pPr>
        <w:spacing w:after="0" w:line="206" w:lineRule="exact"/>
        <w:rPr>
          <w:rFonts w:ascii="Arial" w:cs="Arial" w:eastAsia="Arial" w:hAnsi="Arial"/>
          <w:sz w:val="22"/>
          <w:szCs w:val="22"/>
          <w:color w:val="auto"/>
        </w:rPr>
      </w:pPr>
    </w:p>
    <w:p>
      <w:pPr>
        <w:jc w:val="both"/>
        <w:ind w:left="641" w:firstLine="656"/>
        <w:spacing w:after="0" w:line="236" w:lineRule="auto"/>
        <w:tabs>
          <w:tab w:leader="none" w:pos="2303" w:val="left"/>
        </w:tabs>
        <w:numPr>
          <w:ilvl w:val="2"/>
          <w:numId w:val="95"/>
        </w:numPr>
        <w:rPr>
          <w:rFonts w:ascii="Arial" w:cs="Arial" w:eastAsia="Arial" w:hAnsi="Arial"/>
          <w:sz w:val="22"/>
          <w:szCs w:val="22"/>
          <w:color w:val="auto"/>
        </w:rPr>
      </w:pPr>
      <w:r>
        <w:rPr>
          <w:rFonts w:ascii="Arial" w:cs="Arial" w:eastAsia="Arial" w:hAnsi="Arial"/>
          <w:sz w:val="22"/>
          <w:szCs w:val="22"/>
          <w:color w:val="auto"/>
        </w:rPr>
        <w:t>suffers the entry against it of a judgment, decree or order for relief by a Tribunal of competent jurisdiction in an involuntary proceeding commenced under any applicable bankruptcy, insolvency or other similar Law of any jurisdiction now or hereafter in effect, including the federal Bankruptcy Code, as from time to time amended, or has any such proceeding commenced against it which remains undismissed for a period of sixty (60) days; or</w:t>
      </w:r>
    </w:p>
    <w:p>
      <w:pPr>
        <w:spacing w:after="0" w:line="187" w:lineRule="exact"/>
        <w:rPr>
          <w:rFonts w:ascii="Arial" w:cs="Arial" w:eastAsia="Arial" w:hAnsi="Arial"/>
          <w:sz w:val="22"/>
          <w:szCs w:val="22"/>
          <w:color w:val="auto"/>
        </w:rPr>
      </w:pPr>
    </w:p>
    <w:p>
      <w:pPr>
        <w:jc w:val="both"/>
        <w:ind w:left="641" w:firstLine="656"/>
        <w:spacing w:after="0" w:line="235" w:lineRule="auto"/>
        <w:tabs>
          <w:tab w:leader="none" w:pos="2080" w:val="left"/>
        </w:tabs>
        <w:numPr>
          <w:ilvl w:val="2"/>
          <w:numId w:val="95"/>
        </w:numPr>
        <w:rPr>
          <w:rFonts w:ascii="Arial" w:cs="Arial" w:eastAsia="Arial" w:hAnsi="Arial"/>
          <w:sz w:val="22"/>
          <w:szCs w:val="22"/>
          <w:color w:val="auto"/>
        </w:rPr>
      </w:pPr>
      <w:r>
        <w:rPr>
          <w:rFonts w:ascii="Arial" w:cs="Arial" w:eastAsia="Arial" w:hAnsi="Arial"/>
          <w:sz w:val="22"/>
          <w:szCs w:val="22"/>
          <w:color w:val="auto"/>
        </w:rPr>
        <w:t>commences a voluntary case under any applicable bankruptcy, insolvency or similar Law now or hereafter in effect, including the federal Bankruptcy Code, as from time to time amended; or applies for or consents to the entry of an order for relief in an involuntary case under any such Law; or makes a general assignment for the benefit of creditors; or fails generally to pay (or admits in writing its inability to pay) its debts as such debts become due; or takes corporate or other action to authorize any of the foregoing; or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22" w:name="page123"/>
    <w:bookmarkEnd w:id="122"/>
    <w:p>
      <w:pPr>
        <w:jc w:val="both"/>
        <w:ind w:left="640" w:firstLine="656"/>
        <w:spacing w:after="0" w:line="282" w:lineRule="auto"/>
        <w:tabs>
          <w:tab w:leader="none" w:pos="1963" w:val="left"/>
        </w:tabs>
        <w:numPr>
          <w:ilvl w:val="1"/>
          <w:numId w:val="96"/>
        </w:numPr>
        <w:rPr>
          <w:rFonts w:ascii="Arial" w:cs="Arial" w:eastAsia="Arial" w:hAnsi="Arial"/>
          <w:sz w:val="19"/>
          <w:szCs w:val="19"/>
          <w:color w:val="auto"/>
        </w:rPr>
      </w:pPr>
      <w:r>
        <w:rPr>
          <w:rFonts w:ascii="Arial" w:cs="Arial" w:eastAsia="Arial" w:hAnsi="Arial"/>
          <w:sz w:val="19"/>
          <w:szCs w:val="19"/>
          <w:color w:val="auto"/>
        </w:rPr>
        <w:t>suffers the appointment of or taking possession by a receiver, liquidator, assignee, custodian, trustee, sequestrator or similar official of all or a substantial part of its assets or of any part of the Collateral in a proceeding brought against or initiated by it, and such appointment or taking possession is neither made ineffective nor discharged within sixty (60) days after the making thereof, or such appointment or taking possession is at any time consented to, requested by, or acquiesced to by it; or</w:t>
      </w:r>
    </w:p>
    <w:p>
      <w:pPr>
        <w:spacing w:after="0" w:line="148" w:lineRule="exact"/>
        <w:rPr>
          <w:rFonts w:ascii="Arial" w:cs="Arial" w:eastAsia="Arial" w:hAnsi="Arial"/>
          <w:sz w:val="19"/>
          <w:szCs w:val="19"/>
          <w:color w:val="auto"/>
        </w:rPr>
      </w:pPr>
    </w:p>
    <w:p>
      <w:pPr>
        <w:jc w:val="both"/>
        <w:ind w:left="640" w:firstLine="656"/>
        <w:spacing w:after="0" w:line="287" w:lineRule="auto"/>
        <w:tabs>
          <w:tab w:leader="none" w:pos="2208" w:val="left"/>
        </w:tabs>
        <w:numPr>
          <w:ilvl w:val="1"/>
          <w:numId w:val="96"/>
        </w:numPr>
        <w:rPr>
          <w:rFonts w:ascii="Arial" w:cs="Arial" w:eastAsia="Arial" w:hAnsi="Arial"/>
          <w:sz w:val="19"/>
          <w:szCs w:val="19"/>
          <w:color w:val="auto"/>
        </w:rPr>
      </w:pPr>
      <w:r>
        <w:rPr>
          <w:rFonts w:ascii="Arial" w:cs="Arial" w:eastAsia="Arial" w:hAnsi="Arial"/>
          <w:sz w:val="19"/>
          <w:szCs w:val="19"/>
          <w:color w:val="auto"/>
        </w:rPr>
        <w:t>suffers the entry against it of a final judgment for the payment of money in excess of $10,000,000 (not covered by insurance satisfactory to Agent in its reasonable discretion), unless the same is discharged within forty-five (45) days after the date of entry thereof or an appeal or appropriate proceeding for review thereof is taken within such period and a stay of execution pending such appeal is obtained; or</w:t>
      </w:r>
    </w:p>
    <w:p>
      <w:pPr>
        <w:spacing w:after="0" w:line="143" w:lineRule="exact"/>
        <w:rPr>
          <w:rFonts w:ascii="Arial" w:cs="Arial" w:eastAsia="Arial" w:hAnsi="Arial"/>
          <w:sz w:val="19"/>
          <w:szCs w:val="19"/>
          <w:color w:val="auto"/>
        </w:rPr>
      </w:pPr>
    </w:p>
    <w:p>
      <w:pPr>
        <w:jc w:val="both"/>
        <w:ind w:left="640" w:firstLine="656"/>
        <w:spacing w:after="0" w:line="238" w:lineRule="auto"/>
        <w:tabs>
          <w:tab w:leader="none" w:pos="2067" w:val="left"/>
        </w:tabs>
        <w:numPr>
          <w:ilvl w:val="1"/>
          <w:numId w:val="96"/>
        </w:numPr>
        <w:rPr>
          <w:rFonts w:ascii="Arial" w:cs="Arial" w:eastAsia="Arial" w:hAnsi="Arial"/>
          <w:sz w:val="22"/>
          <w:szCs w:val="22"/>
          <w:color w:val="auto"/>
        </w:rPr>
      </w:pPr>
      <w:r>
        <w:rPr>
          <w:rFonts w:ascii="Arial" w:cs="Arial" w:eastAsia="Arial" w:hAnsi="Arial"/>
          <w:sz w:val="22"/>
          <w:szCs w:val="22"/>
          <w:color w:val="auto"/>
        </w:rPr>
        <w:t>suffers a writ or warrant of attachment or any similar process to be issued by any Tribunal against all or any substantial part of its assets or any part of the Collateral, and such writ or warrant of attachment or any similar process is not stayed or released within forty-five (45) days after the entry or levy thereof or after any stay is vacated or set aside;</w:t>
      </w:r>
    </w:p>
    <w:p>
      <w:pPr>
        <w:spacing w:after="0" w:line="185" w:lineRule="exact"/>
        <w:rPr>
          <w:rFonts w:ascii="Arial" w:cs="Arial" w:eastAsia="Arial" w:hAnsi="Arial"/>
          <w:sz w:val="22"/>
          <w:szCs w:val="22"/>
          <w:color w:val="auto"/>
        </w:rPr>
      </w:pPr>
    </w:p>
    <w:p>
      <w:pPr>
        <w:ind w:left="1340" w:hanging="692"/>
        <w:spacing w:after="0"/>
        <w:tabs>
          <w:tab w:leader="none" w:pos="134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Change of Control occurs;</w:t>
      </w:r>
    </w:p>
    <w:p>
      <w:pPr>
        <w:spacing w:after="0" w:line="206" w:lineRule="exact"/>
        <w:rPr>
          <w:rFonts w:ascii="Arial" w:cs="Arial" w:eastAsia="Arial" w:hAnsi="Arial"/>
          <w:sz w:val="22"/>
          <w:szCs w:val="22"/>
          <w:color w:val="auto"/>
        </w:rPr>
      </w:pPr>
    </w:p>
    <w:p>
      <w:pPr>
        <w:jc w:val="both"/>
        <w:ind w:firstLine="648"/>
        <w:spacing w:after="0"/>
        <w:tabs>
          <w:tab w:leader="none" w:pos="1406"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occurrence of an event of default under any document to which any Restricted Person and any surety are both parties that, with the passage of time, would permit foreclosure by such surety on a material portion of the Collateral.</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Upon the occurrence of an Event of Default described in subsection (j)(i), (j)(ii) or (j)(iii) of this Section with respect to Borrower, all of the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 Upon any such acceleration, any obligation of any Lender and any obligation of LC Issuer to issue Letters of Credit hereunder to make any further Loans shall be permanently terminated. During the continuance of any other Event of Default, Agent at any time and from time to time may (and upon written instructions from Required Lenders, Agent shall), without notice to Borrower or any other Restricted Person, do either or both of the following: (1) terminate any obligation of Lenders to make Loans hereunder, and any obligation of LC Issuer to issue Letters of Credit hereunder, and (2) declare any or all of the Obligations immediately due and payable, and all such Obligations shall thereupon be immediately due and payable, without demand, presentment, notice of demand or of dishonor and nonpayment, protest, notice of protest, notice of intention to accelerate, declaration or notice of acceleration, or any other notice or declaration of any kind, all of which are hereby expressly waived by Borrower and each Restricted Person who at any time ratifies or approves this Agreement.</w:t>
      </w:r>
    </w:p>
    <w:p>
      <w:pPr>
        <w:spacing w:after="0" w:line="16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8.2 </w:t>
      </w:r>
      <w:r>
        <w:rPr>
          <w:rFonts w:ascii="Arial" w:cs="Arial" w:eastAsia="Arial" w:hAnsi="Arial"/>
          <w:sz w:val="22"/>
          <w:szCs w:val="22"/>
          <w:u w:val="single" w:color="auto"/>
          <w:color w:val="auto"/>
        </w:rPr>
        <w:t>Remedies</w:t>
      </w:r>
      <w:r>
        <w:rPr>
          <w:rFonts w:ascii="Arial" w:cs="Arial" w:eastAsia="Arial" w:hAnsi="Arial"/>
          <w:sz w:val="22"/>
          <w:szCs w:val="22"/>
          <w:color w:val="auto"/>
        </w:rPr>
        <w:t>. If any Event of Default shall occur and be continuing, each Lender Party may terminate its Revolving Loan Commitment and protect and enforce its rights under the Loan Documents by any appropriate proceedings, including proceedings for specific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3" w:name="page124"/>
    <w:bookmarkEnd w:id="123"/>
    <w:p>
      <w:pPr>
        <w:jc w:val="both"/>
        <w:spacing w:after="0" w:line="234" w:lineRule="auto"/>
        <w:rPr>
          <w:sz w:val="20"/>
          <w:szCs w:val="20"/>
          <w:color w:val="auto"/>
        </w:rPr>
      </w:pPr>
      <w:r>
        <w:rPr>
          <w:rFonts w:ascii="Arial" w:cs="Arial" w:eastAsia="Arial" w:hAnsi="Arial"/>
          <w:sz w:val="22"/>
          <w:szCs w:val="22"/>
          <w:color w:val="auto"/>
        </w:rPr>
        <w:t>performance of any covenant or agreement contained in any Loan Document, and each Lender Party may enforce the payment of any Obligations due it or enforce any other legal or equitable right which it may have. All rights, remedies and powers conferred upon Lender Parties under the Loan Documents shall be deemed cumulative and not exclusive of any other rights, remedies or powers available under the Loan Documents or at Law or in equity. Notwithstanding the foregoing, the right to credit bid the Obligations in connection with any foreclosure sale or sale in a bankruptcy proceeding may only be exercised by the Administrative Agent acting at the direction of the Required Lenders unless the Required Lenders agree that a Lender may credit bid its Obligations in connection with such a sale.</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8.3 </w:t>
      </w:r>
      <w:r>
        <w:rPr>
          <w:rFonts w:ascii="Arial" w:cs="Arial" w:eastAsia="Arial" w:hAnsi="Arial"/>
          <w:sz w:val="22"/>
          <w:szCs w:val="22"/>
          <w:u w:val="single" w:color="auto"/>
          <w:color w:val="auto"/>
        </w:rPr>
        <w:t>Application of Proceeds after Acceleration</w:t>
      </w:r>
      <w:r>
        <w:rPr>
          <w:rFonts w:ascii="Arial" w:cs="Arial" w:eastAsia="Arial" w:hAnsi="Arial"/>
          <w:sz w:val="22"/>
          <w:szCs w:val="22"/>
          <w:color w:val="auto"/>
        </w:rPr>
        <w:t xml:space="preserve">. Except as otherwise provided in the Security Documents with respect to application of proceeds to any reimbursements due Agent thereunder and to the Lender Hedging Obligations, if Agent collects or receives money on account of the Secured Obligations after the acceleration of the Secured Obligations as provided in </w:t>
      </w:r>
      <w:r>
        <w:rPr>
          <w:rFonts w:ascii="Arial" w:cs="Arial" w:eastAsia="Arial" w:hAnsi="Arial"/>
          <w:sz w:val="22"/>
          <w:szCs w:val="22"/>
          <w:u w:val="single" w:color="auto"/>
          <w:color w:val="auto"/>
        </w:rPr>
        <w:t>Section 8.1</w:t>
      </w:r>
      <w:r>
        <w:rPr>
          <w:rFonts w:ascii="Arial" w:cs="Arial" w:eastAsia="Arial" w:hAnsi="Arial"/>
          <w:sz w:val="22"/>
          <w:szCs w:val="22"/>
          <w:color w:val="auto"/>
        </w:rPr>
        <w:t>, Agent shall distribute all money so collected or received:</w:t>
      </w:r>
    </w:p>
    <w:p>
      <w:pPr>
        <w:spacing w:after="0" w:line="188" w:lineRule="exact"/>
        <w:rPr>
          <w:sz w:val="20"/>
          <w:szCs w:val="20"/>
          <w:color w:val="auto"/>
        </w:rPr>
      </w:pPr>
    </w:p>
    <w:p>
      <w:pPr>
        <w:ind w:firstLine="648"/>
        <w:spacing w:after="0" w:line="251" w:lineRule="auto"/>
        <w:tabs>
          <w:tab w:leader="none" w:pos="137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payment of that portion of the Secured Obligations constituting fees, indemnities, expenses and other amounts, including attorney fees, payable to Agent in its capacity as such;</w:t>
      </w:r>
    </w:p>
    <w:p>
      <w:pPr>
        <w:spacing w:after="0" w:line="173" w:lineRule="exact"/>
        <w:rPr>
          <w:rFonts w:ascii="Arial" w:cs="Arial" w:eastAsia="Arial" w:hAnsi="Arial"/>
          <w:sz w:val="22"/>
          <w:szCs w:val="22"/>
          <w:color w:val="auto"/>
        </w:rPr>
      </w:pPr>
    </w:p>
    <w:p>
      <w:pPr>
        <w:jc w:val="both"/>
        <w:ind w:firstLine="648"/>
        <w:spacing w:after="0" w:line="249" w:lineRule="auto"/>
        <w:tabs>
          <w:tab w:leader="none" w:pos="163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Second</w:t>
      </w:r>
      <w:r>
        <w:rPr>
          <w:rFonts w:ascii="Arial" w:cs="Arial" w:eastAsia="Arial" w:hAnsi="Arial"/>
          <w:sz w:val="21"/>
          <w:szCs w:val="21"/>
          <w:color w:val="auto"/>
        </w:rPr>
        <w:t xml:space="preserve">, to payment of that portion of the Secured Obligations constituting fees (other than Commitment Fees and Letter of Credit fees payable to the Lenders), indemnities and other amounts (other than principal and interest) payable to the Lenders, the LC Issuer and the Swingline Lender under the Loan Documents, including attorney fees, ratably among the Lenders, the LC Issuer and the Swingline Lender in proportion to the respective amounts described in this clause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payable to them;</w:t>
      </w:r>
    </w:p>
    <w:p>
      <w:pPr>
        <w:spacing w:after="0" w:line="178" w:lineRule="exact"/>
        <w:rPr>
          <w:rFonts w:ascii="Arial" w:cs="Arial" w:eastAsia="Arial" w:hAnsi="Arial"/>
          <w:sz w:val="21"/>
          <w:szCs w:val="21"/>
          <w:color w:val="auto"/>
        </w:rPr>
      </w:pPr>
    </w:p>
    <w:p>
      <w:pPr>
        <w:jc w:val="both"/>
        <w:ind w:firstLine="648"/>
        <w:spacing w:after="0" w:line="238" w:lineRule="auto"/>
        <w:tabs>
          <w:tab w:leader="none" w:pos="159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xml:space="preserve">, to payment of that portion of the Secured Obligations constituting accrued and unpaid Commitment Fees, Letter of Credit fees payable to the Lenders and interest on the Loans and Matured LC Obligations, ratably among the Lenders, the LC Issuer and the Swingline Lender in proportion to the respective amounts described in this clause </w:t>
      </w:r>
      <w:r>
        <w:rPr>
          <w:rFonts w:ascii="Arial" w:cs="Arial" w:eastAsia="Arial" w:hAnsi="Arial"/>
          <w:sz w:val="22"/>
          <w:szCs w:val="22"/>
          <w:u w:val="single" w:color="auto"/>
          <w:color w:val="auto"/>
        </w:rPr>
        <w:t>Third</w:t>
      </w:r>
      <w:r>
        <w:rPr>
          <w:rFonts w:ascii="Arial" w:cs="Arial" w:eastAsia="Arial" w:hAnsi="Arial"/>
          <w:sz w:val="22"/>
          <w:szCs w:val="22"/>
          <w:color w:val="auto"/>
        </w:rPr>
        <w:t xml:space="preserve"> payable to them;</w:t>
      </w:r>
    </w:p>
    <w:p>
      <w:pPr>
        <w:spacing w:after="0" w:line="185" w:lineRule="exact"/>
        <w:rPr>
          <w:rFonts w:ascii="Arial" w:cs="Arial" w:eastAsia="Arial" w:hAnsi="Arial"/>
          <w:sz w:val="22"/>
          <w:szCs w:val="22"/>
          <w:color w:val="auto"/>
        </w:rPr>
      </w:pPr>
    </w:p>
    <w:p>
      <w:pPr>
        <w:jc w:val="both"/>
        <w:ind w:firstLine="648"/>
        <w:spacing w:after="0" w:line="274" w:lineRule="auto"/>
        <w:tabs>
          <w:tab w:leader="none" w:pos="145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payment of that portion of the Secured Obligations constituting unpaid principal of the Loans, Matured LC Obligations and payment obligations then owing under Lender Hedging Obligations, ratably among the Lenders, the LC Issuer and the Secured Parties to whom such Lender Hedging Obligations are owed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payable to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Agent shall have no independent responsibility to determine the existence or amount of Lender Hedging Obligations and may reserve from the application of amounts under this Section amounts distributable in respect of Lender Hedging Obligations until it has received evidence satisfactory to it of the existence and amount of such Lender Hedging Obligations;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however, that Agent may rely on statements of the Secured Parties as to the existence and amounts of Lender Hedging Obligations owing to them;</w:t>
      </w:r>
    </w:p>
    <w:p>
      <w:pPr>
        <w:spacing w:after="0" w:line="158" w:lineRule="exact"/>
        <w:rPr>
          <w:rFonts w:ascii="Arial" w:cs="Arial" w:eastAsia="Arial" w:hAnsi="Arial"/>
          <w:sz w:val="19"/>
          <w:szCs w:val="19"/>
          <w:color w:val="auto"/>
        </w:rPr>
      </w:pPr>
    </w:p>
    <w:p>
      <w:pPr>
        <w:jc w:val="both"/>
        <w:ind w:firstLine="648"/>
        <w:spacing w:after="0" w:line="238" w:lineRule="auto"/>
        <w:tabs>
          <w:tab w:leader="none" w:pos="1401"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Fifth</w:t>
      </w:r>
      <w:r>
        <w:rPr>
          <w:rFonts w:ascii="Arial" w:cs="Arial" w:eastAsia="Arial" w:hAnsi="Arial"/>
          <w:sz w:val="22"/>
          <w:szCs w:val="22"/>
          <w:color w:val="auto"/>
        </w:rPr>
        <w:t xml:space="preserve">, to the payment of that portion of the Secured Obligations constituting Lender Bank Services Obligations, ratably among the Secured Parties to whom such Secured Obligations are owed;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Agent shall have no independent responsibility to determine the existence or amount of Lender Bank Services Obligations and may reserve from the application of amounts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4" w:name="page125"/>
    <w:bookmarkEnd w:id="124"/>
    <w:p>
      <w:pPr>
        <w:jc w:val="both"/>
        <w:spacing w:after="0" w:line="238" w:lineRule="auto"/>
        <w:rPr>
          <w:sz w:val="20"/>
          <w:szCs w:val="20"/>
          <w:color w:val="auto"/>
        </w:rPr>
      </w:pPr>
      <w:r>
        <w:rPr>
          <w:rFonts w:ascii="Arial" w:cs="Arial" w:eastAsia="Arial" w:hAnsi="Arial"/>
          <w:sz w:val="22"/>
          <w:szCs w:val="22"/>
          <w:color w:val="auto"/>
        </w:rPr>
        <w:t xml:space="preserve">under this Section amounts distributable in respect of Lender Bank Services Obligations until it has received evidence satisfactory to it of the existence and amount of such Lender Bank Services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however, that Agent may rely on statements of the Secured Parties as to the existence and amounts of Lender Bank Services Obligations owing to them;</w:t>
      </w:r>
    </w:p>
    <w:p>
      <w:pPr>
        <w:spacing w:after="0" w:line="186" w:lineRule="exact"/>
        <w:rPr>
          <w:sz w:val="20"/>
          <w:szCs w:val="20"/>
          <w:color w:val="auto"/>
        </w:rPr>
      </w:pPr>
    </w:p>
    <w:p>
      <w:pPr>
        <w:ind w:left="1520" w:hanging="872"/>
        <w:spacing w:after="0"/>
        <w:tabs>
          <w:tab w:leader="none" w:pos="152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Sixth</w:t>
      </w:r>
      <w:r>
        <w:rPr>
          <w:rFonts w:ascii="Arial" w:cs="Arial" w:eastAsia="Arial" w:hAnsi="Arial"/>
          <w:sz w:val="19"/>
          <w:szCs w:val="19"/>
          <w:color w:val="auto"/>
        </w:rPr>
        <w:t>, to Agent for the account of the LC Issuer to cash collateralize any LC Obligations then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outstanding; and</w:t>
      </w:r>
    </w:p>
    <w:p>
      <w:pPr>
        <w:spacing w:after="0" w:line="188" w:lineRule="exact"/>
        <w:rPr>
          <w:rFonts w:ascii="Arial" w:cs="Arial" w:eastAsia="Arial" w:hAnsi="Arial"/>
          <w:sz w:val="19"/>
          <w:szCs w:val="19"/>
          <w:color w:val="auto"/>
        </w:rPr>
      </w:pPr>
    </w:p>
    <w:p>
      <w:pPr>
        <w:ind w:firstLine="648"/>
        <w:spacing w:after="0" w:line="251" w:lineRule="auto"/>
        <w:tabs>
          <w:tab w:leader="none" w:pos="14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Secured Obligations have been indefeasibly paid in full, to Borrower or as otherwise required by Law.</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the above, Excluded Swap Obligations with respect to any Guarantor that is not an “eligible contract participant” as defined in the Commodity Exchange Act and the regulations thereunder shall not be paid with amounts received from such Guarantor or its assets, but appropriate adjustments shall be made with respect to payments from other Restricted Persons to preserve the allocation to Lender Hedging Obligations otherwise set forth above in this Section.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AGENT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9.1 </w:t>
      </w:r>
      <w:r>
        <w:rPr>
          <w:rFonts w:ascii="Arial" w:cs="Arial" w:eastAsia="Arial" w:hAnsi="Arial"/>
          <w:sz w:val="19"/>
          <w:szCs w:val="19"/>
          <w:u w:val="single" w:color="auto"/>
          <w:color w:val="auto"/>
        </w:rPr>
        <w:t>Appointment and Authority</w:t>
      </w:r>
      <w:r>
        <w:rPr>
          <w:rFonts w:ascii="Arial" w:cs="Arial" w:eastAsia="Arial" w:hAnsi="Arial"/>
          <w:sz w:val="19"/>
          <w:szCs w:val="19"/>
          <w:color w:val="auto"/>
        </w:rPr>
        <w:t>. Each Lender Party hereby irrevocably authorizes Agent, and Agent hereby undertakes, to receive payments of principal, interest and other amounts due hereunder as specified herein and to take all other actions and to exercise such powers under the Loan Documents as are specifically delegated to Agent by the terms hereof or thereof, together with all other powers reasonably incidental thereto. The relationship of Agent to the other Lender Parties is only that of one commercial lender acting as Agent for others, and nothing in the Loan Documents shall be construed to constitute Agent a trustee or other fiduciary for any Lender Party or any holder of any participation in a Note nor to impose on Agent duties and obligations other than those expressly provided for in the Loan Documents. With respect to any matters not expressly provided for in the Loan Documents and any matters which the Loan Documents place within the discretion of Agent, Agent shall not be required to exercise any discretion or take any action, and it may request instructions from Lenders with respect to any such matter, in which case it shall be required to act or to refrain from acting (and shall be fully protected and free from liability to all Lender Parties in so acting or refraining from acting) upon the instructions of Required Lenders (including itself), provided, however, that Agent shall not be required to take any action which exposes it to a risk of personal liability that it considers unreasonable or which is contrary to the Loan Documents or to applicable Law.</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Exculpation, Agent’s Reliance, Etc</w:t>
      </w:r>
      <w:r>
        <w:rPr>
          <w:rFonts w:ascii="Arial" w:cs="Arial" w:eastAsia="Arial" w:hAnsi="Arial"/>
          <w:sz w:val="19"/>
          <w:szCs w:val="19"/>
          <w:color w:val="auto"/>
        </w:rPr>
        <w:t xml:space="preserve">. Neither Agent nor any of its directors, officers, Agents, attorneys, or employees shall be liable for any action taken or omitted to be taken by any of them under or in connection with the Loan Documents, including their negligence of any kind, except that each shall be liable for its own gross negligence or willful misconduct. Without limiting the generality of the foregoing, Agent (a) shall treat the Person whose name is set forth on the Register as the holder of any Obligation as the holder thereof until Agent receives written notice of the assignment or transfer thereof in accordance with this Agreement, signed by such Person and in the form required under </w:t>
      </w:r>
      <w:r>
        <w:rPr>
          <w:rFonts w:ascii="Arial" w:cs="Arial" w:eastAsia="Arial" w:hAnsi="Arial"/>
          <w:sz w:val="19"/>
          <w:szCs w:val="19"/>
          <w:u w:val="single" w:color="auto"/>
          <w:color w:val="auto"/>
        </w:rPr>
        <w:t>Section 10.5(c)</w:t>
      </w:r>
      <w:r>
        <w:rPr>
          <w:rFonts w:ascii="Arial" w:cs="Arial" w:eastAsia="Arial" w:hAnsi="Arial"/>
          <w:sz w:val="19"/>
          <w:szCs w:val="19"/>
          <w:color w:val="auto"/>
        </w:rPr>
        <w:t xml:space="preserve"> and in form satisfactory to Agent; (b) may consult with legal counsel (including counsel for Borrower), independent public accountants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5" w:name="page126"/>
    <w:bookmarkEnd w:id="125"/>
    <w:p>
      <w:pPr>
        <w:jc w:val="both"/>
        <w:spacing w:after="0" w:line="272" w:lineRule="auto"/>
        <w:rPr>
          <w:sz w:val="20"/>
          <w:szCs w:val="20"/>
          <w:color w:val="auto"/>
        </w:rPr>
      </w:pPr>
      <w:r>
        <w:rPr>
          <w:rFonts w:ascii="Arial" w:cs="Arial" w:eastAsia="Arial" w:hAnsi="Arial"/>
          <w:sz w:val="19"/>
          <w:szCs w:val="19"/>
          <w:color w:val="auto"/>
        </w:rPr>
        <w:t>and other experts selected by it and shall not be liable for any action taken or omitted to be taken in good faith by it in accordance with the advice of such counsel, accountants or experts; (c) makes no warranty or representation to any other Lender and shall not be responsible to any other Lender Party for any statements, warranties or representations made in or in connection with the Loan Documents; (d) shall not have any duty to ascertain or to inquire as to the performance or observance of any of the terms, covenants or conditions of the Loan Documents on the part of any Restricted Person or to inspect the property (including the books and records) of any Restricted Person; (e) shall not be responsible to any other Lender for the due execution, legality, validity, enforceability, genuineness, sufficiency or value of any Loan Document or any instrument or document furnished in connection therewith; (f) may rely upon the representations and warranties of each Restricted Person or Lender Party in exercising its powers hereunder; and (g) shall incur no liability under or in respect of the Loan Documents by acting upon any notice, consent, certificate or other instrument or writing (including any facsimile, telegram, cable or telex) believed by it to be genuine and signed or sent by the proper Person or Persons.</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 xml:space="preserve">Section 9.3 </w:t>
      </w:r>
      <w:r>
        <w:rPr>
          <w:rFonts w:ascii="Arial" w:cs="Arial" w:eastAsia="Arial" w:hAnsi="Arial"/>
          <w:sz w:val="21"/>
          <w:szCs w:val="21"/>
          <w:u w:val="single" w:color="auto"/>
          <w:color w:val="auto"/>
        </w:rPr>
        <w:t>Credit Decisions</w:t>
      </w:r>
      <w:r>
        <w:rPr>
          <w:rFonts w:ascii="Arial" w:cs="Arial" w:eastAsia="Arial" w:hAnsi="Arial"/>
          <w:sz w:val="21"/>
          <w:szCs w:val="21"/>
          <w:color w:val="auto"/>
        </w:rPr>
        <w:t>. Each Lender Party acknowledges that it has, independently and without reliance upon any other Lender Party, made its own analysis of Borrower and the transactions contemplated hereby and its own independent decision to enter into this Agreement and the other Loan Documents. Each Lender Party also acknowledges that it will, independently and without reliance upon any other Lender Party and based on such documents and information as it shall deem appropriate at the time, continue to make its own credit decisions in taking or not taking action under the Loan Documents.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9.4 </w:t>
      </w:r>
      <w:r>
        <w:rPr>
          <w:rFonts w:ascii="Arial" w:cs="Arial" w:eastAsia="Arial" w:hAnsi="Arial"/>
          <w:sz w:val="19"/>
          <w:szCs w:val="19"/>
          <w:u w:val="single" w:color="auto"/>
          <w:color w:val="auto"/>
        </w:rPr>
        <w:t>Indemnification</w:t>
      </w:r>
      <w:r>
        <w:rPr>
          <w:rFonts w:ascii="Arial" w:cs="Arial" w:eastAsia="Arial" w:hAnsi="Arial"/>
          <w:sz w:val="19"/>
          <w:szCs w:val="19"/>
          <w:color w:val="auto"/>
        </w:rPr>
        <w:t>. Each Lender agrees to indemnify Agent (to the extent not reimbursed by Borrower within ten (10) days after demand) from and against such Lender’s Percentage Share of any and all liabilities, obligations,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Agent growing out of, resulting from or in any other way associated with any of the Collateral, the Loan Documents and the transactions and events (including the enforcement thereof) at any time associated therewith or contemplated therein (whether arising in contract or in tort and otherwise and including any violation or noncompliance with any Environmental Laws by any Person or any liabilities or duties of any Person with respect to Hazardous Materials found in or released into the environment).</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THE FOREGOING INDEMNIFICATION SHALL APPLY WHETHER OR NOT SUCH LIABILITIES AND COSTS ARE IN ANY WAY OR TO ANY EXTENT OWED, IN WHOLE OR IN PART, UNDER ANY CLAIM OR THEORY OF STRICT LIABILITY, OR ARE CAUSED, IN WHOLE OR IN PART, BY ANY NEGLIGENT ACT OR OMISSION OF ANY KIND BY AGENT,</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only that no Lender shall be obligated under this Section to indemnify Agent for that portion, if any, of any liabilities and costs which is proximately caused by Agent’s own individual gross negligence or willful misconduct, as determined by a court of competent jurisdiction in a final and nonappealable judgment. Cumulative of the foregoing, each Lender agrees to reimburse Agent promptly upon demand for such Lender’s Percentage Share of any costs and expenses to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6" w:name="page127"/>
    <w:bookmarkEnd w:id="126"/>
    <w:p>
      <w:pPr>
        <w:jc w:val="both"/>
        <w:spacing w:after="0" w:line="238" w:lineRule="auto"/>
        <w:rPr>
          <w:sz w:val="20"/>
          <w:szCs w:val="20"/>
          <w:color w:val="auto"/>
        </w:rPr>
      </w:pPr>
      <w:r>
        <w:rPr>
          <w:rFonts w:ascii="Arial" w:cs="Arial" w:eastAsia="Arial" w:hAnsi="Arial"/>
          <w:sz w:val="22"/>
          <w:szCs w:val="22"/>
          <w:color w:val="auto"/>
        </w:rPr>
        <w:t xml:space="preserve">paid to Agent by Borrower under </w:t>
      </w:r>
      <w:r>
        <w:rPr>
          <w:rFonts w:ascii="Arial" w:cs="Arial" w:eastAsia="Arial" w:hAnsi="Arial"/>
          <w:sz w:val="22"/>
          <w:szCs w:val="22"/>
          <w:u w:val="single" w:color="auto"/>
          <w:color w:val="auto"/>
        </w:rPr>
        <w:t>Section 10.4(a)</w:t>
      </w:r>
      <w:r>
        <w:rPr>
          <w:rFonts w:ascii="Arial" w:cs="Arial" w:eastAsia="Arial" w:hAnsi="Arial"/>
          <w:sz w:val="22"/>
          <w:szCs w:val="22"/>
          <w:color w:val="auto"/>
        </w:rPr>
        <w:t xml:space="preserve"> to the extent that Agent is not timely reimbursed for such expenses by Borrower as provided in such Section. As used in this Section the term “Agent” shall refer not only to the Person designated as such in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but also to each director, officer, Agent, attorney, employee, representative and Affiliate of such Person.</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Section 9.5 </w:t>
      </w:r>
      <w:r>
        <w:rPr>
          <w:rFonts w:ascii="Arial" w:cs="Arial" w:eastAsia="Arial" w:hAnsi="Arial"/>
          <w:sz w:val="22"/>
          <w:szCs w:val="22"/>
          <w:u w:val="single" w:color="auto"/>
          <w:color w:val="auto"/>
        </w:rPr>
        <w:t>Rights as Lender</w:t>
      </w:r>
      <w:r>
        <w:rPr>
          <w:rFonts w:ascii="Arial" w:cs="Arial" w:eastAsia="Arial" w:hAnsi="Arial"/>
          <w:sz w:val="22"/>
          <w:szCs w:val="22"/>
          <w:color w:val="auto"/>
        </w:rPr>
        <w:t>. In its capacity as a Lender, Agent shall have the same rights and obligations as any Lender and may exercise such rights as though it were not Agent. Agent may accept deposits from, lend money to, act as trustee under indentures of, and generally engage in any kind of business with any Restricted Person or their Affiliates, all as if it were not Agent hereunder and without any duty to account therefor to any other Lender.</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9.6 </w:t>
      </w:r>
      <w:r>
        <w:rPr>
          <w:rFonts w:ascii="Arial" w:cs="Arial" w:eastAsia="Arial" w:hAnsi="Arial"/>
          <w:sz w:val="19"/>
          <w:szCs w:val="19"/>
          <w:u w:val="single" w:color="auto"/>
          <w:color w:val="auto"/>
        </w:rPr>
        <w:t>Sharing of Set-Offs and Other Payments</w:t>
      </w:r>
      <w:r>
        <w:rPr>
          <w:rFonts w:ascii="Arial" w:cs="Arial" w:eastAsia="Arial" w:hAnsi="Arial"/>
          <w:sz w:val="19"/>
          <w:szCs w:val="19"/>
          <w:color w:val="auto"/>
        </w:rPr>
        <w:t xml:space="preserve">. Each Lender Party agrees that if it shall, whether through the exercise of rights under Security Documents or rights of banker’s lien, set off, or counterclaim against Borrower or otherwise, obtain payment of a portion of the aggregate Obligations owed to it which, taking into account all distributions made by Agent under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causes such Lender Party to have received more than it would have received had such payment been received by Agent and distributed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then (a) it shall be deemed to have simultaneously purchased and shall be obligated to purchase interests in the Obligations as necessary to cause all Lender Parties to share all payments as provided for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and (b) such other adjustments shall be made from time to time as shall be equitable to ensure that Agent and all Lender Parties share all payments of Obligations as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nothing herein contained shall in any way affect the right of any Lender Party to obtain payment (whether by exercise of rights of banker’s lien, set-off or counterclaim or otherwise) of indebtedness other than the Obligations. Borrower expressly consents to the foregoing arrangements and agrees that any holder of any such interest or other participation in the Obligations, whether or not acquired pursuant to the foregoing arrangements, may to the fullest extent permitted by Law exercise any and all rights of banker’s lien, set-off, or counterclaim as fully as if such holder were a holder of the Obligations in the amount of such interest or other participation. If all or any part of any funds transferred pursuant to this Section is thereafter recovered from the seller under this Section which received the same, the purchase provided for in this Section shall be deemed to have been rescinded to the extent of such recovery, together with interest, if any, if interest is required pursuant to the order of a Tribunal order to be paid on account of the possession of such funds prior to such recovery.</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Section 9.7 </w:t>
      </w:r>
      <w:r>
        <w:rPr>
          <w:rFonts w:ascii="Arial" w:cs="Arial" w:eastAsia="Arial" w:hAnsi="Arial"/>
          <w:sz w:val="19"/>
          <w:szCs w:val="19"/>
          <w:u w:val="single" w:color="auto"/>
          <w:color w:val="auto"/>
        </w:rPr>
        <w:t>Investments</w:t>
      </w:r>
      <w:r>
        <w:rPr>
          <w:rFonts w:ascii="Arial" w:cs="Arial" w:eastAsia="Arial" w:hAnsi="Arial"/>
          <w:sz w:val="19"/>
          <w:szCs w:val="19"/>
          <w:color w:val="auto"/>
        </w:rPr>
        <w:t>. Whenever Agent in good faith determines that it is uncertain about how to distribute to Lender Parties any funds which it has received, or whenever Agent in good faith determines that there is any dispute among Lender Parties about how such funds should be distributed, Agent may choose to defer distribution of the funds which are the subject of such uncertainty or dispute. If Agent in good faith believes that the uncertainty or dispute will not be promptly resolved, or if Agent is otherwise required to invest funds pending distribution to Lender Parties, Agent shall invest such funds pending distribution; all interest on any such Investment shall be distributed upon the distribution of such Investment and in the same proportion and to the same Persons as such Investment. All monies received by Agent for distribution to Lender Parties (other than to the Person who is Agent in its separate capacity as a Lender Party) shall be held by Agent pending such distribution solely as Agent for such Lender Parties, and Agent shall have no equitable title to any portion thereof.</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7" w:name="page128"/>
    <w:bookmarkEnd w:id="127"/>
    <w:p>
      <w:pPr>
        <w:jc w:val="both"/>
        <w:ind w:firstLine="648"/>
        <w:spacing w:after="0" w:line="287" w:lineRule="auto"/>
        <w:rPr>
          <w:sz w:val="20"/>
          <w:szCs w:val="20"/>
          <w:color w:val="auto"/>
        </w:rPr>
      </w:pPr>
      <w:r>
        <w:rPr>
          <w:rFonts w:ascii="Arial" w:cs="Arial" w:eastAsia="Arial" w:hAnsi="Arial"/>
          <w:sz w:val="19"/>
          <w:szCs w:val="19"/>
          <w:color w:val="auto"/>
        </w:rPr>
        <w:t xml:space="preserve">Section 9.8 </w:t>
      </w:r>
      <w:r>
        <w:rPr>
          <w:rFonts w:ascii="Arial" w:cs="Arial" w:eastAsia="Arial" w:hAnsi="Arial"/>
          <w:sz w:val="19"/>
          <w:szCs w:val="19"/>
          <w:u w:val="single" w:color="auto"/>
          <w:color w:val="auto"/>
        </w:rPr>
        <w:t>Benefit of Article IX</w:t>
      </w:r>
      <w:r>
        <w:rPr>
          <w:rFonts w:ascii="Arial" w:cs="Arial" w:eastAsia="Arial" w:hAnsi="Arial"/>
          <w:sz w:val="19"/>
          <w:szCs w:val="19"/>
          <w:color w:val="auto"/>
        </w:rPr>
        <w:t xml:space="preserve">. The provisions of this Article (other than the following </w:t>
      </w:r>
      <w:r>
        <w:rPr>
          <w:rFonts w:ascii="Arial" w:cs="Arial" w:eastAsia="Arial" w:hAnsi="Arial"/>
          <w:sz w:val="19"/>
          <w:szCs w:val="19"/>
          <w:u w:val="single" w:color="auto"/>
          <w:color w:val="auto"/>
        </w:rPr>
        <w:t>Section 9.9</w:t>
      </w:r>
      <w:r>
        <w:rPr>
          <w:rFonts w:ascii="Arial" w:cs="Arial" w:eastAsia="Arial" w:hAnsi="Arial"/>
          <w:sz w:val="19"/>
          <w:szCs w:val="19"/>
          <w:color w:val="auto"/>
        </w:rPr>
        <w:t>) are intended solely for the benefit of Lender Parties, and no Restricted Person shall be entitled to rely on any such provision or assert any such provision in a claim or defense against any Lender. Lender Parties may waive or amend such provisions as they desire without any notice to or consent of Borrower or any Restricted Person.</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 xml:space="preserve">Section 9.9 </w:t>
      </w: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Agent may resign at any time by giving written notice thereof to Lenders and Borrower. Each such notice shall set forth the date of such resignation. Upon any such resignation, Required Lenders shall have the right to appoint (with, unless an Event of Default shall have occurred and be continuing, the consent of Borrower, such consent not to be unreasonably withheld or delayed) a successor Agent. A successor must be appointed for any retiring Agent, and such Agent’s resignation shall become effective when such successor accepts such appointment. If, within thirty days after the date of the retiring Agent’s resignation, no successor Agent has been appointed and has accepted such appointment, then the retiring Agent may appoint (with, unless an Event of Default shall have occurred and be continuing, the consent of Borrower, such consent not to be unreasonably withheld or delayed) a successor Agent, which shall be a commercial bank organized or licensed to conduct a banking or trust business under the Laws of the United States of America or of any state thereof. Upon the acceptance of any appointment as Agent hereunder by a successor Agent, the retiring Agent shall be discharged from its duties and obligations under this Agreement and the other Loan Documents. After any retiring Agent’s resignation hereunder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continue to inure to its benefit as to any actions taken or omitted to be taken by it while it was Agent under the Loan Documents.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Notice of Default</w:t>
      </w:r>
      <w:r>
        <w:rPr>
          <w:rFonts w:ascii="Arial" w:cs="Arial" w:eastAsia="Arial" w:hAnsi="Arial"/>
          <w:sz w:val="19"/>
          <w:szCs w:val="19"/>
          <w:color w:val="auto"/>
        </w:rPr>
        <w:t xml:space="preserve">. Agent shall not be deemed to have knowledge or notice of the occurrence of any Default, except with respect to defaults in the payment of principal, interest and fees required to be paid to Agent for the account of Lenders, unless Agent shall have received written notice from a Lender or Borrower referring to this Agreement, describing such Default and stating that such notice is a “notice of default.” Agent will notify Lenders of its receipt of any such notice. Agent shall take such action with respect to such Default as may be directed by Required Lenders in accordance with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unless and until Agent has received any such direction, Agent may (but shall not be obligated to) take such action, or refrain from taking such action, with respect to such Default as it shall deem advisable or in the best interest of Lenders.</w:t>
      </w:r>
    </w:p>
    <w:p>
      <w:pPr>
        <w:spacing w:after="0" w:line="15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Co-Agents</w:t>
      </w:r>
      <w:r>
        <w:rPr>
          <w:rFonts w:ascii="Arial" w:cs="Arial" w:eastAsia="Arial" w:hAnsi="Arial"/>
          <w:sz w:val="22"/>
          <w:szCs w:val="22"/>
          <w:color w:val="auto"/>
        </w:rPr>
        <w:t>. The Parties identified on the facing page of this Agreement as “Lead Arranger,” “Syndication Agent” or “Documentation Agent” have no right, power, obligation, liability, responsibility, or duty under the Loan Documents in such capacity. Without limiting the foregoing, each Party so identified as “Lead Arranger,” “Syndication Agent” or “Documentation Agent” shall not have and shall not be deemed to have any fiduciary relationship with any other Lender. Each Lender acknowledges that it has not relied, and will not rely, on taking or not taking action hereunder.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ARTICLE X</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88"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u w:val="single" w:color="auto"/>
          <w:color w:val="auto"/>
        </w:rPr>
        <w:t>Waivers and Amendments; Acknowledgments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68" w:lineRule="auto"/>
        <w:tabs>
          <w:tab w:leader="none" w:pos="1361"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No failure or delay (whether by course of conduct or otherwise) by any Lender in exercising any right, power or remedy which such Lender Party may have under any of the Loan Documents shall operate as a waiver thereof or of any other right, power or remedy, nor shall any single or partial exercise by any Lender Party of any such right, power or remedy preclude any other or further exercise thereof or of any other right, power or remedy. No waiver of any provision of any Loan Document and no consent to any departure therefrom shall ever be effective unless it is in writing and signed as provided below in this Section, and then such waiver or consent shall be effective only in the specific instances and for the purposes for which given and to the extent specified in such writing. No notice to or demand on any Restricted Person shall in any case of itself entitle any Restricted Person to any other or further notice or demand in similar or other circumstances. No waiver, consent, release, modification or amendment of or supplement to this Agreement or the other Loan Documents shall be valid or effective against any party hereto unless the same is in writing and signed by (i) if such party is Borrower, by Borrower, (ii) if such party is Agent or LC Issuer, by such party, and (iii) if such party is a Lender, subject to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by such Lender or by Agent on behalf of Lenders with the written consent of Required Lenders (which consent has already been given as to the termination of the Loan Documents as provided in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Notwithstanding the foregoing or anything to the contrary herein (except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to the extent applicable), Agent shall not, without the prior consent of each individual Lender, execute and deliver on behalf of such Lender any waiver or amendment which would (1) waive any of the conditions specified in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(provided that Agent may in its discretion withdraw any request it has made under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(2) increase the maximum amount which such Lender is committed hereunder to lend, (3) reduce any fees payable to such Lender hereunder, or the principal of, or interest on, such Lender’s Notes (provided that Agent and Borrower may, without the consent of any Lender, enter into amendments or modifications to this Agreement or any of the Loan Documents or enter into additional Loan Documents as Agent reasonably deems appropriate in order to implement any Replacement Rate or otherwise effectuate the terms of </w:t>
      </w:r>
      <w:r>
        <w:rPr>
          <w:rFonts w:ascii="Arial" w:cs="Arial" w:eastAsia="Arial" w:hAnsi="Arial"/>
          <w:sz w:val="19"/>
          <w:szCs w:val="19"/>
          <w:u w:val="single" w:color="auto"/>
          <w:color w:val="auto"/>
        </w:rPr>
        <w:t>Section 3.7(b)</w:t>
      </w:r>
      <w:r>
        <w:rPr>
          <w:rFonts w:ascii="Arial" w:cs="Arial" w:eastAsia="Arial" w:hAnsi="Arial"/>
          <w:sz w:val="19"/>
          <w:szCs w:val="19"/>
          <w:color w:val="auto"/>
        </w:rPr>
        <w:t xml:space="preserve"> in accordance with the terms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3.7(b)</w:t>
      </w:r>
      <w:r>
        <w:rPr>
          <w:rFonts w:ascii="Arial" w:cs="Arial" w:eastAsia="Arial" w:hAnsi="Arial"/>
          <w:sz w:val="19"/>
          <w:szCs w:val="19"/>
          <w:color w:val="auto"/>
        </w:rPr>
        <w:t xml:space="preserve">), (4) extend the Maturity Date, or postpone any date fixed for any payment of any such fees, principal or interest, (5) amend the definition herein of “Required Lenders” or otherwise change the aggregate amount of Percentage Shares which is required for Agent, Lenders or any of them to take any particular action under the Loan Documents, (6) release Borrower from its obligation to pay such Lender’s Obligations or any Guarantor (other than a Guarantor which ceases to be a Subsidiary pursuant to a sale or other disposition permitted by the Loan Documents) from its guaranty of such payment or (7) release all or substantially all of the Collateral, except for such releases relating to sales or dispositions of property permitted by the Loan Documents, or (8) amend this </w:t>
      </w:r>
      <w:r>
        <w:rPr>
          <w:rFonts w:ascii="Arial" w:cs="Arial" w:eastAsia="Arial" w:hAnsi="Arial"/>
          <w:sz w:val="19"/>
          <w:szCs w:val="19"/>
          <w:u w:val="single" w:color="auto"/>
          <w:color w:val="auto"/>
        </w:rPr>
        <w:t>Section 10.1(a)</w:t>
      </w:r>
      <w:r>
        <w:rPr>
          <w:rFonts w:ascii="Arial" w:cs="Arial" w:eastAsia="Arial" w:hAnsi="Arial"/>
          <w:sz w:val="19"/>
          <w:szCs w:val="19"/>
          <w:color w:val="auto"/>
        </w:rPr>
        <w:t xml:space="preserve">. Notwithstanding the foregoing or anything to the contrary herein (except </w:t>
      </w:r>
      <w:r>
        <w:rPr>
          <w:rFonts w:ascii="Arial" w:cs="Arial" w:eastAsia="Arial" w:hAnsi="Arial"/>
          <w:sz w:val="19"/>
          <w:szCs w:val="19"/>
          <w:u w:val="single" w:color="auto"/>
          <w:color w:val="auto"/>
        </w:rPr>
        <w:t>Section 2.18</w:t>
      </w:r>
      <w:r>
        <w:rPr>
          <w:rFonts w:ascii="Arial" w:cs="Arial" w:eastAsia="Arial" w:hAnsi="Arial"/>
          <w:sz w:val="19"/>
          <w:szCs w:val="19"/>
          <w:color w:val="auto"/>
        </w:rPr>
        <w:t>, to the extent applicable), Agent shall not, without the prior consent of each individual Lender affected thereby (or, as applicable, an Affiliate of such Lender), execute and deliver any waiver or amendment to any Loan Document which would (i) cause an obligation under any outstanding Hedging Contract owing to such Lender (or its Affiliate) that, prior to such waiver or amendment, constituted a “Lender Hedging Obligation” to cease to be a “Lender Hedging Obligation” or (ii) cause the priority of the Lien securing such obligation or the priority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29" w:name="page130"/>
    <w:bookmarkEnd w:id="129"/>
    <w:p>
      <w:pPr>
        <w:jc w:val="both"/>
        <w:ind w:left="1"/>
        <w:spacing w:after="0" w:line="258" w:lineRule="auto"/>
        <w:rPr>
          <w:sz w:val="20"/>
          <w:szCs w:val="20"/>
          <w:color w:val="auto"/>
        </w:rPr>
      </w:pPr>
      <w:r>
        <w:rPr>
          <w:rFonts w:ascii="Arial" w:cs="Arial" w:eastAsia="Arial" w:hAnsi="Arial"/>
          <w:sz w:val="21"/>
          <w:szCs w:val="21"/>
          <w:color w:val="auto"/>
        </w:rPr>
        <w:t>of payment with respect to such obligation in connection with the exercise of remedies under such Loan Document to be subordinate in any manner to the other Secured Obligations (other than expense reimbursements, expenses of enforcement, and other similar obligations owing under the Loan Documents).</w:t>
      </w:r>
    </w:p>
    <w:p>
      <w:pPr>
        <w:spacing w:after="0" w:line="167" w:lineRule="exact"/>
        <w:rPr>
          <w:sz w:val="20"/>
          <w:szCs w:val="20"/>
          <w:color w:val="auto"/>
        </w:rPr>
      </w:pPr>
    </w:p>
    <w:p>
      <w:pPr>
        <w:jc w:val="both"/>
        <w:ind w:left="1" w:firstLine="648"/>
        <w:spacing w:after="0" w:line="268" w:lineRule="auto"/>
        <w:tabs>
          <w:tab w:leader="none" w:pos="1590"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Acknowledgments and Admissions</w:t>
      </w:r>
      <w:r>
        <w:rPr>
          <w:rFonts w:ascii="Arial" w:cs="Arial" w:eastAsia="Arial" w:hAnsi="Arial"/>
          <w:sz w:val="19"/>
          <w:szCs w:val="19"/>
          <w:color w:val="auto"/>
        </w:rPr>
        <w:t xml:space="preserve">. Borrower hereby represents, warrants, acknowledges and admits that (i) it has been advised by counsel in the negotiation, execution and delivery of the Loan Documents to which it is a party, (ii) it has made an independent decision to enter into this Agreement and the other Loan Documents to which it is a party, without reliance on any representation, warranty, covenant or undertaking by Agent or any Lender, whether written, oral or implicit, other than as expressly set out in this Agreement or in another Loan Document delivered on or after the date hereof, (iii) there are no representations, warranties, covenants, undertakings or agreements by any Lender as to the Loan Documents except as expressly set out in this Agreement or in another Loan Document delivered on or after the date hereof, (iv) no Lender has any fiduciary obligation toward Borrower with respect to any Loan Document or the transactions contemplated thereby, (v) the relationship pursuant to the Loan Documents between Borrower and the other Restricted Persons, on one hand, and each Lender, on the other hand, is and shall be solely that of debtor and creditor, respectively;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solely for purposes of </w:t>
      </w:r>
      <w:r>
        <w:rPr>
          <w:rFonts w:ascii="Arial" w:cs="Arial" w:eastAsia="Arial" w:hAnsi="Arial"/>
          <w:sz w:val="19"/>
          <w:szCs w:val="19"/>
          <w:u w:val="single" w:color="auto"/>
          <w:color w:val="auto"/>
        </w:rPr>
        <w:t>Section 10.5(f)</w:t>
      </w:r>
      <w:r>
        <w:rPr>
          <w:rFonts w:ascii="Arial" w:cs="Arial" w:eastAsia="Arial" w:hAnsi="Arial"/>
          <w:sz w:val="19"/>
          <w:szCs w:val="19"/>
          <w:color w:val="auto"/>
        </w:rPr>
        <w:t xml:space="preserve">, Agent shall act as Agent of Borrower in maintaining the Register as set forth therein, (vi) no partnership or joint venture exists with respect to the Loan Documents between any Restricted Person and any Lender, (vii) Agent is not Borrower’s Agent, but Agent for Lenders, provided that, solely for purposes of </w:t>
      </w:r>
      <w:r>
        <w:rPr>
          <w:rFonts w:ascii="Arial" w:cs="Arial" w:eastAsia="Arial" w:hAnsi="Arial"/>
          <w:sz w:val="19"/>
          <w:szCs w:val="19"/>
          <w:u w:val="single" w:color="auto"/>
          <w:color w:val="auto"/>
        </w:rPr>
        <w:t>Section 10.5(f)</w:t>
      </w:r>
      <w:r>
        <w:rPr>
          <w:rFonts w:ascii="Arial" w:cs="Arial" w:eastAsia="Arial" w:hAnsi="Arial"/>
          <w:sz w:val="19"/>
          <w:szCs w:val="19"/>
          <w:color w:val="auto"/>
        </w:rPr>
        <w:t>, Agent shall act as Agent of Borrower in maintaining the Register as set forth therein,</w:t>
      </w:r>
    </w:p>
    <w:p>
      <w:pPr>
        <w:spacing w:after="0" w:line="4" w:lineRule="exact"/>
        <w:rPr>
          <w:rFonts w:ascii="Arial" w:cs="Arial" w:eastAsia="Arial" w:hAnsi="Arial"/>
          <w:sz w:val="19"/>
          <w:szCs w:val="19"/>
          <w:color w:val="auto"/>
        </w:rPr>
      </w:pPr>
    </w:p>
    <w:p>
      <w:pPr>
        <w:jc w:val="both"/>
        <w:ind w:left="1" w:hanging="1"/>
        <w:spacing w:after="0" w:line="243" w:lineRule="auto"/>
        <w:tabs>
          <w:tab w:leader="none" w:pos="49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should an Event of Default or Default occur or exist, each Lender will determine in its sole discretion and for its own reasons what remedies and actions it will or will not exercise or take at that time subject to the terms of this Agreement, (ix) without limiting any of the foregoing, Borrower is not relying upon any representation or covenant by any Lender, or any representative thereof, and no such representation or covenant has been made, that any Lender will, at the time of an Event of Default or Default, or at any other time, waive, negotiate, discuss, or take or refrain from taking any action permitted under the Loan Documents with respect to any such Event of Default or Default or any other provision of the Loan Documents, and (x) all Lender Parties have relied upon the truthfulness of the acknowledgments in this Section in deciding to execute and deliver this Agreement and to become obligated hereunder.</w:t>
      </w:r>
    </w:p>
    <w:p>
      <w:pPr>
        <w:spacing w:after="0" w:line="185" w:lineRule="exact"/>
        <w:rPr>
          <w:rFonts w:ascii="Arial" w:cs="Arial" w:eastAsia="Arial" w:hAnsi="Arial"/>
          <w:sz w:val="21"/>
          <w:szCs w:val="21"/>
          <w:color w:val="auto"/>
        </w:rPr>
      </w:pPr>
    </w:p>
    <w:p>
      <w:pPr>
        <w:jc w:val="both"/>
        <w:ind w:left="1" w:firstLine="648"/>
        <w:spacing w:after="0"/>
        <w:tabs>
          <w:tab w:leader="none" w:pos="1402" w:val="left"/>
        </w:tabs>
        <w:numPr>
          <w:ilvl w:val="1"/>
          <w:numId w:val="102"/>
        </w:numPr>
        <w:rPr>
          <w:rFonts w:ascii="Arial" w:cs="Arial" w:eastAsia="Arial" w:hAnsi="Arial"/>
          <w:sz w:val="22"/>
          <w:szCs w:val="22"/>
          <w:color w:val="auto"/>
        </w:rPr>
      </w:pPr>
      <w:r>
        <w:rPr>
          <w:rFonts w:ascii="Arial" w:cs="Arial" w:eastAsia="Arial" w:hAnsi="Arial"/>
          <w:sz w:val="22"/>
          <w:szCs w:val="22"/>
          <w:u w:val="single" w:color="auto"/>
          <w:color w:val="auto"/>
        </w:rPr>
        <w:t>Joint Acknowledgment</w:t>
      </w:r>
      <w:r>
        <w:rPr>
          <w:rFonts w:ascii="Arial" w:cs="Arial" w:eastAsia="Arial" w:hAnsi="Arial"/>
          <w:sz w:val="22"/>
          <w:szCs w:val="22"/>
          <w:color w:val="auto"/>
        </w:rPr>
        <w:t>. This written agreement and the other Loan Documents represent the final agreement between the parties and may not be contradicted by evidence of prior, contemporaneous, or subsequent oral agreements of the parties.</w:t>
      </w:r>
    </w:p>
    <w:p>
      <w:pPr>
        <w:spacing w:after="0" w:line="180" w:lineRule="exact"/>
        <w:rPr>
          <w:sz w:val="20"/>
          <w:szCs w:val="20"/>
          <w:color w:val="auto"/>
        </w:rPr>
      </w:pPr>
    </w:p>
    <w:p>
      <w:pPr>
        <w:ind w:left="641"/>
        <w:spacing w:after="0"/>
        <w:rPr>
          <w:sz w:val="20"/>
          <w:szCs w:val="20"/>
          <w:color w:val="auto"/>
        </w:rPr>
      </w:pPr>
      <w:r>
        <w:rPr>
          <w:rFonts w:ascii="Arial" w:cs="Arial" w:eastAsia="Arial" w:hAnsi="Arial"/>
          <w:sz w:val="22"/>
          <w:szCs w:val="22"/>
          <w:b w:val="1"/>
          <w:bCs w:val="1"/>
          <w:color w:val="auto"/>
        </w:rPr>
        <w:t>THERE ARE NO UNWRITTEN ORAL AGREEMENTS BETWEEN THE PARTIES.</w:t>
      </w:r>
    </w:p>
    <w:p>
      <w:pPr>
        <w:spacing w:after="0" w:line="212"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Survival of Agreements; Cumulative Nature</w:t>
      </w:r>
      <w:r>
        <w:rPr>
          <w:rFonts w:ascii="Arial" w:cs="Arial" w:eastAsia="Arial" w:hAnsi="Arial"/>
          <w:sz w:val="19"/>
          <w:szCs w:val="19"/>
          <w:color w:val="auto"/>
        </w:rPr>
        <w:t>. Except for representations and warranties given as of a specified date, all of Restricted Persons’ various representations, warranties, covenants and agreements in the Loan Documents shall survive the execution and delivery of this Agreement and the other Loan Documents and the performance hereof and thereof, including the making or granting of the Loans and the delivery of the Notes and the other Loan Documents, and shall further survive until all of the Obligations are paid in full to each Lender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30" w:name="page131"/>
    <w:bookmarkEnd w:id="130"/>
    <w:p>
      <w:pPr>
        <w:jc w:val="both"/>
        <w:ind w:left="1"/>
        <w:spacing w:after="0" w:line="272" w:lineRule="auto"/>
        <w:rPr>
          <w:sz w:val="20"/>
          <w:szCs w:val="20"/>
          <w:color w:val="auto"/>
        </w:rPr>
      </w:pPr>
      <w:r>
        <w:rPr>
          <w:rFonts w:ascii="Arial" w:cs="Arial" w:eastAsia="Arial" w:hAnsi="Arial"/>
          <w:sz w:val="19"/>
          <w:szCs w:val="19"/>
          <w:color w:val="auto"/>
        </w:rPr>
        <w:t>Party and all of Lender Parties’ obligations to Borrower are terminated. All statements and agreements contained in any certificate or other instrument delivered by any Restricted Person to any Lender Party under any Loan Document shall be deemed representations and warranties by Borrower or agreements and covenants of Borrower under this Agreement. The representations, warranties, indemnities, and covenants made by Restricted Persons in the Loan Documents, and the rights, powers, and privileges granted to Lender Parties in the Loan Documents, are cumulative, and, except for expressly specified waivers and consents, no Loan Document shall be construed in the context of another to diminish, nullify, or otherwise reduce the benefit to any Lender Party of any such representation, warranty, indemnity, covenant, right, power or privilege. In particular and without limitation, no exception set out in this Agreement to any representation, warranty, indemnity, or covenant herein contained shall apply to any similar representation, warranty, indemnity, or covenant contained in any other Loan Document, unless the Loan Documents shall expressly provide that such exception shall apply to such similar representation, warranty, indemnity, or covenant.</w:t>
      </w:r>
    </w:p>
    <w:p>
      <w:pPr>
        <w:spacing w:after="0" w:line="200" w:lineRule="exact"/>
        <w:rPr>
          <w:sz w:val="20"/>
          <w:szCs w:val="20"/>
          <w:color w:val="auto"/>
        </w:rPr>
      </w:pPr>
    </w:p>
    <w:p>
      <w:pPr>
        <w:spacing w:after="0" w:line="210"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demands and other communications required or permitted under any Loan Document shall be in writing, unless otherwise specifically provided in such Loan Document (provided that Agent may give telephonic notices to the other Lender Parties), and shall be deemed sufficiently given or furnished if delivered by personal delivery, by facsimile or other electronic transmission, by delivery service with proof of delivery, or by registered or certified United States mail, postage prepaid, to Borrower and Restricted Persons at the address of Borrower specified on the signature pages hereto and to each Lender Party at its address specified on the Lenders Schedule (unless changed by similar notice in writing given by the particular Person whose address is to be changed). Any such notice or communication shall be deemed to have been given (a) in the case of personal delivery or delivery service, as of the date of first attempted delivery during normal business hours at the address provided herein, (b) in the case of facsimile or other electronic transmission, upon receipt, or</w:t>
      </w:r>
    </w:p>
    <w:p>
      <w:pPr>
        <w:ind w:left="1" w:hanging="1"/>
        <w:spacing w:after="0" w:line="237" w:lineRule="auto"/>
        <w:tabs>
          <w:tab w:leader="none" w:pos="30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in the case of registered or certified United States mail, three days after deposit in the mail;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Borrowing Notice shall become effective until actually received by Agent.</w:t>
      </w:r>
    </w:p>
    <w:p>
      <w:pPr>
        <w:spacing w:after="0" w:line="185" w:lineRule="exact"/>
        <w:rPr>
          <w:sz w:val="20"/>
          <w:szCs w:val="20"/>
          <w:color w:val="auto"/>
        </w:rPr>
      </w:pPr>
    </w:p>
    <w:p>
      <w:pPr>
        <w:ind w:left="641"/>
        <w:spacing w:after="0"/>
        <w:tabs>
          <w:tab w:leader="none" w:pos="192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u w:val="single" w:color="auto"/>
          <w:color w:val="auto"/>
        </w:rPr>
        <w:t>Payment of Expenses; Indemnity</w:t>
      </w:r>
      <w:r>
        <w:rPr>
          <w:rFonts w:ascii="Arial" w:cs="Arial" w:eastAsia="Arial" w:hAnsi="Arial"/>
          <w:sz w:val="19"/>
          <w:szCs w:val="19"/>
          <w:color w:val="auto"/>
        </w:rPr>
        <w:t>.</w:t>
      </w:r>
    </w:p>
    <w:p>
      <w:pPr>
        <w:spacing w:after="0" w:line="206" w:lineRule="exact"/>
        <w:rPr>
          <w:sz w:val="20"/>
          <w:szCs w:val="20"/>
          <w:color w:val="auto"/>
        </w:rPr>
      </w:pPr>
    </w:p>
    <w:p>
      <w:pPr>
        <w:jc w:val="both"/>
        <w:ind w:left="1" w:firstLine="648"/>
        <w:spacing w:after="0" w:line="272" w:lineRule="auto"/>
        <w:tabs>
          <w:tab w:leader="none" w:pos="163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Payment of Expenses</w:t>
      </w:r>
      <w:r>
        <w:rPr>
          <w:rFonts w:ascii="Arial" w:cs="Arial" w:eastAsia="Arial" w:hAnsi="Arial"/>
          <w:sz w:val="19"/>
          <w:szCs w:val="19"/>
          <w:color w:val="auto"/>
        </w:rPr>
        <w:t>. Whether or not the transactions contemplated by this Agreement are consummated, Borrower will promptly (and in any event, within thirty (30) days after any invoice or other statement or notice) pay: (i) all transfer, stamp, mortgage, documentary or other similar Taxes, assessments or charges levied by any governmental or revenue authority in respect of this Agreement or any of the other Loan Documents or any other document or transaction referred to herein or therein, (ii) all reasonable costs and expenses incurred by or on behalf of Agent (including without limitation reasonable attorneys’ fees, travel costs and miscellaneous expenses), but excluding consultants fees other than in connection with an annual field audit permitted below, in connection with (1) the negotiation, preparation, execution and delivery of the Loan Documents, and any and all consents, waivers or other documents or instruments relating thereto, (2) the filing, recording, refiling and re-recording of any Loan Documents and any other documents or instruments or further assurances required to be filed or recorded or refiled or re-recorded by the terms of any Loan Document, (3) the borrowings hereunder and other action reasonably required in the course of administration hereof, (4) monitoring or confirming (or preparation or negotiation of any document related to) any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31" w:name="page132"/>
    <w:bookmarkEnd w:id="131"/>
    <w:p>
      <w:pPr>
        <w:jc w:val="both"/>
        <w:spacing w:after="0" w:line="272" w:lineRule="auto"/>
        <w:rPr>
          <w:sz w:val="20"/>
          <w:szCs w:val="20"/>
          <w:color w:val="auto"/>
        </w:rPr>
      </w:pPr>
      <w:r>
        <w:rPr>
          <w:rFonts w:ascii="Arial" w:cs="Arial" w:eastAsia="Arial" w:hAnsi="Arial"/>
          <w:sz w:val="19"/>
          <w:szCs w:val="19"/>
          <w:color w:val="auto"/>
        </w:rPr>
        <w:t>Restricted Person’s compliance with any covenants or conditions contained in this Agreement or in any Loan Document, (iii) all reasonable costs and expenses incurred by the Agent on behalf of any Lender Party (including without limitation reasonable attorneys’ fees, reasonable consultants’ fees and reasonable accounting fees) in connection with the conduct of an annual field audit and (iv) all reasonable costs and expenses incurred by the Agent and any Lender Party in connection with the enforcement of its rights (A) in connection with this Agreement (including its rights under this Section) or any of the Loan Documents, or (B) in connection with the Loans made or Letters of Credit issued hereunder, including all such reasonable out-of-pocket expenses incurred during any workout, restructuring or negotiations in respect such Loans or Letters of Credit. In addition to the foregoing, until all Obligations have been paid in full, Borrower will also pay or reimburse Agent for all reasonable out-of-pocket costs and expenses of Agent or its agents or employees in connection with the continuing administration of the Loans and the related due diligence of Agent, including travel and miscellaneous expenses and reasonable fees and expenses of Agent’s outside counsel and consultants engaged in connection with the Loan Documents.</w:t>
      </w:r>
    </w:p>
    <w:p>
      <w:pPr>
        <w:spacing w:after="0" w:line="162" w:lineRule="exact"/>
        <w:rPr>
          <w:sz w:val="20"/>
          <w:szCs w:val="20"/>
          <w:color w:val="auto"/>
        </w:rPr>
      </w:pPr>
    </w:p>
    <w:p>
      <w:pPr>
        <w:jc w:val="both"/>
        <w:ind w:firstLine="648"/>
        <w:spacing w:after="0" w:line="272" w:lineRule="auto"/>
        <w:tabs>
          <w:tab w:leader="none" w:pos="1454"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Borrower agrees to indemnify each Lender Party, upon demand, from and against any and all liabilities, obligations, broker’s fees, claims, losses, damages, penalties, fines, actions, judgments, suits, settlements, costs, expenses or disbursements (including reasonable fees of attorneys, accountants, experts and advisors) of any kind or nature whatsoever (in this Section collectively called “liabilities and costs”) which to any extent (in whole or in part) may be imposed on, incurred by, or asserted against such Lender Party growing out of, resulting from or in any other way associated with any of the Collateral, the Loan Documents and the transactions and events (including the enforcement or defense thereof) at any time associated therewith or contemplated therein (whether arising in contract or in tort or otherwise). Among other things, the foregoing indemnification covers all liabilities and costs incurred by any Lender Party related to any breach of a Loan Document by a Restricted Person, any bodily injury to any Person or damage to any Person’s property, or any violation or noncompliance with any Environmental Laws by any Lender Party or any other Person or any liabilities or duties of any Lender Party or any other Person with respect to Hazardous Materials found in or released into the environment.</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THE FOREGOING INDEMNIFICATION SHALL APPLY WHETHER OR NOT SUCH LIABILITIES AND COSTS ARE IN ANY WAY OR TO ANY EXTENT OWED, IN WHOLE OR IN PART, UNDER ANY CLAIM OR THEORY OF STRICT LIABILITY OR CAUSED, IN WHOLE OR IN PART BY ANY NEGLIGENT ACT OR OMISSION OF ANY KIND BY ANY LENDER PARTY,</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only that no Lender Party shall be entitled under this Section to receive indemnification for that portion, if any, of any liabilities and costs which is proximately caused by its own individual gross negligence or willful misconduct, as determined by a court of competent jurisdiction in a final and nonappealable judgment. If any Person (including Borrower or any of its Affiliates) ever alleges such gross negligence or willful misconduct by any Lender Party, the indemnification provided for in this Section shall nonetheless be paid upon demand, subject to later adjustment or reimbursement, until such time as a court of competent jurisdiction enters a final and nonappealable judgment as to the extent and effect of the alleged gross negligence or willful misconduct. As used in this Section the term “Lender Party” shall refer not only to each Person designated as such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but also to each director, officer, Agent, trustee, attorney,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2" w:name="page133"/>
    <w:bookmarkEnd w:id="132"/>
    <w:p>
      <w:pPr>
        <w:jc w:val="both"/>
        <w:spacing w:after="0" w:line="241" w:lineRule="auto"/>
        <w:rPr>
          <w:sz w:val="20"/>
          <w:szCs w:val="20"/>
          <w:color w:val="auto"/>
        </w:rPr>
      </w:pPr>
      <w:r>
        <w:rPr>
          <w:rFonts w:ascii="Arial" w:cs="Arial" w:eastAsia="Arial" w:hAnsi="Arial"/>
          <w:sz w:val="22"/>
          <w:szCs w:val="22"/>
          <w:color w:val="auto"/>
        </w:rPr>
        <w:t>employee, representative and Affiliate of or for such Person. Notwithstanding anything to the contrary in this Agreement, this Section 10.4 shall not apply with respect to any Taxes aside from those attributable to a non-Tax claim.</w:t>
      </w:r>
    </w:p>
    <w:p>
      <w:pPr>
        <w:spacing w:after="0" w:line="184"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u w:val="single" w:color="auto"/>
          <w:color w:val="auto"/>
        </w:rPr>
        <w:t>Joint and Several Liability; Parties in Interest; Assignments</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4" w:lineRule="auto"/>
        <w:tabs>
          <w:tab w:leader="none" w:pos="133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All Obligations which are incurred by two or more Restricted Persons shall be their joint and several obligations and liabilities. All grants, covenants and agreements contained in the Loan Documents shall bind and inure to the benefit of the parties thereto and their respective successors and assigns; provided, however, that no Restricted Person may assign or transfer any of its rights or delegate any of its duties or obligations under any Loan Document without the prior consent of the Required Lenders. Neither Borrower nor any Affiliates of Borrower shall directly or indirectly purchase or otherwise retire any Obligations owed to any Lender nor will any Lender accept any offer to do so, unless each Lender shall have received substantially the same offer with respect to the same Percentage Share of the Obligations owed to it. If Borrower or any Affiliate of Borrower at any time purchases some but less than all of the Obligations owed to all Lender Parties, such purchaser shall not be entitled to any rights of any Lender under the Loan Documents unless and until Borrower or its Affiliates have purchased all of the Obligations.</w:t>
      </w:r>
    </w:p>
    <w:p>
      <w:pPr>
        <w:spacing w:after="0" w:line="189" w:lineRule="exact"/>
        <w:rPr>
          <w:rFonts w:ascii="Arial" w:cs="Arial" w:eastAsia="Arial" w:hAnsi="Arial"/>
          <w:sz w:val="21"/>
          <w:szCs w:val="21"/>
          <w:color w:val="auto"/>
        </w:rPr>
      </w:pPr>
    </w:p>
    <w:p>
      <w:pPr>
        <w:jc w:val="both"/>
        <w:ind w:firstLine="648"/>
        <w:spacing w:after="0" w:line="269" w:lineRule="auto"/>
        <w:tabs>
          <w:tab w:leader="none" w:pos="134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No Lender shall sell any participation interest in its commitment hereunder or any of its rights under its Loans or under the Loan Documents to any Person unless the agreement between such Lender and such participant at all times provides: (i) that such participation exists only as a result of the agreement between such participant and such Lender and that such transfer does not give such participant any right to vote as a Lender or any other direct claims or rights against any Person other than such Lender, (ii) that such participant is not entitled to payment from any Restricted Person under </w:t>
      </w:r>
      <w:r>
        <w:rPr>
          <w:rFonts w:ascii="Arial" w:cs="Arial" w:eastAsia="Arial" w:hAnsi="Arial"/>
          <w:sz w:val="19"/>
          <w:szCs w:val="19"/>
          <w:u w:val="single" w:color="auto"/>
          <w:color w:val="auto"/>
        </w:rPr>
        <w:t>Sections 3.2</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3.8</w:t>
      </w:r>
      <w:r>
        <w:rPr>
          <w:rFonts w:ascii="Arial" w:cs="Arial" w:eastAsia="Arial" w:hAnsi="Arial"/>
          <w:sz w:val="19"/>
          <w:szCs w:val="19"/>
          <w:color w:val="auto"/>
        </w:rPr>
        <w:t xml:space="preserve"> of amounts in excess of those payable to such Lender under such Sections (determined without regard to the sale of such participation), and (iii) unless such participant is an Affiliate of such Lender, that such participant shall not be entitled to require such Lender to take any action under any Loan Document or to obtain the consent of such participant prior to taking any action under any Loan Document, except for actions which would require the consent of all Lenders under subsection (a) of </w:t>
      </w:r>
      <w:r>
        <w:rPr>
          <w:rFonts w:ascii="Arial" w:cs="Arial" w:eastAsia="Arial" w:hAnsi="Arial"/>
          <w:sz w:val="19"/>
          <w:szCs w:val="19"/>
          <w:u w:val="single" w:color="auto"/>
          <w:color w:val="auto"/>
        </w:rPr>
        <w:t>Section 10.1</w:t>
      </w:r>
      <w:r>
        <w:rPr>
          <w:rFonts w:ascii="Arial" w:cs="Arial" w:eastAsia="Arial" w:hAnsi="Arial"/>
          <w:sz w:val="19"/>
          <w:szCs w:val="19"/>
          <w:color w:val="auto"/>
        </w:rPr>
        <w:t>. No Lender selling such a participation shall, as between the other parties hereto and such Lender, be relieved of any of its obligations hereunder as a result of the sale of such participation. Each Lender which sells any such participation to any Person (other than an Affiliate of such Lender) shall give prompt notice thereof to Agent and Borrower. Each Lender that sells a participation shall, acting solely for this purpose as a non-fiduciary agent of Borrower, maintain a register on which it enters the name and address of each participant and the principal amounts of (and stated interest on) each participant’s interest in the Loan Documents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3" w:name="page134"/>
    <w:bookmarkEnd w:id="133"/>
    <w:p>
      <w:pPr>
        <w:jc w:val="both"/>
        <w:ind w:right="20" w:firstLine="648"/>
        <w:spacing w:after="0" w:line="238" w:lineRule="auto"/>
        <w:tabs>
          <w:tab w:leader="none" w:pos="133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Except for sales of participations under the immediately preceding subsection, no Lender shall make any assignment or transfer of any kind of its commitments or any of its rights under its Loans or under the Loan Documents, except for assignments to an Eligible Transferee, and then only if such assignment is made in accordance with the following requirements:</w:t>
      </w:r>
    </w:p>
    <w:p>
      <w:pPr>
        <w:spacing w:after="0" w:line="185" w:lineRule="exact"/>
        <w:rPr>
          <w:rFonts w:ascii="Arial" w:cs="Arial" w:eastAsia="Arial" w:hAnsi="Arial"/>
          <w:sz w:val="22"/>
          <w:szCs w:val="22"/>
          <w:color w:val="auto"/>
        </w:rPr>
      </w:pPr>
    </w:p>
    <w:p>
      <w:pPr>
        <w:jc w:val="both"/>
        <w:ind w:left="640" w:right="20" w:firstLine="656"/>
        <w:spacing w:after="0" w:line="246" w:lineRule="auto"/>
        <w:tabs>
          <w:tab w:leader="none" w:pos="2019" w:val="left"/>
        </w:tabs>
        <w:numPr>
          <w:ilvl w:val="1"/>
          <w:numId w:val="107"/>
        </w:numPr>
        <w:rPr>
          <w:rFonts w:ascii="Arial" w:cs="Arial" w:eastAsia="Arial" w:hAnsi="Arial"/>
          <w:sz w:val="21"/>
          <w:szCs w:val="21"/>
          <w:color w:val="auto"/>
        </w:rPr>
      </w:pPr>
      <w:r>
        <w:rPr>
          <w:rFonts w:ascii="Arial" w:cs="Arial" w:eastAsia="Arial" w:hAnsi="Arial"/>
          <w:sz w:val="21"/>
          <w:szCs w:val="21"/>
          <w:color w:val="auto"/>
        </w:rPr>
        <w:t>Each such assignment shall apply to all Obligations owing to the assignor Lender hereunder and to the unused portion of the assignor Lender’s Revolving Loan Commitment, so that after such assignment is made the assignor Lender shall have a fixed (and not a varying) Percentage Share in its Loans and Notes and be committed to make that Percentage Share of all future Loans, the assignee shall have a fixed Percentage Share in the aggregate Loans and Notes and be committed to make that Percentage Share of all future Loans, and, except in the case of an assignment of the entire remaining amount of the assignor’s Percentage Share of the Revolving Loan Commitment, the Revolving Loan Commitment to be assigned shall equal or exceed $5,000,000.</w:t>
      </w:r>
    </w:p>
    <w:p>
      <w:pPr>
        <w:spacing w:after="0" w:line="180" w:lineRule="exact"/>
        <w:rPr>
          <w:rFonts w:ascii="Arial" w:cs="Arial" w:eastAsia="Arial" w:hAnsi="Arial"/>
          <w:sz w:val="21"/>
          <w:szCs w:val="21"/>
          <w:color w:val="auto"/>
        </w:rPr>
      </w:pPr>
    </w:p>
    <w:p>
      <w:pPr>
        <w:jc w:val="both"/>
        <w:ind w:left="640" w:firstLine="656"/>
        <w:spacing w:after="0" w:line="245" w:lineRule="auto"/>
        <w:tabs>
          <w:tab w:leader="none" w:pos="1930" w:val="left"/>
        </w:tabs>
        <w:numPr>
          <w:ilvl w:val="1"/>
          <w:numId w:val="107"/>
        </w:numPr>
        <w:rPr>
          <w:rFonts w:ascii="Arial" w:cs="Arial" w:eastAsia="Arial" w:hAnsi="Arial"/>
          <w:sz w:val="21"/>
          <w:szCs w:val="21"/>
          <w:color w:val="auto"/>
        </w:rPr>
      </w:pPr>
      <w:r>
        <w:rPr>
          <w:rFonts w:ascii="Arial" w:cs="Arial" w:eastAsia="Arial" w:hAnsi="Arial"/>
          <w:sz w:val="21"/>
          <w:szCs w:val="21"/>
          <w:color w:val="auto"/>
        </w:rPr>
        <w:t xml:space="preserve">The parties to each such assignment shall execute and deliver to Agent, for its acceptance and recording in the “Register” (as defined below in subsection (f)), an Assignment and Acceptance in the form of </w:t>
      </w:r>
      <w:r>
        <w:rPr>
          <w:rFonts w:ascii="Arial" w:cs="Arial" w:eastAsia="Arial" w:hAnsi="Arial"/>
          <w:sz w:val="21"/>
          <w:szCs w:val="21"/>
          <w:u w:val="single" w:color="auto"/>
          <w:color w:val="auto"/>
        </w:rPr>
        <w:t>Exhibit 10.5</w:t>
      </w:r>
      <w:r>
        <w:rPr>
          <w:rFonts w:ascii="Arial" w:cs="Arial" w:eastAsia="Arial" w:hAnsi="Arial"/>
          <w:sz w:val="21"/>
          <w:szCs w:val="21"/>
          <w:color w:val="auto"/>
        </w:rPr>
        <w:t>, appropriately completed, together with the Note subject to such assignment and a processing fee payable to Agent of $3,500. Upon such execution, delivery, and payment and upon the satisfaction of the conditions set out in such Assignment and Acceptance, then (1) Borrower shall issue new Notes to such assignor and assignee upon return of the old Notes to Borrower, and (2) as of the “Settlement Date” specified in such Assignment and Acceptance the assignee thereunder shall be a party hereto and a Lender hereunder and Agent shall thereupon deliver to Borrower and each Lender a schedule showing the revised Percentage Shares of such assignor Lender and such assignee Lender and the Percentage Shares of all other Lenders.</w:t>
      </w:r>
    </w:p>
    <w:p>
      <w:pPr>
        <w:spacing w:after="0" w:line="181" w:lineRule="exact"/>
        <w:rPr>
          <w:rFonts w:ascii="Arial" w:cs="Arial" w:eastAsia="Arial" w:hAnsi="Arial"/>
          <w:sz w:val="21"/>
          <w:szCs w:val="21"/>
          <w:color w:val="auto"/>
        </w:rPr>
      </w:pPr>
    </w:p>
    <w:p>
      <w:pPr>
        <w:jc w:val="both"/>
        <w:ind w:left="640" w:right="20" w:firstLine="656"/>
        <w:spacing w:after="0" w:line="297" w:lineRule="auto"/>
        <w:tabs>
          <w:tab w:leader="none" w:pos="1963"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Each assignee Lender which is not a United States person (as such term is defined in Section 7701(a)(30) of the Internal Revenue Code) for Federal income Tax purposes, shall (to the extent it has not already done so) provide Agent and Borrower with the “Prescribed Forms” referred to in </w:t>
      </w:r>
      <w:r>
        <w:rPr>
          <w:rFonts w:ascii="Arial" w:cs="Arial" w:eastAsia="Arial" w:hAnsi="Arial"/>
          <w:sz w:val="19"/>
          <w:szCs w:val="19"/>
          <w:u w:val="single" w:color="auto"/>
          <w:color w:val="auto"/>
        </w:rPr>
        <w:t>Section 3.6(d)</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jc w:val="both"/>
        <w:ind w:left="640" w:right="20" w:firstLine="656"/>
        <w:spacing w:after="0" w:line="238" w:lineRule="auto"/>
        <w:tabs>
          <w:tab w:leader="none" w:pos="223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Unless the assignee is a Lender, an Affiliate of a Lender or an Approved Fund, such assignment shall not be effective unless consented to in writing by Agent, the LC Issuer, and the Swingline Lender and, unless an Event of Default shall have occurred and be continuing, Borrower (such consent not to be unreasonably withheld or delayed).</w:t>
      </w:r>
    </w:p>
    <w:p>
      <w:pPr>
        <w:spacing w:after="0" w:line="185" w:lineRule="exact"/>
        <w:rPr>
          <w:rFonts w:ascii="Arial" w:cs="Arial" w:eastAsia="Arial" w:hAnsi="Arial"/>
          <w:sz w:val="22"/>
          <w:szCs w:val="22"/>
          <w:color w:val="auto"/>
        </w:rPr>
      </w:pPr>
    </w:p>
    <w:p>
      <w:pPr>
        <w:jc w:val="both"/>
        <w:ind w:right="20" w:firstLine="648"/>
        <w:spacing w:after="0" w:line="287" w:lineRule="auto"/>
        <w:tabs>
          <w:tab w:leader="none" w:pos="133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Nothing contained in this Section shall prevent or prohibit any Lender from assigning or pledging all or any portion of its Loans and Notes to any Federal Reserve Bank as collateral security pursuant to Regulation A of the Board of Governors of the Federal Reserve System and any Operating Circular issued by such Federal Reserve Bank; provided that no such assignment or pledge shall relieve such Lender from its obligations hereunder.</w:t>
      </w:r>
    </w:p>
    <w:p>
      <w:pPr>
        <w:spacing w:after="0" w:line="143" w:lineRule="exact"/>
        <w:rPr>
          <w:rFonts w:ascii="Arial" w:cs="Arial" w:eastAsia="Arial" w:hAnsi="Arial"/>
          <w:sz w:val="19"/>
          <w:szCs w:val="19"/>
          <w:color w:val="auto"/>
        </w:rPr>
      </w:pPr>
    </w:p>
    <w:p>
      <w:pPr>
        <w:jc w:val="both"/>
        <w:ind w:right="20" w:firstLine="648"/>
        <w:spacing w:after="0"/>
        <w:tabs>
          <w:tab w:leader="none" w:pos="140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By executing and delivering an Assignment and Acceptance, each assignee Lender thereunder will be confirming to and agreeing with Borrower, Agent and each other Lender Party that such assignee understands and agrees to the terms hereof, including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18" w:right="899" w:bottom="1440" w:gutter="0" w:footer="0" w:header="0"/>
        </w:sectPr>
      </w:pPr>
    </w:p>
    <w:bookmarkStart w:id="134" w:name="page135"/>
    <w:bookmarkEnd w:id="134"/>
    <w:p>
      <w:pPr>
        <w:jc w:val="both"/>
        <w:ind w:firstLine="648"/>
        <w:spacing w:after="0" w:line="275" w:lineRule="auto"/>
        <w:tabs>
          <w:tab w:leader="none" w:pos="137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Agent acting solely for this purpose as a non-fiduciary agent of Borrower, shall maintain a copy of each Assignment and Acceptance and a register for the recordation of the names and addresses of Lenders and the Percentage Shares of, and principal amount of (and stated interest on) the Loans owing to, each Lender from time to time (in this Section called the “</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The entries in the Register shall be conclusive, in the absence of manifest error, and Borrower and each Lender Party shall treat each Person whose name is recorded in the Register as a Lender hereunder for all purposes. The Register shall be available for inspection by Borrower or any Lender Party at any reasonable time and from time to time upon reasonable prior notice. Agent shall act as Agent of Borrower solely for purposes of maintaining the Register as set forth in this </w:t>
      </w:r>
      <w:r>
        <w:rPr>
          <w:rFonts w:ascii="Arial" w:cs="Arial" w:eastAsia="Arial" w:hAnsi="Arial"/>
          <w:sz w:val="19"/>
          <w:szCs w:val="19"/>
          <w:u w:val="single" w:color="auto"/>
          <w:color w:val="auto"/>
        </w:rPr>
        <w:t>Section 10.5(f)</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648"/>
        <w:spacing w:after="0"/>
        <w:tabs>
          <w:tab w:leader="none" w:pos="157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Borrower shall not assign or otherwise transfer any of its rights or obligations under this Agreement without the prior written consent of each Lender (and any attempted assignment or transfer by the Borrower without such consent shall be null and void).</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Lender Party agrees to keep confidential any information furnished or made available to it by any Restricted Person pursuant to this Agreement that is financial information, information in connection with a proposed transaction, or information marked confidential; provided that nothing herein shall prevent any Lender Party from disclosing such information (a) to any other Lender Party or any Affiliate of any Lender Party, or any officer, director, employee, agent, attorney, auditor, or advisor of any Lender Party or Affiliate of any Lender Party, (b) to any other Person if reasonably incidental to the administration of the credit facility provided herein, (c) as required by any Law, (d) upon the order of any court or administrative agency, (e) upon the request or demand of any Tribunal, (f) that is or becomes available to the public or that is or becomes available to any Lender Party other than as a result of a disclosure by any Lender Party prohibited by this Agreement, (g) to the extent necessary in connection with the exercise of any right or remedy under this Agreement or any other Loan Document, (h) subject to provisions substantially similar to those contained in this Section, to any actual or proposed participant or assignee or any actual or proposed contractual counterparty (or its advisors) to any securitization, hedge, or other derivative transaction relating to the parties’ obligations hereunder, and (i) if it is otherwise available in the public domain. Notwithstanding anything set forth herein to the contrary, each party to this Agreement and each of its employees, representatives, and other Agents is hereby expressly authorized to disclose the “tax treatment” and “tax structure” (as those terms are defined in Treas. Reg. §§ 1.6011-4(c)(8) and (9), respectively) of the transactions contemplated hereby and all materials of any kind, including opinions or other Tax analyses, that have been provided to it by any other party relating to such tax treatment or tax structure. Any Person required to maintain the confidentiality of information described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Section 10.7 </w:t>
      </w:r>
      <w:r>
        <w:rPr>
          <w:rFonts w:ascii="Arial" w:cs="Arial" w:eastAsia="Arial" w:hAnsi="Arial"/>
          <w:sz w:val="22"/>
          <w:szCs w:val="22"/>
          <w:u w:val="single" w:color="auto"/>
          <w:color w:val="auto"/>
        </w:rPr>
        <w:t>Governing Law; Submission to Process</w:t>
      </w:r>
      <w:r>
        <w:rPr>
          <w:rFonts w:ascii="Arial" w:cs="Arial" w:eastAsia="Arial" w:hAnsi="Arial"/>
          <w:sz w:val="22"/>
          <w:szCs w:val="22"/>
          <w:color w:val="auto"/>
        </w:rPr>
        <w:t>. Except to the extent that the Law of another jurisdiction is expressly elected in a Loan Document, the Loan Documents shall be deemed contracts and instruments made under the Laws of the State of Texas and shall be construed and enforced in accordance with and governed by the Laws of the State of Texas and the Laws of the United States of America, without regard to principles of conflicts of law. Chapter 346 of the Texas Finance Code (which regulates certain revolving credit loan accounts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5" w:name="page136"/>
    <w:bookmarkEnd w:id="135"/>
    <w:p>
      <w:pPr>
        <w:jc w:val="both"/>
        <w:spacing w:after="0" w:line="271" w:lineRule="auto"/>
        <w:rPr>
          <w:sz w:val="20"/>
          <w:szCs w:val="20"/>
          <w:color w:val="auto"/>
        </w:rPr>
      </w:pPr>
      <w:r>
        <w:rPr>
          <w:rFonts w:ascii="Arial" w:cs="Arial" w:eastAsia="Arial" w:hAnsi="Arial"/>
          <w:sz w:val="19"/>
          <w:szCs w:val="19"/>
          <w:color w:val="auto"/>
        </w:rPr>
        <w:t>revolving tri-party accounts) does not apply to this Agreement or to the Notes. Borrower hereby irrevocably submits itself and each other Restricted Person to the exclusive jurisdiction of the state and federal courts sitting in the State of Texas and agrees and consents that service of process may be made upon it or any Restricted Person in any legal proceeding relating to the Loan Documents or the Obligations by any means allowed under Texas or federal law. Any legal proceeding arising out of or in any way related to any of the Loan Documents shall be brought and litigated exclusively in the United States District Court for the Southern District of Texas, Houston Division, to the extent it has subject matter jurisdiction, and otherwise in the Texas District Courts sitting in Harris County, Texas. The parties hereto hereby waive and agree not to assert, by way of motion, as a defense or otherwise, that any such proceeding is brought in an inconvenient forum or that the venue thereof is improper, and further agree to a transfer of any such proceeding to a federal court sitting in the State of Texas to the extent that it has subject matter jurisdiction, and otherwise to a state court in Houston, Texas. In furtherance thereof, Borrower and Lender Parties each hereby acknowledge and agree that it was not inconvenient for them to negotiate and receive funding of the transactions contemplated by this Agreement in such county and that it will be neither inconvenient nor unfair to litigate or otherwise resolve any disputes or claims in a court sitting in such county.</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10.8 </w:t>
      </w:r>
      <w:r>
        <w:rPr>
          <w:rFonts w:ascii="Arial" w:cs="Arial" w:eastAsia="Arial" w:hAnsi="Arial"/>
          <w:sz w:val="19"/>
          <w:szCs w:val="19"/>
          <w:u w:val="single" w:color="auto"/>
          <w:color w:val="auto"/>
        </w:rPr>
        <w:t>Limitation on Interest</w:t>
      </w:r>
      <w:r>
        <w:rPr>
          <w:rFonts w:ascii="Arial" w:cs="Arial" w:eastAsia="Arial" w:hAnsi="Arial"/>
          <w:sz w:val="19"/>
          <w:szCs w:val="19"/>
          <w:color w:val="auto"/>
        </w:rPr>
        <w:t>. Lender Parties, Restricted Persons and any other parties to the Loan Documents intend to contract in strict compliance with applicable usury Law from time to time in effect. In furtherance thereof such Persons stipulate and agree that none of the terms and provisions contained in the Loan Documents shall ever be construed to create a contract to pay, for the use, forbearance or detention of money, interest in excess of the maximum amount of interest permitted to be charged by applicable Law from time to time in effect. Neither any Restricted Person nor any present or future guarantors, endorsers, or other Persons hereafter becoming liable for payment of any Obligation shall ever be liable for unearned interest thereon or shall ever be required to pay interest thereon in excess of the maximum amount that may be lawfully contracted for, charged, or received under applicable Law from time to time in effect, and the provisions of this Section shall control over all other provisions of the Loan Documents which may be in conflict or apparent conflict herewith. Lender Parties expressly disavow any intention to contract for, charge, or collect excessive unearned interest or finance charges in the event the maturity of any Obligation is accelerated. If (a) the maturity of any Obligation is accelerated for any reason, (b) any Obligation is prepaid and as a result any amounts held to constitute interest are determined to be in excess of the legal maximum, or (c) any Lender or any other holder of any or all of the Obligations shall otherwise collect moneys which are determined to constitute interest which would otherwise increase the interest on any or all of the Obligations to an amount in excess of that permitted to be charged by applicable Law then in effect, then all sums determined to constitute interest in excess of such legal limit shall, without penalty, be promptly applied to reduce the then outstanding principal of the related Obligations or, at such Lender’s or holder’s option, promptly returned to Borrower or the other payor thereof upon such determination. In determining whether or not the interest paid or payable, under any specific circumstance, exceeds the maximum amount permitted under applicable Law, Lender Parties and Restricted Persons (and any other payors thereof) shall to the greatest extent permitted under applicable Law, (i) characterize any non-principal payment as an expense, fee or premium rather than as interest, (ii) exclude voluntary prepayments and the effects thereof, and (iii) amortize, prorate, allocate, and spread the total amount of interest throughout the entire contemplated term of the instruments evidencing the Obligations in accordance with the amounts outstanding from time to time thereunder and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6" w:name="page137"/>
    <w:bookmarkEnd w:id="136"/>
    <w:p>
      <w:pPr>
        <w:jc w:val="both"/>
        <w:spacing w:after="0" w:line="246" w:lineRule="auto"/>
        <w:rPr>
          <w:sz w:val="20"/>
          <w:szCs w:val="20"/>
          <w:color w:val="auto"/>
        </w:rPr>
      </w:pPr>
      <w:r>
        <w:rPr>
          <w:rFonts w:ascii="Arial" w:cs="Arial" w:eastAsia="Arial" w:hAnsi="Arial"/>
          <w:sz w:val="21"/>
          <w:szCs w:val="21"/>
          <w:color w:val="auto"/>
        </w:rPr>
        <w:t>maximum legal rate of interest from time to time in effect under applicable Law in order to lawfully contract for, charge, or receive the maximum amount of interest permitted under applicable Law. In the event applicable Law provides for an interest ceiling under Chapter 303 of the Texas Finance Code (the “</w:t>
      </w:r>
      <w:r>
        <w:rPr>
          <w:rFonts w:ascii="Arial" w:cs="Arial" w:eastAsia="Arial" w:hAnsi="Arial"/>
          <w:sz w:val="21"/>
          <w:szCs w:val="21"/>
          <w:u w:val="single" w:color="auto"/>
          <w:color w:val="auto"/>
        </w:rPr>
        <w:t>Texas Finance Code</w:t>
      </w:r>
      <w:r>
        <w:rPr>
          <w:rFonts w:ascii="Arial" w:cs="Arial" w:eastAsia="Arial" w:hAnsi="Arial"/>
          <w:sz w:val="21"/>
          <w:szCs w:val="21"/>
          <w:color w:val="auto"/>
        </w:rPr>
        <w:t>”) as amended, for that day, the ceiling shall be the “weekly ceiling” as defined in the Texas Finance Code, provided that if any applicable Law permits greater interest, the Law permitting the greatest interest shall apply. As used in this Section the term “applicable Law” means the Laws of the State of Texas or the Laws of the United States of America, whichever Laws allow the greater interest, as such Laws now exist or may be changed or amended or come into effect in the future.</w:t>
      </w:r>
    </w:p>
    <w:p>
      <w:pPr>
        <w:spacing w:after="0" w:line="181" w:lineRule="exact"/>
        <w:rPr>
          <w:sz w:val="20"/>
          <w:szCs w:val="20"/>
          <w:color w:val="auto"/>
        </w:rPr>
      </w:pPr>
    </w:p>
    <w:p>
      <w:pPr>
        <w:ind w:left="640"/>
        <w:spacing w:after="0"/>
        <w:tabs>
          <w:tab w:leader="none" w:pos="192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u w:val="single" w:color="auto"/>
          <w:color w:val="auto"/>
        </w:rPr>
        <w:t>Termination; Limited Survival</w:t>
      </w:r>
      <w:r>
        <w:rPr>
          <w:rFonts w:ascii="Arial" w:cs="Arial" w:eastAsia="Arial" w:hAnsi="Arial"/>
          <w:sz w:val="19"/>
          <w:szCs w:val="19"/>
          <w:color w:val="auto"/>
        </w:rPr>
        <w:t>.</w:t>
      </w:r>
    </w:p>
    <w:p>
      <w:pPr>
        <w:spacing w:after="0" w:line="206" w:lineRule="exact"/>
        <w:rPr>
          <w:sz w:val="20"/>
          <w:szCs w:val="20"/>
          <w:color w:val="auto"/>
        </w:rPr>
      </w:pPr>
    </w:p>
    <w:p>
      <w:pPr>
        <w:jc w:val="both"/>
        <w:ind w:firstLine="648"/>
        <w:spacing w:after="0" w:line="244" w:lineRule="auto"/>
        <w:tabs>
          <w:tab w:leader="none" w:pos="142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In its sole and absolute discretion Borrower may at any time that no Obligations are owing (other than indemnity obligations and similar obligations that survive the termination of this Agreement for which no notice of a claim has been received by Borrower) elect in a written notice delivered to Agent to terminate this Agreement. Upon receipt by Agent of such a notice, if no Obligations are then owing, this Agreement and all other Loan Documents shall thereupon be terminated and the parties thereto released from all prospective obligations thereunder. Notwithstanding the foregoing or anything herein to the contrary, any waivers or admissions made by any Restricted Person in any Loan Document, any Obligations under </w:t>
      </w:r>
      <w:r>
        <w:rPr>
          <w:rFonts w:ascii="Arial" w:cs="Arial" w:eastAsia="Arial" w:hAnsi="Arial"/>
          <w:sz w:val="21"/>
          <w:szCs w:val="21"/>
          <w:u w:val="single" w:color="auto"/>
          <w:color w:val="auto"/>
        </w:rPr>
        <w:t>Sections 3.2</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 3.6</w:t>
      </w:r>
      <w:r>
        <w:rPr>
          <w:rFonts w:ascii="Arial" w:cs="Arial" w:eastAsia="Arial" w:hAnsi="Arial"/>
          <w:sz w:val="21"/>
          <w:szCs w:val="21"/>
          <w:color w:val="auto"/>
        </w:rPr>
        <w:t xml:space="preserve">, and any obligations which any Person may have to indemnify or reimburse any Lender Party shall survive any termination of this Agreement or any other Loan Document. The foregoing consent shall constitute the written consent of Required Lenders required under </w:t>
      </w:r>
      <w:r>
        <w:rPr>
          <w:rFonts w:ascii="Arial" w:cs="Arial" w:eastAsia="Arial" w:hAnsi="Arial"/>
          <w:sz w:val="21"/>
          <w:szCs w:val="21"/>
          <w:u w:val="single" w:color="auto"/>
          <w:color w:val="auto"/>
        </w:rPr>
        <w:t>Section 10.1(a)(iii)</w:t>
      </w:r>
      <w:r>
        <w:rPr>
          <w:rFonts w:ascii="Arial" w:cs="Arial" w:eastAsia="Arial" w:hAnsi="Arial"/>
          <w:sz w:val="21"/>
          <w:szCs w:val="21"/>
          <w:color w:val="auto"/>
        </w:rPr>
        <w:t>. At the request and expense of Borrower, Agent shall prepare and execute all necessary instruments to reflect and effect such termination of the Loan Documents. Agent is hereby authorized to execute all such instruments on behalf of all Lenders, without the joinder of or further action by any Lender.</w:t>
      </w:r>
    </w:p>
    <w:p>
      <w:pPr>
        <w:spacing w:after="0" w:line="184" w:lineRule="exact"/>
        <w:rPr>
          <w:rFonts w:ascii="Arial" w:cs="Arial" w:eastAsia="Arial" w:hAnsi="Arial"/>
          <w:sz w:val="21"/>
          <w:szCs w:val="21"/>
          <w:color w:val="auto"/>
        </w:rPr>
      </w:pPr>
    </w:p>
    <w:p>
      <w:pPr>
        <w:jc w:val="both"/>
        <w:ind w:firstLine="648"/>
        <w:spacing w:after="0" w:line="274" w:lineRule="auto"/>
        <w:tabs>
          <w:tab w:leader="none" w:pos="146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Agent and the Lenders hereby consent to (i) the automatic release of any Liens securing the Obligations in Collateral that is sold or otherwise disposed of by a Restricted Person in compliance with this Agreement and (ii) the automatic release from the relevant Guaranty of any Guarantor that ceases to be a Subsidiary pursuant to a sale or disposal of property that is permitted by this Agreement, in each case without need for further approval of the Agent or any Lender. The foregoing consent shall constitute the written consent of Required Lenders required under clause (iii) of the fourth sentence of </w:t>
      </w:r>
      <w:r>
        <w:rPr>
          <w:rFonts w:ascii="Arial" w:cs="Arial" w:eastAsia="Arial" w:hAnsi="Arial"/>
          <w:sz w:val="19"/>
          <w:szCs w:val="19"/>
          <w:u w:val="single" w:color="auto"/>
          <w:color w:val="auto"/>
        </w:rPr>
        <w:t>Section 10.1(a)</w:t>
      </w:r>
      <w:r>
        <w:rPr>
          <w:rFonts w:ascii="Arial" w:cs="Arial" w:eastAsia="Arial" w:hAnsi="Arial"/>
          <w:sz w:val="19"/>
          <w:szCs w:val="19"/>
          <w:color w:val="auto"/>
        </w:rPr>
        <w:t>, with respect to such releases of Liens and Guarantors. At the request and expense of Borrower, Agent shall prepare and execute all necessary or reasonably requested instruments and documents to reflect and effect such releases of Liens and Guarantors. Agent is hereby authorized to execute all such instruments and documents on behalf of all Lenders, without the joinder of or further action by any Lender.</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10.10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term or provision of any Loan Document shall be determined to be illegal or unenforceable all other terms and provisions of the Loan Documents shall nevertheless remain effective and shall be enforced to the fullest extent permitted by applicable Law.</w:t>
      </w:r>
    </w:p>
    <w:p>
      <w:pPr>
        <w:spacing w:after="0" w:line="18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Section 10.11 </w:t>
      </w:r>
      <w:r>
        <w:rPr>
          <w:rFonts w:ascii="Arial" w:cs="Arial" w:eastAsia="Arial" w:hAnsi="Arial"/>
          <w:sz w:val="22"/>
          <w:szCs w:val="22"/>
          <w:u w:val="single" w:color="auto"/>
          <w:color w:val="auto"/>
        </w:rPr>
        <w:t>Counterparts; Fax</w:t>
      </w:r>
      <w:r>
        <w:rPr>
          <w:rFonts w:ascii="Arial" w:cs="Arial" w:eastAsia="Arial" w:hAnsi="Arial"/>
          <w:sz w:val="22"/>
          <w:szCs w:val="22"/>
          <w:color w:val="auto"/>
        </w:rPr>
        <w:t>. This Agreement may be separately executed in any number of counterparts and by different parties hereto in separate counterparts, each of which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7" w:name="page138"/>
    <w:bookmarkEnd w:id="137"/>
    <w:p>
      <w:pPr>
        <w:jc w:val="both"/>
        <w:ind w:left="1"/>
        <w:spacing w:after="0" w:line="274" w:lineRule="auto"/>
        <w:rPr>
          <w:sz w:val="20"/>
          <w:szCs w:val="20"/>
          <w:color w:val="auto"/>
        </w:rPr>
      </w:pPr>
      <w:r>
        <w:rPr>
          <w:rFonts w:ascii="Arial" w:cs="Arial" w:eastAsia="Arial" w:hAnsi="Arial"/>
          <w:sz w:val="21"/>
          <w:szCs w:val="21"/>
          <w:color w:val="auto"/>
        </w:rPr>
        <w:t>when so executed shall be deemed to constitute one and the same Agreement. This Agreement and the Loan Documents may be validly executed and delivered by facsimile or other electronic transmission.</w:t>
      </w:r>
    </w:p>
    <w:p>
      <w:pPr>
        <w:spacing w:after="0" w:line="151" w:lineRule="exact"/>
        <w:rPr>
          <w:sz w:val="20"/>
          <w:szCs w:val="20"/>
          <w:color w:val="auto"/>
        </w:rPr>
      </w:pPr>
    </w:p>
    <w:p>
      <w:pPr>
        <w:ind w:left="641"/>
        <w:spacing w:after="0"/>
        <w:rPr>
          <w:sz w:val="20"/>
          <w:szCs w:val="20"/>
          <w:color w:val="auto"/>
        </w:rPr>
      </w:pPr>
      <w:r>
        <w:rPr>
          <w:rFonts w:ascii="Arial" w:cs="Arial" w:eastAsia="Arial" w:hAnsi="Arial"/>
          <w:sz w:val="22"/>
          <w:szCs w:val="22"/>
          <w:color w:val="auto"/>
        </w:rPr>
        <w:t xml:space="preserve">Section 10.12 </w:t>
      </w: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9"/>
          <w:szCs w:val="19"/>
          <w:color w:val="auto"/>
        </w:rPr>
        <w:t xml:space="preserve">Section 10.13 </w:t>
      </w:r>
      <w:r>
        <w:rPr>
          <w:rFonts w:ascii="Arial" w:cs="Arial" w:eastAsia="Arial" w:hAnsi="Arial"/>
          <w:sz w:val="19"/>
          <w:szCs w:val="19"/>
          <w:u w:val="single" w:color="auto"/>
          <w:color w:val="auto"/>
        </w:rPr>
        <w:t>Waiver of Jury Trial, Punitive Damages, etc</w:t>
      </w:r>
      <w:r>
        <w:rPr>
          <w:rFonts w:ascii="Arial" w:cs="Arial" w:eastAsia="Arial" w:hAnsi="Arial"/>
          <w:sz w:val="19"/>
          <w:szCs w:val="19"/>
          <w:color w:val="auto"/>
        </w:rPr>
        <w:t>. Each of the Borrower and each Lender Party hereby knowingly, voluntarily, intentionally, and irrevocably (a) waives, to the maximum extent not prohibited by Law, any right it may have to a trial by jury in respect of any litigation based hereon, or directly or indirectly at any time arising out of, under or in connection with the Loan Documents or any transaction contemplated thereby or associated therewith, before or after maturity; (b) waives, to the maximum extent not prohibited by Law, any right they may have to claim or recover in any such litigation any “Special Damages”, as defined below, (c) certifies that no party hereto nor any representative or Agent or counsel for any party hereto has represented, expressly or otherwise, or implied that such party would not, in the event of litigation, seek to enforce the foregoing waivers, and</w:t>
      </w:r>
    </w:p>
    <w:p>
      <w:pPr>
        <w:spacing w:after="0" w:line="4" w:lineRule="exact"/>
        <w:rPr>
          <w:sz w:val="20"/>
          <w:szCs w:val="20"/>
          <w:color w:val="auto"/>
        </w:rPr>
      </w:pPr>
    </w:p>
    <w:p>
      <w:pPr>
        <w:jc w:val="both"/>
        <w:ind w:left="1" w:hanging="1"/>
        <w:spacing w:after="0" w:line="245" w:lineRule="auto"/>
        <w:tabs>
          <w:tab w:leader="none" w:pos="358"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acknowledges that it has been induced to enter into this Agreement, the other Loan Documents and the transactions contemplated hereby and thereby by, among other things, the mutual waivers and certifications contained in this Section. As used in this Section, “</w:t>
      </w:r>
      <w:r>
        <w:rPr>
          <w:rFonts w:ascii="Arial" w:cs="Arial" w:eastAsia="Arial" w:hAnsi="Arial"/>
          <w:sz w:val="21"/>
          <w:szCs w:val="21"/>
          <w:u w:val="single" w:color="auto"/>
          <w:color w:val="auto"/>
        </w:rPr>
        <w:t>Special Damages</w:t>
      </w:r>
      <w:r>
        <w:rPr>
          <w:rFonts w:ascii="Arial" w:cs="Arial" w:eastAsia="Arial" w:hAnsi="Arial"/>
          <w:sz w:val="21"/>
          <w:szCs w:val="21"/>
          <w:color w:val="auto"/>
        </w:rPr>
        <w:t>” includes all special, consequential, exemplary, or punitive damages (regardless of how named), but does not include any payments or funds which any party hereto has expressly promised to pay or deliver to any other party hereto.</w:t>
      </w:r>
    </w:p>
    <w:p>
      <w:pPr>
        <w:spacing w:after="0" w:line="181"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USA Patriot Act</w:t>
      </w:r>
      <w:r>
        <w:rPr>
          <w:rFonts w:ascii="Arial" w:cs="Arial" w:eastAsia="Arial" w:hAnsi="Arial"/>
          <w:sz w:val="19"/>
          <w:szCs w:val="19"/>
          <w:color w:val="auto"/>
        </w:rPr>
        <w:t>. Agent hereby notifies Borrower that pursuant to the requirements of the USA Patriot Act (Title III of Pub. L. 107-56, signed into law October 26, 2001) (the “</w:t>
      </w:r>
      <w:r>
        <w:rPr>
          <w:rFonts w:ascii="Arial" w:cs="Arial" w:eastAsia="Arial" w:hAnsi="Arial"/>
          <w:sz w:val="19"/>
          <w:szCs w:val="19"/>
          <w:u w:val="single" w:color="auto"/>
          <w:color w:val="auto"/>
        </w:rPr>
        <w:t>Act</w:t>
      </w:r>
      <w:r>
        <w:rPr>
          <w:rFonts w:ascii="Arial" w:cs="Arial" w:eastAsia="Arial" w:hAnsi="Arial"/>
          <w:sz w:val="19"/>
          <w:szCs w:val="19"/>
          <w:color w:val="auto"/>
        </w:rPr>
        <w:t>”), and Agent’s policies and practices, each Lender is required to obtain, verify and record certain information and documentation that identifies each Restricted Person, which information includes the name and address of each Restricted Person and such other information that will allow each Lender to identify each Restricted Person in accordance with the Act.</w:t>
      </w:r>
    </w:p>
    <w:p>
      <w:pPr>
        <w:spacing w:after="0" w:line="148" w:lineRule="exact"/>
        <w:rPr>
          <w:sz w:val="20"/>
          <w:szCs w:val="20"/>
          <w:color w:val="auto"/>
        </w:rPr>
      </w:pPr>
    </w:p>
    <w:p>
      <w:pPr>
        <w:jc w:val="both"/>
        <w:ind w:left="1" w:firstLine="648"/>
        <w:spacing w:after="0" w:line="275"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u w:val="single" w:color="auto"/>
          <w:color w:val="auto"/>
        </w:rPr>
        <w:t>Renewal and Extension</w:t>
      </w:r>
      <w:r>
        <w:rPr>
          <w:rFonts w:ascii="Arial" w:cs="Arial" w:eastAsia="Arial" w:hAnsi="Arial"/>
          <w:sz w:val="19"/>
          <w:szCs w:val="19"/>
          <w:color w:val="auto"/>
        </w:rPr>
        <w:t>. The Indebtedness arising under this Agreement is a renewal, extension and restatement on revised terms of (but not an extinguishment or novation of) the Existing Credit Agreement and, from and after the date hereof, the terms and provisions of the Existing Credit Agreement shall be superseded by the terms and provisions of this Agreement. Borrower hereby agrees that (a) the Indebtedness evidenced by the Existing Credit Agreement, all accrued and unpaid interest thereon, and all accrued and unpaid fees under the Existing Credit Agreement shall be deemed to be Indebtedness of Borrower outstanding under and governed by this Agreement and (b) all Liens securing the Indebtedness evidenced by the Existing Credit Agreement shall continue in full force and effect to secure the Secured Obligations.</w:t>
      </w:r>
    </w:p>
    <w:p>
      <w:pPr>
        <w:spacing w:after="0" w:line="158" w:lineRule="exact"/>
        <w:rPr>
          <w:sz w:val="20"/>
          <w:szCs w:val="20"/>
          <w:color w:val="auto"/>
        </w:rPr>
      </w:pPr>
    </w:p>
    <w:p>
      <w:pPr>
        <w:jc w:val="both"/>
        <w:ind w:left="1" w:firstLine="648"/>
        <w:spacing w:after="0" w:line="282" w:lineRule="auto"/>
        <w:rPr>
          <w:sz w:val="20"/>
          <w:szCs w:val="20"/>
          <w:color w:val="auto"/>
        </w:rPr>
      </w:pPr>
      <w:r>
        <w:rPr>
          <w:rFonts w:ascii="Arial" w:cs="Arial" w:eastAsia="Arial" w:hAnsi="Arial"/>
          <w:sz w:val="19"/>
          <w:szCs w:val="19"/>
          <w:color w:val="auto"/>
        </w:rPr>
        <w:t xml:space="preserve">Section 10.16 </w:t>
      </w:r>
      <w:r>
        <w:rPr>
          <w:rFonts w:ascii="Arial" w:cs="Arial" w:eastAsia="Arial" w:hAnsi="Arial"/>
          <w:sz w:val="19"/>
          <w:szCs w:val="19"/>
          <w:u w:val="single" w:color="auto"/>
          <w:color w:val="auto"/>
        </w:rPr>
        <w:t>Acknowledgement and Consent to Bail-In of EEA Financial Institutions</w:t>
      </w:r>
      <w:r>
        <w:rPr>
          <w:rFonts w:ascii="Arial" w:cs="Arial" w:eastAsia="Arial" w:hAnsi="Arial"/>
          <w:sz w:val="19"/>
          <w:szCs w:val="19"/>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38" w:name="page139"/>
    <w:bookmarkEnd w:id="138"/>
    <w:p>
      <w:pPr>
        <w:jc w:val="both"/>
        <w:ind w:firstLine="648"/>
        <w:spacing w:after="0" w:line="241" w:lineRule="auto"/>
        <w:tabs>
          <w:tab w:leader="none" w:pos="137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an EEA Resolution Authority to any such liabilities arising hereunder which may be payable to it by any party hereto that is an EEA Financial Institution; and</w:t>
      </w:r>
    </w:p>
    <w:p>
      <w:pPr>
        <w:spacing w:after="0" w:line="183" w:lineRule="exact"/>
        <w:rPr>
          <w:rFonts w:ascii="Arial" w:cs="Arial" w:eastAsia="Arial" w:hAnsi="Arial"/>
          <w:sz w:val="22"/>
          <w:szCs w:val="22"/>
          <w:color w:val="auto"/>
        </w:rPr>
      </w:pPr>
    </w:p>
    <w:p>
      <w:pPr>
        <w:ind w:left="1340" w:hanging="692"/>
        <w:spacing w:after="0"/>
        <w:tabs>
          <w:tab w:leader="none" w:pos="134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1980" w:hanging="684"/>
        <w:spacing w:after="0"/>
        <w:tabs>
          <w:tab w:leader="none" w:pos="198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jc w:val="both"/>
        <w:ind w:left="640" w:firstLine="656"/>
        <w:spacing w:after="0" w:line="236" w:lineRule="auto"/>
        <w:tabs>
          <w:tab w:leader="none" w:pos="2227" w:val="left"/>
        </w:tabs>
        <w:numPr>
          <w:ilvl w:val="1"/>
          <w:numId w:val="111"/>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rFonts w:ascii="Arial" w:cs="Arial" w:eastAsia="Arial" w:hAnsi="Arial"/>
          <w:sz w:val="22"/>
          <w:szCs w:val="22"/>
          <w:color w:val="auto"/>
        </w:rPr>
      </w:pPr>
    </w:p>
    <w:p>
      <w:pPr>
        <w:ind w:left="640" w:firstLine="656"/>
        <w:spacing w:after="0" w:line="251" w:lineRule="auto"/>
        <w:tabs>
          <w:tab w:leader="none" w:pos="199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color w:val="auto"/>
        </w:rPr>
        <w:t>PRICING SCHEDULE</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applicable Eurodollar Margin, Base Rate Margin, Commitment Fee Rate and Letter of Credit Fee Rate shall be determined by the Agent in accordance with the following tables:</w:t>
      </w:r>
    </w:p>
    <w:p>
      <w:pPr>
        <w:spacing w:after="0" w:line="175" w:lineRule="exact"/>
        <w:rPr>
          <w:sz w:val="20"/>
          <w:szCs w:val="20"/>
          <w:color w:val="auto"/>
        </w:rPr>
      </w:pPr>
    </w:p>
    <w:tbl>
      <w:tblPr>
        <w:tblLayout w:type="fixed"/>
        <w:tblInd w:w="1030" w:type="dxa"/>
        <w:tblCellMar>
          <w:top w:w="0" w:type="dxa"/>
          <w:left w:w="0" w:type="dxa"/>
          <w:bottom w:w="0" w:type="dxa"/>
          <w:right w:w="0" w:type="dxa"/>
        </w:tblCellMar>
      </w:tblPr>
      <w:tr>
        <w:trPr>
          <w:trHeight w:val="391"/>
        </w:trPr>
        <w:tc>
          <w:tcPr>
            <w:tcW w:w="2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APPLICABLE</w:t>
            </w:r>
          </w:p>
        </w:tc>
        <w:tc>
          <w:tcPr>
            <w:tcW w:w="1460" w:type="dxa"/>
            <w:vAlign w:val="bottom"/>
            <w:tcBorders>
              <w:top w:val="single" w:sz="8" w:color="auto"/>
              <w:right w:val="single" w:sz="8" w:color="auto"/>
            </w:tcBorders>
          </w:tcPr>
          <w:p>
            <w:pPr>
              <w:spacing w:after="0"/>
              <w:rPr>
                <w:sz w:val="24"/>
                <w:szCs w:val="24"/>
                <w:color w:val="auto"/>
              </w:rPr>
            </w:pPr>
          </w:p>
        </w:tc>
        <w:tc>
          <w:tcPr>
            <w:tcW w:w="142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4"/>
                <w:szCs w:val="24"/>
                <w:color w:val="auto"/>
              </w:rPr>
            </w:pPr>
          </w:p>
        </w:tc>
      </w:tr>
      <w:tr>
        <w:trPr>
          <w:trHeight w:val="243"/>
        </w:trPr>
        <w:tc>
          <w:tcPr>
            <w:tcW w:w="2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MARGIN FOR</w:t>
            </w:r>
          </w:p>
        </w:tc>
        <w:tc>
          <w:tcPr>
            <w:tcW w:w="14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243"/>
        </w:trPr>
        <w:tc>
          <w:tcPr>
            <w:tcW w:w="2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REVOLVING</w:t>
            </w:r>
          </w:p>
        </w:tc>
        <w:tc>
          <w:tcPr>
            <w:tcW w:w="14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243"/>
        </w:trPr>
        <w:tc>
          <w:tcPr>
            <w:tcW w:w="2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9"/>
              </w:rPr>
              <w:t>LOAN</w:t>
            </w:r>
          </w:p>
        </w:tc>
        <w:tc>
          <w:tcPr>
            <w:tcW w:w="14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w:t>
            </w: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II</w:t>
            </w:r>
          </w:p>
        </w:tc>
        <w:tc>
          <w:tcPr>
            <w:tcW w:w="13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III</w:t>
            </w:r>
          </w:p>
        </w:tc>
        <w:tc>
          <w:tcPr>
            <w:tcW w:w="13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IV</w:t>
            </w:r>
          </w:p>
        </w:tc>
      </w:tr>
      <w:tr>
        <w:trPr>
          <w:trHeight w:val="281"/>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ADVANCES</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STATUS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r>
      <w:tr>
        <w:trPr>
          <w:trHeight w:val="132"/>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r>
        <w:trPr>
          <w:trHeight w:val="402"/>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Eurodollar Rate Margin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1.75%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2.00%</w:t>
            </w:r>
          </w:p>
        </w:tc>
      </w:tr>
      <w:tr>
        <w:trPr>
          <w:trHeight w:val="132"/>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r>
        <w:trPr>
          <w:trHeight w:val="402"/>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Base Rate Margin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0.25%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0.75%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1.00%</w:t>
            </w:r>
          </w:p>
        </w:tc>
      </w:tr>
      <w:tr>
        <w:trPr>
          <w:trHeight w:val="132"/>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364"/>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APPLICABLE</w:t>
            </w:r>
          </w:p>
        </w:tc>
        <w:tc>
          <w:tcPr>
            <w:tcW w:w="14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43"/>
        </w:trPr>
        <w:tc>
          <w:tcPr>
            <w:tcW w:w="2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COMMITMENT</w:t>
            </w:r>
          </w:p>
        </w:tc>
        <w:tc>
          <w:tcPr>
            <w:tcW w:w="146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r>
      <w:tr>
        <w:trPr>
          <w:trHeight w:val="243"/>
        </w:trPr>
        <w:tc>
          <w:tcPr>
            <w:tcW w:w="2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w w:val="98"/>
              </w:rPr>
              <w:t>FEE</w:t>
            </w:r>
          </w:p>
        </w:tc>
        <w:tc>
          <w:tcPr>
            <w:tcW w:w="14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w:t>
            </w: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II</w:t>
            </w:r>
          </w:p>
        </w:tc>
        <w:tc>
          <w:tcPr>
            <w:tcW w:w="13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III</w:t>
            </w:r>
          </w:p>
        </w:tc>
        <w:tc>
          <w:tcPr>
            <w:tcW w:w="13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IV</w:t>
            </w:r>
          </w:p>
        </w:tc>
      </w:tr>
      <w:tr>
        <w:trPr>
          <w:trHeight w:val="281"/>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RATE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STATUS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r>
      <w:tr>
        <w:trPr>
          <w:trHeight w:val="132"/>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r>
        <w:trPr>
          <w:trHeight w:val="402"/>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Commitment Fee Rate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0.20%</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0.25%</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0.30%</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0.35%</w:t>
            </w:r>
          </w:p>
        </w:tc>
      </w:tr>
      <w:tr>
        <w:trPr>
          <w:trHeight w:val="132"/>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r>
        <w:trPr>
          <w:trHeight w:val="223"/>
        </w:trPr>
        <w:tc>
          <w:tcPr>
            <w:tcW w:w="2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364"/>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LETTER OF</w:t>
            </w:r>
          </w:p>
        </w:tc>
        <w:tc>
          <w:tcPr>
            <w:tcW w:w="1460" w:type="dxa"/>
            <w:vAlign w:val="bottom"/>
            <w:tcBorders>
              <w:right w:val="single" w:sz="8" w:color="auto"/>
            </w:tcBorders>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r>
        <w:trPr>
          <w:trHeight w:val="243"/>
        </w:trPr>
        <w:tc>
          <w:tcPr>
            <w:tcW w:w="250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CREDIT</w:t>
            </w:r>
          </w:p>
        </w:tc>
        <w:tc>
          <w:tcPr>
            <w:tcW w:w="14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w:t>
            </w: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II</w:t>
            </w:r>
          </w:p>
        </w:tc>
        <w:tc>
          <w:tcPr>
            <w:tcW w:w="13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III</w:t>
            </w:r>
          </w:p>
        </w:tc>
        <w:tc>
          <w:tcPr>
            <w:tcW w:w="13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b w:val="1"/>
                <w:bCs w:val="1"/>
                <w:color w:val="auto"/>
              </w:rPr>
              <w:t>LEVEL IV</w:t>
            </w:r>
          </w:p>
        </w:tc>
      </w:tr>
      <w:tr>
        <w:trPr>
          <w:trHeight w:val="281"/>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7"/>
              </w:rPr>
              <w:t>FEE RATE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STATUS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STATUS</w:t>
            </w:r>
          </w:p>
        </w:tc>
      </w:tr>
      <w:tr>
        <w:trPr>
          <w:trHeight w:val="132"/>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r>
        <w:trPr>
          <w:trHeight w:val="402"/>
        </w:trPr>
        <w:tc>
          <w:tcPr>
            <w:tcW w:w="2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LC Fee Rate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1.25%</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1.75%</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6"/>
              </w:rPr>
              <w:t>2.00%</w:t>
            </w:r>
          </w:p>
        </w:tc>
      </w:tr>
      <w:tr>
        <w:trPr>
          <w:trHeight w:val="132"/>
        </w:trPr>
        <w:tc>
          <w:tcPr>
            <w:tcW w:w="2500" w:type="dxa"/>
            <w:vAlign w:val="bottom"/>
            <w:tcBorders>
              <w:left w:val="single" w:sz="8" w:color="auto"/>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420" w:type="dxa"/>
            <w:vAlign w:val="bottom"/>
            <w:tcBorders>
              <w:bottom w:val="single" w:sz="8" w:color="auto"/>
              <w:right w:val="single" w:sz="8" w:color="auto"/>
            </w:tcBorders>
          </w:tcPr>
          <w:p>
            <w:pPr>
              <w:spacing w:after="0"/>
              <w:rPr>
                <w:sz w:val="11"/>
                <w:szCs w:val="11"/>
                <w:color w:val="auto"/>
              </w:rPr>
            </w:pPr>
          </w:p>
        </w:tc>
        <w:tc>
          <w:tcPr>
            <w:tcW w:w="136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tcPr>
          <w:p>
            <w:pPr>
              <w:spacing w:after="0"/>
              <w:rPr>
                <w:sz w:val="11"/>
                <w:szCs w:val="11"/>
                <w:color w:val="auto"/>
              </w:rPr>
            </w:pPr>
          </w:p>
        </w:tc>
      </w:tr>
    </w:tbl>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For the period beginning on the Amendment No. 5 Effective Date and continuing to the date on which the financial statements and certificates are delivered by the Borrower for the first full fiscal quarter thereafter pursuant to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as applicable, Level I Status shall apply. Notwithstanding the foregoing if the Borrower has failed to deliver the financial statements and certificates required by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6.2(b)</w:t>
      </w:r>
      <w:r>
        <w:rPr>
          <w:rFonts w:ascii="Arial" w:cs="Arial" w:eastAsia="Arial" w:hAnsi="Arial"/>
          <w:sz w:val="19"/>
          <w:szCs w:val="19"/>
          <w:color w:val="auto"/>
        </w:rPr>
        <w:t xml:space="preserve"> then Level IV Status will be deemed to exist after two Business Days’ notice from the Agent to the Borrower.</w:t>
      </w:r>
    </w:p>
    <w:p>
      <w:pPr>
        <w:spacing w:after="0" w:line="14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For the purposes of this Pricing Schedule, the following terms have the following meanings, subject to the final paragraph of this Pricing Schedule: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Level I Status</w:t>
      </w:r>
      <w:r>
        <w:rPr>
          <w:rFonts w:ascii="Arial" w:cs="Arial" w:eastAsia="Arial" w:hAnsi="Arial"/>
          <w:sz w:val="22"/>
          <w:szCs w:val="22"/>
          <w:color w:val="auto"/>
        </w:rPr>
        <w:t>” exists for any day that the Total Leverage Ratio is less than 1.00 to 1.00.</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Level II Status</w:t>
      </w:r>
      <w:r>
        <w:rPr>
          <w:rFonts w:ascii="Arial" w:cs="Arial" w:eastAsia="Arial" w:hAnsi="Arial"/>
          <w:sz w:val="22"/>
          <w:szCs w:val="22"/>
          <w:color w:val="auto"/>
        </w:rPr>
        <w:t>” exists for any day that the Total Leverage Ratio is greater than or equal to 1.00 to 1.00 but is less than 1.75 to 1.00.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Schedule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40" w:name="page141"/>
    <w:bookmarkEnd w:id="140"/>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Level III Status</w:t>
      </w:r>
      <w:r>
        <w:rPr>
          <w:rFonts w:ascii="Arial" w:cs="Arial" w:eastAsia="Arial" w:hAnsi="Arial"/>
          <w:sz w:val="22"/>
          <w:szCs w:val="22"/>
          <w:color w:val="auto"/>
        </w:rPr>
        <w:t>” exists for any day that the Total Leverage Ratio is greater than or equal to 1.75 to 1.00 but is less than 2.50 to 1.00.</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Level IV Status</w:t>
      </w:r>
      <w:r>
        <w:rPr>
          <w:rFonts w:ascii="Arial" w:cs="Arial" w:eastAsia="Arial" w:hAnsi="Arial"/>
          <w:sz w:val="19"/>
          <w:szCs w:val="19"/>
          <w:color w:val="auto"/>
        </w:rPr>
        <w:t>” exists for any day that the Total Leverage Ratio is greater than or equal to 2.50 to 1.00.</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Status</w:t>
      </w:r>
      <w:r>
        <w:rPr>
          <w:rFonts w:ascii="Arial" w:cs="Arial" w:eastAsia="Arial" w:hAnsi="Arial"/>
          <w:sz w:val="22"/>
          <w:szCs w:val="22"/>
          <w:color w:val="auto"/>
        </w:rPr>
        <w:t>” means either Level I Status, Level II Status, Level III Status or Level IV Status.</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In the event that any financial statement delivered pursuant to this Agreement is shown to be inaccurate (regardless of whether this Agreement or the Commitments are in effect when such inaccuracy is discovered), and such inaccuracy, if corrected, would have led to the application of a higher Eurodollar Rate Margin or Base Rate Margin, as applicable, for any period (an “</w:t>
      </w:r>
      <w:r>
        <w:rPr>
          <w:rFonts w:ascii="Arial" w:cs="Arial" w:eastAsia="Arial" w:hAnsi="Arial"/>
          <w:sz w:val="21"/>
          <w:szCs w:val="21"/>
          <w:u w:val="single" w:color="auto"/>
          <w:color w:val="auto"/>
        </w:rPr>
        <w:t>Applicable Period</w:t>
      </w:r>
      <w:r>
        <w:rPr>
          <w:rFonts w:ascii="Arial" w:cs="Arial" w:eastAsia="Arial" w:hAnsi="Arial"/>
          <w:sz w:val="21"/>
          <w:szCs w:val="21"/>
          <w:color w:val="auto"/>
        </w:rPr>
        <w:t xml:space="preserve">”) than the Eurodollar Rate Margin or Base Rate Margin, as applicable, applied for such Applicable Period, and only in such case, then the Borrower shall immediately (i) deliver to the Agent a corrected financial statement for such Applicable Period, (ii) determine the Eurodollar Rate Margin or Base Rate Margin, as applicable, for such Applicable Period based upon the corrected financial statement, and (iii) immediately pay to the Agent the accrued additional interest owing as a result of such increased Eurodollar Rate Margin or Base Rate Margin, as applicable for such Applicable Period, which payment shall be promptly applied by the Agent in accordance with the terms of this Agreement. This provision is in addition to rights of the Agent and Lenders with respect to </w:t>
      </w:r>
      <w:r>
        <w:rPr>
          <w:rFonts w:ascii="Arial" w:cs="Arial" w:eastAsia="Arial" w:hAnsi="Arial"/>
          <w:sz w:val="21"/>
          <w:szCs w:val="21"/>
          <w:u w:val="single" w:color="auto"/>
          <w:color w:val="auto"/>
        </w:rPr>
        <w:t>Sections 2.5</w:t>
      </w:r>
      <w:r>
        <w:rPr>
          <w:rFonts w:ascii="Arial" w:cs="Arial" w:eastAsia="Arial" w:hAnsi="Arial"/>
          <w:sz w:val="21"/>
          <w:szCs w:val="21"/>
          <w:color w:val="auto"/>
        </w:rPr>
        <w:t xml:space="preserve">, </w:t>
      </w:r>
      <w:r>
        <w:rPr>
          <w:rFonts w:ascii="Arial" w:cs="Arial" w:eastAsia="Arial" w:hAnsi="Arial"/>
          <w:sz w:val="21"/>
          <w:szCs w:val="21"/>
          <w:u w:val="single" w:color="auto"/>
          <w:color w:val="auto"/>
        </w:rPr>
        <w:t>2.11</w:t>
      </w:r>
      <w:r>
        <w:rPr>
          <w:rFonts w:ascii="Arial" w:cs="Arial" w:eastAsia="Arial" w:hAnsi="Arial"/>
          <w:sz w:val="21"/>
          <w:szCs w:val="21"/>
          <w:color w:val="auto"/>
        </w:rPr>
        <w:t xml:space="preserve">, </w:t>
      </w:r>
      <w:r>
        <w:rPr>
          <w:rFonts w:ascii="Arial" w:cs="Arial" w:eastAsia="Arial" w:hAnsi="Arial"/>
          <w:sz w:val="21"/>
          <w:szCs w:val="21"/>
          <w:u w:val="single" w:color="auto"/>
          <w:color w:val="auto"/>
        </w:rPr>
        <w:t>6.10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8.1</w:t>
      </w:r>
      <w:r>
        <w:rPr>
          <w:rFonts w:ascii="Arial" w:cs="Arial" w:eastAsia="Arial" w:hAnsi="Arial"/>
          <w:sz w:val="21"/>
          <w:szCs w:val="21"/>
          <w:color w:val="auto"/>
        </w:rPr>
        <w:t xml:space="preserve"> and other of their respective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Pricing Schedule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22"/>
          <w:szCs w:val="22"/>
          <w:b w:val="1"/>
          <w:bCs w:val="1"/>
          <w:u w:val="single" w:color="auto"/>
          <w:color w:val="auto"/>
        </w:rPr>
        <w:t>EXHIBIT 1.1</w:t>
      </w: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U.S. TAX COMPLIANCE CERTIFICATES</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1.1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83185</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u w:val="single" w:color="auto"/>
          <w:color w:val="auto"/>
        </w:rPr>
        <w:t>EXHIBIT 1.1-1</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Lenders That Are Not Partnerships For U.S. Federal Income Tax Purposes)</w:t>
      </w:r>
    </w:p>
    <w:p>
      <w:pPr>
        <w:spacing w:after="0" w:line="3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Reference is hereby made to the Second Amended and Restated Credit Agreement dated as of July 16, 2010 (as amended,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Comfort Systems USA,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 each lender from time to time party thereto and Wells Fargo Bank, National Association, as Agent for the lenders (the “</w:t>
      </w:r>
      <w:r>
        <w:rPr>
          <w:rFonts w:ascii="Arial" w:cs="Arial" w:eastAsia="Arial" w:hAnsi="Arial"/>
          <w:sz w:val="21"/>
          <w:szCs w:val="21"/>
          <w:u w:val="single" w:color="auto"/>
          <w:color w:val="auto"/>
        </w:rPr>
        <w:t>Agent</w:t>
      </w:r>
      <w:r>
        <w:rPr>
          <w:rFonts w:ascii="Arial" w:cs="Arial" w:eastAsia="Arial" w:hAnsi="Arial"/>
          <w:sz w:val="21"/>
          <w:szCs w:val="21"/>
          <w:color w:val="auto"/>
        </w:rPr>
        <w:t>”).</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Pursuant to the provisions of Section 3.6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Internal Revenue Code, (iii) it is not a “ten percent shareholder” of Borrower within the meaning of Section 871(h)</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(3)(B) of the Internal Revenue Code and (iv) it is not a “controlled foreign corporation” related to Borrower as described in Section 881(c)(3)(C) of the Internal Revenue Code.</w:t>
      </w:r>
    </w:p>
    <w:p>
      <w:pPr>
        <w:spacing w:after="0" w:line="18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undersigned has furnished Agent and Borrower with a certificate of its non-U.S. Person status on IRS Form W-8BEN or IRS Form W-8BEN-E. By executing this certificate, the undersigned agrees that (1) if the information provided on this certificate changes, the undersigned shall promptly so inform the Borrower and Agent, and (2) the undersigned shall have at all times furnished the Borrower and Agent with a properly completed and currently effective certificate in either the calendar year in which each payment is to be made to the undersigned, or in either of the two calendar years preceding such payments.</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[NAME OF LENDER]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7620</wp:posOffset>
            </wp:positionV>
            <wp:extent cx="29330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200" w:type="dxa"/>
            <w:vAlign w:val="bottom"/>
          </w:tcPr>
          <w:p>
            <w:pPr>
              <w:spacing w:after="0" w:line="247" w:lineRule="exact"/>
              <w:rPr>
                <w:sz w:val="20"/>
                <w:szCs w:val="20"/>
                <w:color w:val="auto"/>
              </w:rPr>
            </w:pPr>
            <w:r>
              <w:rPr>
                <w:rFonts w:ascii="Arial" w:cs="Arial" w:eastAsia="Arial" w:hAnsi="Arial"/>
                <w:sz w:val="22"/>
                <w:szCs w:val="22"/>
                <w:color w:val="auto"/>
              </w:rPr>
              <w:t>Name:</w:t>
            </w:r>
          </w:p>
        </w:tc>
        <w:tc>
          <w:tcPr>
            <w:tcW w:w="1140" w:type="dxa"/>
            <w:vAlign w:val="bottom"/>
          </w:tcPr>
          <w:p>
            <w:pPr>
              <w:spacing w:after="0"/>
              <w:rPr>
                <w:sz w:val="21"/>
                <w:szCs w:val="2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1140" w:type="dxa"/>
            <w:vAlign w:val="bottom"/>
          </w:tcPr>
          <w:p>
            <w:pPr>
              <w:spacing w:after="0"/>
              <w:rPr>
                <w:sz w:val="21"/>
                <w:szCs w:val="21"/>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Date:</w:t>
            </w:r>
          </w:p>
        </w:tc>
        <w:tc>
          <w:tcPr>
            <w:tcW w:w="1140" w:type="dxa"/>
            <w:vAlign w:val="bottom"/>
          </w:tcPr>
          <w:p>
            <w:pPr>
              <w:jc w:val="right"/>
              <w:spacing w:after="0"/>
              <w:rPr>
                <w:sz w:val="20"/>
                <w:szCs w:val="20"/>
                <w:color w:val="auto"/>
              </w:rPr>
            </w:pPr>
            <w:r>
              <w:rPr>
                <w:rFonts w:ascii="Arial" w:cs="Arial" w:eastAsia="Arial" w:hAnsi="Arial"/>
                <w:sz w:val="22"/>
                <w:szCs w:val="22"/>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-31115</wp:posOffset>
            </wp:positionV>
            <wp:extent cx="8235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b w:val="1"/>
          <w:bCs w:val="1"/>
          <w:u w:val="single" w:color="auto"/>
          <w:color w:val="auto"/>
        </w:rPr>
        <w:t>EXHIBIT 1.1-2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Participants That Are Not Partnerships For U.S. Federal Income Tax Purposes)</w:t>
      </w:r>
    </w:p>
    <w:p>
      <w:pPr>
        <w:spacing w:after="0" w:line="34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Reference is hereby made to the Second Amended and Restated Credit Agreement dated as of July 16, 2010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Comfort Systems USA,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lender from time to time party thereto and Wells Fargo Bank, National Association, as Agent for the lenders.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Pursuant to the provisions of Section 3.6 of the Credit Agreement, the undersigned hereby certifies that (i) it is the sole record and beneficial owner of the participation in respect of which it is providing this certificate, (ii) it is not a “bank” within the meaning of Section 881(c)(3)(A) of the Internal Revenue Code, (iii) it is not a “ten percent shareholder” of Borrower within the meaning of Section 871(h)(3)(B) of the Internal Revenue Code and (iv) it is not a “controlled foreign corporation” related to Borrower as described in Section 881(c)(3)(C) of the Internal Revenue Code.</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[NAME OF PARTICIPANT]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7620</wp:posOffset>
            </wp:positionV>
            <wp:extent cx="289877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200" w:type="dxa"/>
            <w:vAlign w:val="bottom"/>
          </w:tcPr>
          <w:p>
            <w:pPr>
              <w:spacing w:after="0" w:line="247" w:lineRule="exact"/>
              <w:rPr>
                <w:sz w:val="20"/>
                <w:szCs w:val="20"/>
                <w:color w:val="auto"/>
              </w:rPr>
            </w:pPr>
            <w:r>
              <w:rPr>
                <w:rFonts w:ascii="Arial" w:cs="Arial" w:eastAsia="Arial" w:hAnsi="Arial"/>
                <w:sz w:val="22"/>
                <w:szCs w:val="22"/>
                <w:color w:val="auto"/>
              </w:rPr>
              <w:t>Name:</w:t>
            </w:r>
          </w:p>
        </w:tc>
        <w:tc>
          <w:tcPr>
            <w:tcW w:w="1140" w:type="dxa"/>
            <w:vAlign w:val="bottom"/>
          </w:tcPr>
          <w:p>
            <w:pPr>
              <w:spacing w:after="0"/>
              <w:rPr>
                <w:sz w:val="21"/>
                <w:szCs w:val="2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1140" w:type="dxa"/>
            <w:vAlign w:val="bottom"/>
          </w:tcPr>
          <w:p>
            <w:pPr>
              <w:spacing w:after="0"/>
              <w:rPr>
                <w:sz w:val="21"/>
                <w:szCs w:val="21"/>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Date:</w:t>
            </w:r>
          </w:p>
        </w:tc>
        <w:tc>
          <w:tcPr>
            <w:tcW w:w="1140" w:type="dxa"/>
            <w:vAlign w:val="bottom"/>
          </w:tcPr>
          <w:p>
            <w:pPr>
              <w:jc w:val="right"/>
              <w:spacing w:after="0"/>
              <w:rPr>
                <w:sz w:val="20"/>
                <w:szCs w:val="20"/>
                <w:color w:val="auto"/>
              </w:rPr>
            </w:pPr>
            <w:r>
              <w:rPr>
                <w:rFonts w:ascii="Arial" w:cs="Arial" w:eastAsia="Arial" w:hAnsi="Arial"/>
                <w:sz w:val="22"/>
                <w:szCs w:val="22"/>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-31115</wp:posOffset>
            </wp:positionV>
            <wp:extent cx="82359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2"/>
          <w:szCs w:val="22"/>
          <w:b w:val="1"/>
          <w:bCs w:val="1"/>
          <w:u w:val="single" w:color="auto"/>
          <w:color w:val="auto"/>
        </w:rPr>
        <w:t>EXHIBIT 1.1-3</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Participants That Are Partnerships For U.S. Federal Income Tax Purposes)</w:t>
      </w:r>
    </w:p>
    <w:p>
      <w:pPr>
        <w:spacing w:after="0" w:line="341"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22"/>
          <w:szCs w:val="22"/>
          <w:color w:val="auto"/>
        </w:rPr>
        <w:t>Reference is hereby made to the Second Amended and Restated Credit Agreement dated as of July 16, 2010 (as amended,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among Comfort Systems USA, Inc., a Delaware corporation (the “</w:t>
      </w:r>
      <w:r>
        <w:rPr>
          <w:rFonts w:ascii="Arial" w:cs="Arial" w:eastAsia="Arial" w:hAnsi="Arial"/>
          <w:sz w:val="22"/>
          <w:szCs w:val="22"/>
          <w:u w:val="single" w:color="auto"/>
          <w:color w:val="auto"/>
        </w:rPr>
        <w:t>Borrower</w:t>
      </w:r>
      <w:r>
        <w:rPr>
          <w:rFonts w:ascii="Arial" w:cs="Arial" w:eastAsia="Arial" w:hAnsi="Arial"/>
          <w:sz w:val="22"/>
          <w:szCs w:val="22"/>
          <w:color w:val="auto"/>
        </w:rPr>
        <w:t>”), each lender from time to time party thereto and Wells Fargo Bank, National Association, as Agent for the lenders.</w:t>
      </w:r>
    </w:p>
    <w:p>
      <w:pPr>
        <w:spacing w:after="0" w:line="185"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color w:val="auto"/>
        </w:rPr>
        <w:t>Pursuant to the provisions of Section 3.6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w:t>
      </w:r>
    </w:p>
    <w:p>
      <w:pPr>
        <w:spacing w:after="0" w:line="4" w:lineRule="exact"/>
        <w:rPr>
          <w:sz w:val="20"/>
          <w:szCs w:val="20"/>
          <w:color w:val="auto"/>
        </w:rPr>
      </w:pPr>
    </w:p>
    <w:p>
      <w:pPr>
        <w:jc w:val="both"/>
        <w:ind w:left="1" w:hanging="1"/>
        <w:spacing w:after="0" w:line="267" w:lineRule="auto"/>
        <w:tabs>
          <w:tab w:leader="none" w:pos="359"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of the Internal Revenue Code, (iv) none of its direct or indirect partners/members is a “ten percent shareholder” of Borrower within the meaning of Section 871(h)(3)(B) of the Internal Revenue Code and (v) none of its direct or indirect partners/members is a “controlled foreign corporation” related to Borrower as described in Section 881(c)</w:t>
      </w:r>
    </w:p>
    <w:p>
      <w:pPr>
        <w:ind w:left="1"/>
        <w:spacing w:after="0"/>
        <w:rPr>
          <w:rFonts w:ascii="Arial" w:cs="Arial" w:eastAsia="Arial" w:hAnsi="Arial"/>
          <w:sz w:val="19"/>
          <w:szCs w:val="19"/>
          <w:color w:val="auto"/>
        </w:rPr>
      </w:pPr>
      <w:r>
        <w:rPr>
          <w:rFonts w:ascii="Arial" w:cs="Arial" w:eastAsia="Arial" w:hAnsi="Arial"/>
          <w:sz w:val="22"/>
          <w:szCs w:val="22"/>
          <w:color w:val="auto"/>
        </w:rPr>
        <w:t>(3)(C) of the Internal Revenue Code.</w:t>
      </w:r>
    </w:p>
    <w:p>
      <w:pPr>
        <w:spacing w:after="0" w:line="188" w:lineRule="exact"/>
        <w:rPr>
          <w:sz w:val="20"/>
          <w:szCs w:val="20"/>
          <w:color w:val="auto"/>
        </w:rPr>
      </w:pPr>
    </w:p>
    <w:p>
      <w:pPr>
        <w:jc w:val="both"/>
        <w:ind w:left="1" w:firstLine="648"/>
        <w:spacing w:after="0" w:line="233" w:lineRule="auto"/>
        <w:rPr>
          <w:sz w:val="20"/>
          <w:szCs w:val="20"/>
          <w:color w:val="auto"/>
        </w:rPr>
      </w:pPr>
      <w:r>
        <w:rPr>
          <w:rFonts w:ascii="Arial" w:cs="Arial" w:eastAsia="Arial" w:hAnsi="Arial"/>
          <w:sz w:val="22"/>
          <w:szCs w:val="22"/>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4"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22"/>
          <w:szCs w:val="22"/>
          <w:color w:val="auto"/>
        </w:rPr>
        <w:t>[NAME OF PARTICIPANT]</w:t>
      </w:r>
    </w:p>
    <w:p>
      <w:pPr>
        <w:spacing w:after="0" w:line="233" w:lineRule="exact"/>
        <w:rPr>
          <w:sz w:val="20"/>
          <w:szCs w:val="20"/>
          <w:color w:val="auto"/>
        </w:rPr>
      </w:pPr>
    </w:p>
    <w:p>
      <w:pPr>
        <w:ind w:left="1"/>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7620</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tbl>
      <w:tblPr>
        <w:tblLayout w:type="fixed"/>
        <w:tblInd w:w="1" w:type="dxa"/>
        <w:tblCellMar>
          <w:top w:w="0" w:type="dxa"/>
          <w:left w:w="0" w:type="dxa"/>
          <w:bottom w:w="0" w:type="dxa"/>
          <w:right w:w="0" w:type="dxa"/>
        </w:tblCellMar>
      </w:tblPr>
      <w:tr>
        <w:trPr>
          <w:trHeight w:val="247"/>
        </w:trPr>
        <w:tc>
          <w:tcPr>
            <w:tcW w:w="1200" w:type="dxa"/>
            <w:vAlign w:val="bottom"/>
          </w:tcPr>
          <w:p>
            <w:pPr>
              <w:spacing w:after="0" w:line="247" w:lineRule="exact"/>
              <w:rPr>
                <w:sz w:val="20"/>
                <w:szCs w:val="20"/>
                <w:color w:val="auto"/>
              </w:rPr>
            </w:pPr>
            <w:r>
              <w:rPr>
                <w:rFonts w:ascii="Arial" w:cs="Arial" w:eastAsia="Arial" w:hAnsi="Arial"/>
                <w:sz w:val="22"/>
                <w:szCs w:val="22"/>
                <w:color w:val="auto"/>
              </w:rPr>
              <w:t>Name:</w:t>
            </w:r>
          </w:p>
        </w:tc>
        <w:tc>
          <w:tcPr>
            <w:tcW w:w="1140" w:type="dxa"/>
            <w:vAlign w:val="bottom"/>
          </w:tcPr>
          <w:p>
            <w:pPr>
              <w:spacing w:after="0"/>
              <w:rPr>
                <w:sz w:val="21"/>
                <w:szCs w:val="2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1140" w:type="dxa"/>
            <w:vAlign w:val="bottom"/>
          </w:tcPr>
          <w:p>
            <w:pPr>
              <w:spacing w:after="0"/>
              <w:rPr>
                <w:sz w:val="21"/>
                <w:szCs w:val="21"/>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Date:</w:t>
            </w:r>
          </w:p>
        </w:tc>
        <w:tc>
          <w:tcPr>
            <w:tcW w:w="1140" w:type="dxa"/>
            <w:vAlign w:val="bottom"/>
          </w:tcPr>
          <w:p>
            <w:pPr>
              <w:jc w:val="right"/>
              <w:spacing w:after="0"/>
              <w:rPr>
                <w:sz w:val="20"/>
                <w:szCs w:val="20"/>
                <w:color w:val="auto"/>
              </w:rPr>
            </w:pPr>
            <w:r>
              <w:rPr>
                <w:rFonts w:ascii="Arial" w:cs="Arial" w:eastAsia="Arial" w:hAnsi="Arial"/>
                <w:sz w:val="22"/>
                <w:szCs w:val="22"/>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-31115</wp:posOffset>
            </wp:positionV>
            <wp:extent cx="8235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388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u w:val="single" w:color="auto"/>
          <w:color w:val="auto"/>
        </w:rPr>
        <w:t>EXHIBIT 1.1-4</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 Foreign Lenders That Are Partnerships For U.S. Federal Income Tax Purposes)</w:t>
      </w:r>
    </w:p>
    <w:p>
      <w:pPr>
        <w:spacing w:after="0" w:line="34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Reference is hereby made to the Second Amended and Restated Credit Agreement dated as of July 16, 2010 (as amended, supplemented or otherwise modified from time to time, the “</w:t>
      </w:r>
      <w:r>
        <w:rPr>
          <w:rFonts w:ascii="Arial" w:cs="Arial" w:eastAsia="Arial" w:hAnsi="Arial"/>
          <w:sz w:val="21"/>
          <w:szCs w:val="21"/>
          <w:u w:val="single" w:color="auto"/>
          <w:color w:val="auto"/>
        </w:rPr>
        <w:t>Credit Agreement</w:t>
      </w:r>
      <w:r>
        <w:rPr>
          <w:rFonts w:ascii="Arial" w:cs="Arial" w:eastAsia="Arial" w:hAnsi="Arial"/>
          <w:sz w:val="21"/>
          <w:szCs w:val="21"/>
          <w:color w:val="auto"/>
        </w:rPr>
        <w:t>”), among Comfort Systems USA,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 each lender from time to time party thereto and Wells Fargo Bank, National Association, as Agent for the lenders (the “</w:t>
      </w:r>
      <w:r>
        <w:rPr>
          <w:rFonts w:ascii="Arial" w:cs="Arial" w:eastAsia="Arial" w:hAnsi="Arial"/>
          <w:sz w:val="21"/>
          <w:szCs w:val="21"/>
          <w:u w:val="single" w:color="auto"/>
          <w:color w:val="auto"/>
        </w:rPr>
        <w:t>Agent</w:t>
      </w:r>
      <w:r>
        <w:rPr>
          <w:rFonts w:ascii="Arial" w:cs="Arial" w:eastAsia="Arial" w:hAnsi="Arial"/>
          <w:sz w:val="21"/>
          <w:szCs w:val="21"/>
          <w:color w:val="auto"/>
        </w:rPr>
        <w:t>”).</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Pursuant to the provisions of Section 3.6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Borrower within the meaning of Section 871(h)(3)(B) of the Internal Revenue Code and (v) none of its direct or indirect partners/members is a “controlled foreign corporation” related to Borrower as described in Section 881(c)(3)(C) of the Internal Revenue Code.</w:t>
      </w:r>
    </w:p>
    <w:p>
      <w:pPr>
        <w:spacing w:after="0" w:line="16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undersigned has furnished Agent and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Borrower and Agent, and (2) the undersigned shall have at all times furnished Borrower and Agent with a properly completed and currently effective certificate in either the calendar year in which each payment is to be made to the undersigned, or in either of the two calendar years preceding such payments.</w:t>
      </w:r>
    </w:p>
    <w:p>
      <w:pPr>
        <w:spacing w:after="0" w:line="18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Unless otherwise defined herein, terms defined in the Credit Agreement and used herein shall have the meanings given to them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[NAME OF LENDER]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7620</wp:posOffset>
            </wp:positionV>
            <wp:extent cx="29159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47"/>
        </w:trPr>
        <w:tc>
          <w:tcPr>
            <w:tcW w:w="1200" w:type="dxa"/>
            <w:vAlign w:val="bottom"/>
          </w:tcPr>
          <w:p>
            <w:pPr>
              <w:spacing w:after="0" w:line="247" w:lineRule="exact"/>
              <w:rPr>
                <w:sz w:val="20"/>
                <w:szCs w:val="20"/>
                <w:color w:val="auto"/>
              </w:rPr>
            </w:pPr>
            <w:r>
              <w:rPr>
                <w:rFonts w:ascii="Arial" w:cs="Arial" w:eastAsia="Arial" w:hAnsi="Arial"/>
                <w:sz w:val="22"/>
                <w:szCs w:val="22"/>
                <w:color w:val="auto"/>
              </w:rPr>
              <w:t>Name:</w:t>
            </w:r>
          </w:p>
        </w:tc>
        <w:tc>
          <w:tcPr>
            <w:tcW w:w="1140" w:type="dxa"/>
            <w:vAlign w:val="bottom"/>
          </w:tcPr>
          <w:p>
            <w:pPr>
              <w:spacing w:after="0"/>
              <w:rPr>
                <w:sz w:val="21"/>
                <w:szCs w:val="21"/>
                <w:color w:val="auto"/>
              </w:rPr>
            </w:pPr>
          </w:p>
        </w:tc>
      </w:tr>
      <w:tr>
        <w:trPr>
          <w:trHeight w:val="243"/>
        </w:trPr>
        <w:tc>
          <w:tcPr>
            <w:tcW w:w="1200" w:type="dxa"/>
            <w:vAlign w:val="bottom"/>
          </w:tcPr>
          <w:p>
            <w:pPr>
              <w:spacing w:after="0" w:line="243" w:lineRule="exact"/>
              <w:rPr>
                <w:sz w:val="20"/>
                <w:szCs w:val="20"/>
                <w:color w:val="auto"/>
              </w:rPr>
            </w:pPr>
            <w:r>
              <w:rPr>
                <w:rFonts w:ascii="Arial" w:cs="Arial" w:eastAsia="Arial" w:hAnsi="Arial"/>
                <w:sz w:val="22"/>
                <w:szCs w:val="22"/>
                <w:color w:val="auto"/>
              </w:rPr>
              <w:t>Title:</w:t>
            </w:r>
          </w:p>
        </w:tc>
        <w:tc>
          <w:tcPr>
            <w:tcW w:w="1140" w:type="dxa"/>
            <w:vAlign w:val="bottom"/>
          </w:tcPr>
          <w:p>
            <w:pPr>
              <w:spacing w:after="0"/>
              <w:rPr>
                <w:sz w:val="21"/>
                <w:szCs w:val="21"/>
                <w:color w:val="auto"/>
              </w:rPr>
            </w:pPr>
          </w:p>
        </w:tc>
      </w:tr>
      <w:tr>
        <w:trPr>
          <w:trHeight w:val="275"/>
        </w:trPr>
        <w:tc>
          <w:tcPr>
            <w:tcW w:w="1200" w:type="dxa"/>
            <w:vAlign w:val="bottom"/>
          </w:tcPr>
          <w:p>
            <w:pPr>
              <w:spacing w:after="0"/>
              <w:rPr>
                <w:sz w:val="20"/>
                <w:szCs w:val="20"/>
                <w:color w:val="auto"/>
              </w:rPr>
            </w:pPr>
            <w:r>
              <w:rPr>
                <w:rFonts w:ascii="Arial" w:cs="Arial" w:eastAsia="Arial" w:hAnsi="Arial"/>
                <w:sz w:val="22"/>
                <w:szCs w:val="22"/>
                <w:color w:val="auto"/>
              </w:rPr>
              <w:t>Date:</w:t>
            </w:r>
          </w:p>
        </w:tc>
        <w:tc>
          <w:tcPr>
            <w:tcW w:w="1140" w:type="dxa"/>
            <w:vAlign w:val="bottom"/>
          </w:tcPr>
          <w:p>
            <w:pPr>
              <w:jc w:val="right"/>
              <w:spacing w:after="0"/>
              <w:rPr>
                <w:sz w:val="20"/>
                <w:szCs w:val="20"/>
                <w:color w:val="auto"/>
              </w:rPr>
            </w:pPr>
            <w:r>
              <w:rPr>
                <w:rFonts w:ascii="Arial" w:cs="Arial" w:eastAsia="Arial" w:hAnsi="Arial"/>
                <w:sz w:val="22"/>
                <w:szCs w:val="22"/>
                <w:color w:val="auto"/>
              </w:rPr>
              <w:t>, 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-31115</wp:posOffset>
            </wp:positionV>
            <wp:extent cx="8235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1.1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22"/>
          <w:szCs w:val="22"/>
          <w:b w:val="1"/>
          <w:bCs w:val="1"/>
          <w:color w:val="auto"/>
        </w:rPr>
        <w:t>SCHEDULE 3.1</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LENDERS SCHEDULE</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920" w:type="dxa"/>
            <w:vAlign w:val="bottom"/>
            <w:tcBorders>
              <w:top w:val="single" w:sz="8" w:color="auto"/>
              <w:left w:val="single" w:sz="8" w:color="auto"/>
              <w:right w:val="single" w:sz="8" w:color="auto"/>
            </w:tcBorders>
          </w:tcPr>
          <w:p>
            <w:pPr>
              <w:ind w:left="740"/>
              <w:spacing w:after="0" w:line="229" w:lineRule="exact"/>
              <w:rPr>
                <w:sz w:val="20"/>
                <w:szCs w:val="20"/>
                <w:color w:val="auto"/>
              </w:rPr>
            </w:pPr>
            <w:r>
              <w:rPr>
                <w:rFonts w:ascii="Arial" w:cs="Arial" w:eastAsia="Arial" w:hAnsi="Arial"/>
                <w:sz w:val="22"/>
                <w:szCs w:val="22"/>
                <w:b w:val="1"/>
                <w:bCs w:val="1"/>
                <w:color w:val="auto"/>
              </w:rPr>
              <w:t>Domestic Lending Office</w:t>
            </w:r>
          </w:p>
        </w:tc>
        <w:tc>
          <w:tcPr>
            <w:tcW w:w="1900" w:type="dxa"/>
            <w:vAlign w:val="bottom"/>
            <w:tcBorders>
              <w:top w:val="single" w:sz="8" w:color="auto"/>
              <w:right w:val="single" w:sz="8" w:color="auto"/>
            </w:tcBorders>
          </w:tcPr>
          <w:p>
            <w:pPr>
              <w:jc w:val="center"/>
              <w:ind w:right="134"/>
              <w:spacing w:after="0" w:line="229" w:lineRule="exact"/>
              <w:rPr>
                <w:sz w:val="20"/>
                <w:szCs w:val="20"/>
                <w:color w:val="auto"/>
              </w:rPr>
            </w:pPr>
            <w:r>
              <w:rPr>
                <w:rFonts w:ascii="Arial" w:cs="Arial" w:eastAsia="Arial" w:hAnsi="Arial"/>
                <w:sz w:val="22"/>
                <w:szCs w:val="22"/>
                <w:b w:val="1"/>
                <w:bCs w:val="1"/>
                <w:color w:val="auto"/>
                <w:w w:val="92"/>
              </w:rPr>
              <w:t>Eurodollar</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jc w:val="center"/>
              <w:ind w:right="232"/>
              <w:spacing w:after="0" w:line="229" w:lineRule="exact"/>
              <w:rPr>
                <w:sz w:val="20"/>
                <w:szCs w:val="20"/>
                <w:color w:val="auto"/>
              </w:rPr>
            </w:pPr>
            <w:r>
              <w:rPr>
                <w:rFonts w:ascii="Arial" w:cs="Arial" w:eastAsia="Arial" w:hAnsi="Arial"/>
                <w:sz w:val="22"/>
                <w:szCs w:val="22"/>
                <w:b w:val="1"/>
                <w:bCs w:val="1"/>
                <w:color w:val="auto"/>
                <w:w w:val="85"/>
              </w:rPr>
              <w:t>Percentage</w:t>
            </w:r>
          </w:p>
        </w:tc>
        <w:tc>
          <w:tcPr>
            <w:tcW w:w="2600" w:type="dxa"/>
            <w:vAlign w:val="bottom"/>
            <w:tcBorders>
              <w:top w:val="single" w:sz="8" w:color="auto"/>
              <w:right w:val="single" w:sz="8" w:color="auto"/>
            </w:tcBorders>
          </w:tcPr>
          <w:p>
            <w:pPr>
              <w:jc w:val="center"/>
              <w:ind w:right="132"/>
              <w:spacing w:after="0" w:line="229" w:lineRule="exact"/>
              <w:rPr>
                <w:sz w:val="20"/>
                <w:szCs w:val="20"/>
                <w:color w:val="auto"/>
              </w:rPr>
            </w:pPr>
            <w:r>
              <w:rPr>
                <w:rFonts w:ascii="Arial" w:cs="Arial" w:eastAsia="Arial" w:hAnsi="Arial"/>
                <w:sz w:val="22"/>
                <w:szCs w:val="22"/>
                <w:b w:val="1"/>
                <w:bCs w:val="1"/>
                <w:color w:val="auto"/>
                <w:w w:val="87"/>
              </w:rPr>
              <w:t>Revolving</w:t>
            </w:r>
          </w:p>
        </w:tc>
      </w:tr>
      <w:tr>
        <w:trPr>
          <w:trHeight w:val="243"/>
        </w:trPr>
        <w:tc>
          <w:tcPr>
            <w:tcW w:w="392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jc w:val="center"/>
              <w:ind w:right="154"/>
              <w:spacing w:after="0" w:line="243" w:lineRule="exact"/>
              <w:rPr>
                <w:sz w:val="20"/>
                <w:szCs w:val="20"/>
                <w:color w:val="auto"/>
              </w:rPr>
            </w:pPr>
            <w:r>
              <w:rPr>
                <w:rFonts w:ascii="Arial" w:cs="Arial" w:eastAsia="Arial" w:hAnsi="Arial"/>
                <w:sz w:val="22"/>
                <w:szCs w:val="22"/>
                <w:b w:val="1"/>
                <w:bCs w:val="1"/>
                <w:color w:val="auto"/>
                <w:w w:val="88"/>
              </w:rPr>
              <w:t>Lending</w:t>
            </w:r>
          </w:p>
        </w:tc>
        <w:tc>
          <w:tcPr>
            <w:tcW w:w="100" w:type="dxa"/>
            <w:vAlign w:val="bottom"/>
          </w:tcPr>
          <w:p>
            <w:pPr>
              <w:spacing w:after="0"/>
              <w:rPr>
                <w:sz w:val="21"/>
                <w:szCs w:val="21"/>
                <w:color w:val="auto"/>
              </w:rPr>
            </w:pPr>
          </w:p>
        </w:tc>
        <w:tc>
          <w:tcPr>
            <w:tcW w:w="1560" w:type="dxa"/>
            <w:vAlign w:val="bottom"/>
            <w:tcBorders>
              <w:right w:val="single" w:sz="8" w:color="auto"/>
            </w:tcBorders>
          </w:tcPr>
          <w:p>
            <w:pPr>
              <w:jc w:val="center"/>
              <w:ind w:right="232"/>
              <w:spacing w:after="0" w:line="243" w:lineRule="exact"/>
              <w:rPr>
                <w:sz w:val="20"/>
                <w:szCs w:val="20"/>
                <w:color w:val="auto"/>
              </w:rPr>
            </w:pPr>
            <w:r>
              <w:rPr>
                <w:rFonts w:ascii="Arial" w:cs="Arial" w:eastAsia="Arial" w:hAnsi="Arial"/>
                <w:sz w:val="22"/>
                <w:szCs w:val="22"/>
                <w:b w:val="1"/>
                <w:bCs w:val="1"/>
                <w:color w:val="auto"/>
                <w:w w:val="88"/>
              </w:rPr>
              <w:t>Share</w:t>
            </w:r>
          </w:p>
        </w:tc>
        <w:tc>
          <w:tcPr>
            <w:tcW w:w="2600" w:type="dxa"/>
            <w:vAlign w:val="bottom"/>
            <w:tcBorders>
              <w:right w:val="single" w:sz="8" w:color="auto"/>
            </w:tcBorders>
          </w:tcPr>
          <w:p>
            <w:pPr>
              <w:jc w:val="center"/>
              <w:ind w:right="132"/>
              <w:spacing w:after="0" w:line="243" w:lineRule="exact"/>
              <w:rPr>
                <w:sz w:val="20"/>
                <w:szCs w:val="20"/>
                <w:color w:val="auto"/>
              </w:rPr>
            </w:pPr>
            <w:r>
              <w:rPr>
                <w:rFonts w:ascii="Arial" w:cs="Arial" w:eastAsia="Arial" w:hAnsi="Arial"/>
                <w:sz w:val="22"/>
                <w:szCs w:val="22"/>
                <w:b w:val="1"/>
                <w:bCs w:val="1"/>
                <w:color w:val="auto"/>
                <w:w w:val="91"/>
              </w:rPr>
              <w:t>Loan</w:t>
            </w:r>
          </w:p>
        </w:tc>
      </w:tr>
      <w:tr>
        <w:trPr>
          <w:trHeight w:val="271"/>
        </w:trPr>
        <w:tc>
          <w:tcPr>
            <w:tcW w:w="3920" w:type="dxa"/>
            <w:vAlign w:val="bottom"/>
            <w:tcBorders>
              <w:left w:val="single" w:sz="8" w:color="auto"/>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22"/>
                <w:szCs w:val="22"/>
                <w:b w:val="1"/>
                <w:bCs w:val="1"/>
                <w:color w:val="auto"/>
                <w:w w:val="89"/>
              </w:rPr>
              <w:t>Office</w:t>
            </w: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jc w:val="center"/>
              <w:ind w:right="132"/>
              <w:spacing w:after="0"/>
              <w:rPr>
                <w:sz w:val="20"/>
                <w:szCs w:val="20"/>
                <w:color w:val="auto"/>
              </w:rPr>
            </w:pPr>
            <w:r>
              <w:rPr>
                <w:rFonts w:ascii="Arial" w:cs="Arial" w:eastAsia="Arial" w:hAnsi="Arial"/>
                <w:sz w:val="22"/>
                <w:szCs w:val="22"/>
                <w:b w:val="1"/>
                <w:bCs w:val="1"/>
                <w:color w:val="auto"/>
                <w:w w:val="92"/>
              </w:rPr>
              <w:t>Commitment</w:t>
            </w: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Wells Fargo Bank, N.A.</w:t>
            </w:r>
          </w:p>
        </w:tc>
        <w:tc>
          <w:tcPr>
            <w:tcW w:w="1900" w:type="dxa"/>
            <w:vAlign w:val="bottom"/>
            <w:tcBorders>
              <w:right w:val="single" w:sz="8" w:color="auto"/>
            </w:tcBorders>
          </w:tcPr>
          <w:p>
            <w:pPr>
              <w:jc w:val="center"/>
              <w:ind w:right="154"/>
              <w:spacing w:after="0" w:line="216" w:lineRule="exact"/>
              <w:rPr>
                <w:sz w:val="20"/>
                <w:szCs w:val="20"/>
                <w:color w:val="auto"/>
              </w:rPr>
            </w:pPr>
            <w:r>
              <w:rPr>
                <w:rFonts w:ascii="Arial" w:cs="Arial" w:eastAsia="Arial" w:hAnsi="Arial"/>
                <w:sz w:val="22"/>
                <w:szCs w:val="22"/>
                <w:color w:val="auto"/>
                <w:w w:val="83"/>
              </w:rPr>
              <w:t>Same</w:t>
            </w:r>
          </w:p>
        </w:tc>
        <w:tc>
          <w:tcPr>
            <w:tcW w:w="100" w:type="dxa"/>
            <w:vAlign w:val="bottom"/>
          </w:tcPr>
          <w:p>
            <w:pPr>
              <w:spacing w:after="0"/>
              <w:rPr>
                <w:sz w:val="18"/>
                <w:szCs w:val="18"/>
                <w:color w:val="auto"/>
              </w:rPr>
            </w:pPr>
          </w:p>
        </w:tc>
        <w:tc>
          <w:tcPr>
            <w:tcW w:w="1560" w:type="dxa"/>
            <w:vAlign w:val="bottom"/>
            <w:tcBorders>
              <w:right w:val="single" w:sz="8" w:color="auto"/>
            </w:tcBorders>
          </w:tcPr>
          <w:p>
            <w:pPr>
              <w:jc w:val="center"/>
              <w:ind w:right="232"/>
              <w:spacing w:after="0" w:line="216" w:lineRule="exact"/>
              <w:rPr>
                <w:sz w:val="20"/>
                <w:szCs w:val="20"/>
                <w:color w:val="auto"/>
              </w:rPr>
            </w:pPr>
            <w:r>
              <w:rPr>
                <w:rFonts w:ascii="Arial" w:cs="Arial" w:eastAsia="Arial" w:hAnsi="Arial"/>
                <w:sz w:val="22"/>
                <w:szCs w:val="22"/>
                <w:color w:val="auto"/>
                <w:w w:val="88"/>
              </w:rPr>
              <w:t>23.75%</w:t>
            </w:r>
          </w:p>
        </w:tc>
        <w:tc>
          <w:tcPr>
            <w:tcW w:w="2600" w:type="dxa"/>
            <w:vAlign w:val="bottom"/>
            <w:tcBorders>
              <w:right w:val="single" w:sz="8" w:color="auto"/>
            </w:tcBorders>
          </w:tcPr>
          <w:p>
            <w:pPr>
              <w:jc w:val="center"/>
              <w:ind w:right="132"/>
              <w:spacing w:after="0" w:line="216" w:lineRule="exact"/>
              <w:rPr>
                <w:sz w:val="20"/>
                <w:szCs w:val="20"/>
                <w:color w:val="auto"/>
              </w:rPr>
            </w:pPr>
            <w:r>
              <w:rPr>
                <w:rFonts w:ascii="Arial" w:cs="Arial" w:eastAsia="Arial" w:hAnsi="Arial"/>
                <w:sz w:val="22"/>
                <w:szCs w:val="22"/>
                <w:color w:val="auto"/>
                <w:w w:val="88"/>
              </w:rPr>
              <w:t>$95,000,000.00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1000 Louisiana, 10th Floor</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Houston, TX 77002</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(713) 319-1332</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 (713) 739-1086</w:t>
            </w:r>
          </w:p>
        </w:tc>
        <w:tc>
          <w:tcPr>
            <w:tcW w:w="1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BOKF, NA dba Bank of Texas</w:t>
            </w:r>
          </w:p>
        </w:tc>
        <w:tc>
          <w:tcPr>
            <w:tcW w:w="1900" w:type="dxa"/>
            <w:vAlign w:val="bottom"/>
            <w:tcBorders>
              <w:right w:val="single" w:sz="8" w:color="auto"/>
            </w:tcBorders>
          </w:tcPr>
          <w:p>
            <w:pPr>
              <w:jc w:val="center"/>
              <w:ind w:right="154"/>
              <w:spacing w:after="0" w:line="216" w:lineRule="exact"/>
              <w:rPr>
                <w:sz w:val="20"/>
                <w:szCs w:val="20"/>
                <w:color w:val="auto"/>
              </w:rPr>
            </w:pPr>
            <w:r>
              <w:rPr>
                <w:rFonts w:ascii="Arial" w:cs="Arial" w:eastAsia="Arial" w:hAnsi="Arial"/>
                <w:sz w:val="22"/>
                <w:szCs w:val="22"/>
                <w:color w:val="auto"/>
                <w:w w:val="83"/>
              </w:rPr>
              <w:t>Same</w:t>
            </w:r>
          </w:p>
        </w:tc>
        <w:tc>
          <w:tcPr>
            <w:tcW w:w="100" w:type="dxa"/>
            <w:vAlign w:val="bottom"/>
          </w:tcPr>
          <w:p>
            <w:pPr>
              <w:spacing w:after="0"/>
              <w:rPr>
                <w:sz w:val="18"/>
                <w:szCs w:val="18"/>
                <w:color w:val="auto"/>
              </w:rPr>
            </w:pPr>
          </w:p>
        </w:tc>
        <w:tc>
          <w:tcPr>
            <w:tcW w:w="1560" w:type="dxa"/>
            <w:vAlign w:val="bottom"/>
            <w:tcBorders>
              <w:right w:val="single" w:sz="8" w:color="auto"/>
            </w:tcBorders>
          </w:tcPr>
          <w:p>
            <w:pPr>
              <w:jc w:val="center"/>
              <w:ind w:right="232"/>
              <w:spacing w:after="0" w:line="216" w:lineRule="exact"/>
              <w:rPr>
                <w:sz w:val="20"/>
                <w:szCs w:val="20"/>
                <w:color w:val="auto"/>
              </w:rPr>
            </w:pPr>
            <w:r>
              <w:rPr>
                <w:rFonts w:ascii="Arial" w:cs="Arial" w:eastAsia="Arial" w:hAnsi="Arial"/>
                <w:sz w:val="22"/>
                <w:szCs w:val="22"/>
                <w:color w:val="auto"/>
                <w:w w:val="88"/>
              </w:rPr>
              <w:t>13.75%</w:t>
            </w:r>
          </w:p>
        </w:tc>
        <w:tc>
          <w:tcPr>
            <w:tcW w:w="2600" w:type="dxa"/>
            <w:vAlign w:val="bottom"/>
            <w:tcBorders>
              <w:right w:val="single" w:sz="8" w:color="auto"/>
            </w:tcBorders>
          </w:tcPr>
          <w:p>
            <w:pPr>
              <w:jc w:val="center"/>
              <w:ind w:right="132"/>
              <w:spacing w:after="0" w:line="216" w:lineRule="exact"/>
              <w:rPr>
                <w:sz w:val="20"/>
                <w:szCs w:val="20"/>
                <w:color w:val="auto"/>
              </w:rPr>
            </w:pPr>
            <w:r>
              <w:rPr>
                <w:rFonts w:ascii="Arial" w:cs="Arial" w:eastAsia="Arial" w:hAnsi="Arial"/>
                <w:sz w:val="22"/>
                <w:szCs w:val="22"/>
                <w:color w:val="auto"/>
                <w:w w:val="88"/>
              </w:rPr>
              <w:t>$55,000,000.00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5 Houston Center</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1401 McKinney, Suite 1000</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Houston, Texas 77010</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(713) 289-5875</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 (713) 289-5825</w:t>
            </w:r>
          </w:p>
        </w:tc>
        <w:tc>
          <w:tcPr>
            <w:tcW w:w="1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Capital One, N.A.</w:t>
            </w:r>
          </w:p>
        </w:tc>
        <w:tc>
          <w:tcPr>
            <w:tcW w:w="1900" w:type="dxa"/>
            <w:vAlign w:val="bottom"/>
            <w:tcBorders>
              <w:right w:val="single" w:sz="8" w:color="auto"/>
            </w:tcBorders>
          </w:tcPr>
          <w:p>
            <w:pPr>
              <w:jc w:val="center"/>
              <w:ind w:right="154"/>
              <w:spacing w:after="0" w:line="216" w:lineRule="exact"/>
              <w:rPr>
                <w:sz w:val="20"/>
                <w:szCs w:val="20"/>
                <w:color w:val="auto"/>
              </w:rPr>
            </w:pPr>
            <w:r>
              <w:rPr>
                <w:rFonts w:ascii="Arial" w:cs="Arial" w:eastAsia="Arial" w:hAnsi="Arial"/>
                <w:sz w:val="22"/>
                <w:szCs w:val="22"/>
                <w:color w:val="auto"/>
                <w:w w:val="83"/>
              </w:rPr>
              <w:t>Same</w:t>
            </w:r>
          </w:p>
        </w:tc>
        <w:tc>
          <w:tcPr>
            <w:tcW w:w="100" w:type="dxa"/>
            <w:vAlign w:val="bottom"/>
          </w:tcPr>
          <w:p>
            <w:pPr>
              <w:spacing w:after="0"/>
              <w:rPr>
                <w:sz w:val="18"/>
                <w:szCs w:val="18"/>
                <w:color w:val="auto"/>
              </w:rPr>
            </w:pPr>
          </w:p>
        </w:tc>
        <w:tc>
          <w:tcPr>
            <w:tcW w:w="1560" w:type="dxa"/>
            <w:vAlign w:val="bottom"/>
            <w:tcBorders>
              <w:right w:val="single" w:sz="8" w:color="auto"/>
            </w:tcBorders>
          </w:tcPr>
          <w:p>
            <w:pPr>
              <w:jc w:val="center"/>
              <w:ind w:right="232"/>
              <w:spacing w:after="0" w:line="216" w:lineRule="exact"/>
              <w:rPr>
                <w:sz w:val="20"/>
                <w:szCs w:val="20"/>
                <w:color w:val="auto"/>
              </w:rPr>
            </w:pPr>
            <w:r>
              <w:rPr>
                <w:rFonts w:ascii="Arial" w:cs="Arial" w:eastAsia="Arial" w:hAnsi="Arial"/>
                <w:sz w:val="22"/>
                <w:szCs w:val="22"/>
                <w:color w:val="auto"/>
                <w:w w:val="88"/>
              </w:rPr>
              <w:t>13.75%</w:t>
            </w:r>
          </w:p>
        </w:tc>
        <w:tc>
          <w:tcPr>
            <w:tcW w:w="2600" w:type="dxa"/>
            <w:vAlign w:val="bottom"/>
            <w:tcBorders>
              <w:right w:val="single" w:sz="8" w:color="auto"/>
            </w:tcBorders>
          </w:tcPr>
          <w:p>
            <w:pPr>
              <w:jc w:val="center"/>
              <w:ind w:right="132"/>
              <w:spacing w:after="0" w:line="216" w:lineRule="exact"/>
              <w:rPr>
                <w:sz w:val="20"/>
                <w:szCs w:val="20"/>
                <w:color w:val="auto"/>
              </w:rPr>
            </w:pPr>
            <w:r>
              <w:rPr>
                <w:rFonts w:ascii="Arial" w:cs="Arial" w:eastAsia="Arial" w:hAnsi="Arial"/>
                <w:sz w:val="22"/>
                <w:szCs w:val="22"/>
                <w:color w:val="auto"/>
                <w:w w:val="88"/>
              </w:rPr>
              <w:t>$55,000,000.00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5444 Westheimer, Suite 700</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Houston, Texas 77056</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(713) 212-5285</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 (855) 735-8388</w:t>
            </w:r>
          </w:p>
        </w:tc>
        <w:tc>
          <w:tcPr>
            <w:tcW w:w="1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Branch Bank and Trust Company</w:t>
            </w:r>
          </w:p>
        </w:tc>
        <w:tc>
          <w:tcPr>
            <w:tcW w:w="1900" w:type="dxa"/>
            <w:vAlign w:val="bottom"/>
            <w:tcBorders>
              <w:right w:val="single" w:sz="8" w:color="auto"/>
            </w:tcBorders>
          </w:tcPr>
          <w:p>
            <w:pPr>
              <w:jc w:val="center"/>
              <w:ind w:right="154"/>
              <w:spacing w:after="0" w:line="216" w:lineRule="exact"/>
              <w:rPr>
                <w:sz w:val="20"/>
                <w:szCs w:val="20"/>
                <w:color w:val="auto"/>
              </w:rPr>
            </w:pPr>
            <w:r>
              <w:rPr>
                <w:rFonts w:ascii="Arial" w:cs="Arial" w:eastAsia="Arial" w:hAnsi="Arial"/>
                <w:sz w:val="22"/>
                <w:szCs w:val="22"/>
                <w:color w:val="auto"/>
                <w:w w:val="83"/>
              </w:rPr>
              <w:t>Same</w:t>
            </w:r>
          </w:p>
        </w:tc>
        <w:tc>
          <w:tcPr>
            <w:tcW w:w="100" w:type="dxa"/>
            <w:vAlign w:val="bottom"/>
          </w:tcPr>
          <w:p>
            <w:pPr>
              <w:spacing w:after="0"/>
              <w:rPr>
                <w:sz w:val="18"/>
                <w:szCs w:val="18"/>
                <w:color w:val="auto"/>
              </w:rPr>
            </w:pPr>
          </w:p>
        </w:tc>
        <w:tc>
          <w:tcPr>
            <w:tcW w:w="1560" w:type="dxa"/>
            <w:vAlign w:val="bottom"/>
            <w:tcBorders>
              <w:right w:val="single" w:sz="8" w:color="auto"/>
            </w:tcBorders>
          </w:tcPr>
          <w:p>
            <w:pPr>
              <w:jc w:val="center"/>
              <w:ind w:right="232"/>
              <w:spacing w:after="0" w:line="216" w:lineRule="exact"/>
              <w:rPr>
                <w:sz w:val="20"/>
                <w:szCs w:val="20"/>
                <w:color w:val="auto"/>
              </w:rPr>
            </w:pPr>
            <w:r>
              <w:rPr>
                <w:rFonts w:ascii="Arial" w:cs="Arial" w:eastAsia="Arial" w:hAnsi="Arial"/>
                <w:sz w:val="22"/>
                <w:szCs w:val="22"/>
                <w:color w:val="auto"/>
                <w:w w:val="88"/>
              </w:rPr>
              <w:t>13.75%</w:t>
            </w:r>
          </w:p>
        </w:tc>
        <w:tc>
          <w:tcPr>
            <w:tcW w:w="2600" w:type="dxa"/>
            <w:vAlign w:val="bottom"/>
            <w:tcBorders>
              <w:right w:val="single" w:sz="8" w:color="auto"/>
            </w:tcBorders>
          </w:tcPr>
          <w:p>
            <w:pPr>
              <w:jc w:val="center"/>
              <w:ind w:right="132"/>
              <w:spacing w:after="0" w:line="216" w:lineRule="exact"/>
              <w:rPr>
                <w:sz w:val="20"/>
                <w:szCs w:val="20"/>
                <w:color w:val="auto"/>
              </w:rPr>
            </w:pPr>
            <w:r>
              <w:rPr>
                <w:rFonts w:ascii="Arial" w:cs="Arial" w:eastAsia="Arial" w:hAnsi="Arial"/>
                <w:sz w:val="22"/>
                <w:szCs w:val="22"/>
                <w:color w:val="auto"/>
                <w:w w:val="88"/>
              </w:rPr>
              <w:t>$55,000,000.00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200 W. 2</w:t>
            </w:r>
            <w:r>
              <w:rPr>
                <w:rFonts w:ascii="Arial" w:cs="Arial" w:eastAsia="Arial" w:hAnsi="Arial"/>
                <w:sz w:val="10"/>
                <w:szCs w:val="10"/>
                <w:color w:val="auto"/>
              </w:rPr>
              <w:t>nd</w:t>
            </w:r>
            <w:r>
              <w:rPr>
                <w:rFonts w:ascii="Arial" w:cs="Arial" w:eastAsia="Arial" w:hAnsi="Arial"/>
                <w:sz w:val="22"/>
                <w:szCs w:val="22"/>
                <w:color w:val="auto"/>
              </w:rPr>
              <w:t xml:space="preserve"> St., 16</w:t>
            </w:r>
            <w:r>
              <w:rPr>
                <w:rFonts w:ascii="Arial" w:cs="Arial" w:eastAsia="Arial" w:hAnsi="Arial"/>
                <w:sz w:val="10"/>
                <w:szCs w:val="10"/>
                <w:color w:val="auto"/>
              </w:rPr>
              <w:t>th</w:t>
            </w:r>
            <w:r>
              <w:rPr>
                <w:rFonts w:ascii="Arial" w:cs="Arial" w:eastAsia="Arial" w:hAnsi="Arial"/>
                <w:sz w:val="22"/>
                <w:szCs w:val="22"/>
                <w:color w:val="auto"/>
              </w:rPr>
              <w:t xml:space="preserve"> Floor</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Winston-Salem, North Carolina 27101</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(336) 733-2741</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 (336) 733-2740</w:t>
            </w:r>
          </w:p>
        </w:tc>
        <w:tc>
          <w:tcPr>
            <w:tcW w:w="1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Regions Bank</w:t>
            </w:r>
          </w:p>
        </w:tc>
        <w:tc>
          <w:tcPr>
            <w:tcW w:w="1900" w:type="dxa"/>
            <w:vAlign w:val="bottom"/>
            <w:tcBorders>
              <w:right w:val="single" w:sz="8" w:color="auto"/>
            </w:tcBorders>
          </w:tcPr>
          <w:p>
            <w:pPr>
              <w:jc w:val="center"/>
              <w:ind w:right="154"/>
              <w:spacing w:after="0" w:line="216" w:lineRule="exact"/>
              <w:rPr>
                <w:sz w:val="20"/>
                <w:szCs w:val="20"/>
                <w:color w:val="auto"/>
              </w:rPr>
            </w:pPr>
            <w:r>
              <w:rPr>
                <w:rFonts w:ascii="Arial" w:cs="Arial" w:eastAsia="Arial" w:hAnsi="Arial"/>
                <w:sz w:val="22"/>
                <w:szCs w:val="22"/>
                <w:color w:val="auto"/>
                <w:w w:val="83"/>
              </w:rPr>
              <w:t>Same</w:t>
            </w:r>
          </w:p>
        </w:tc>
        <w:tc>
          <w:tcPr>
            <w:tcW w:w="100" w:type="dxa"/>
            <w:vAlign w:val="bottom"/>
          </w:tcPr>
          <w:p>
            <w:pPr>
              <w:spacing w:after="0"/>
              <w:rPr>
                <w:sz w:val="18"/>
                <w:szCs w:val="18"/>
                <w:color w:val="auto"/>
              </w:rPr>
            </w:pPr>
          </w:p>
        </w:tc>
        <w:tc>
          <w:tcPr>
            <w:tcW w:w="1560" w:type="dxa"/>
            <w:vAlign w:val="bottom"/>
            <w:tcBorders>
              <w:right w:val="single" w:sz="8" w:color="auto"/>
            </w:tcBorders>
          </w:tcPr>
          <w:p>
            <w:pPr>
              <w:jc w:val="center"/>
              <w:ind w:right="232"/>
              <w:spacing w:after="0" w:line="216" w:lineRule="exact"/>
              <w:rPr>
                <w:sz w:val="20"/>
                <w:szCs w:val="20"/>
                <w:color w:val="auto"/>
              </w:rPr>
            </w:pPr>
            <w:r>
              <w:rPr>
                <w:rFonts w:ascii="Arial" w:cs="Arial" w:eastAsia="Arial" w:hAnsi="Arial"/>
                <w:sz w:val="22"/>
                <w:szCs w:val="22"/>
                <w:color w:val="auto"/>
                <w:w w:val="88"/>
              </w:rPr>
              <w:t>11.25%</w:t>
            </w:r>
          </w:p>
        </w:tc>
        <w:tc>
          <w:tcPr>
            <w:tcW w:w="2600" w:type="dxa"/>
            <w:vAlign w:val="bottom"/>
            <w:tcBorders>
              <w:right w:val="single" w:sz="8" w:color="auto"/>
            </w:tcBorders>
          </w:tcPr>
          <w:p>
            <w:pPr>
              <w:jc w:val="center"/>
              <w:ind w:right="132"/>
              <w:spacing w:after="0" w:line="216" w:lineRule="exact"/>
              <w:rPr>
                <w:sz w:val="20"/>
                <w:szCs w:val="20"/>
                <w:color w:val="auto"/>
              </w:rPr>
            </w:pPr>
            <w:r>
              <w:rPr>
                <w:rFonts w:ascii="Arial" w:cs="Arial" w:eastAsia="Arial" w:hAnsi="Arial"/>
                <w:sz w:val="22"/>
                <w:szCs w:val="22"/>
                <w:color w:val="auto"/>
                <w:w w:val="88"/>
              </w:rPr>
              <w:t>$45,000,000.00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5005 Woodway</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Houston, Texas 77056</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(713) 426-7157</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 (713) 426-7180</w:t>
            </w:r>
          </w:p>
        </w:tc>
        <w:tc>
          <w:tcPr>
            <w:tcW w:w="1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U.S. Bank National Association</w:t>
            </w:r>
          </w:p>
        </w:tc>
        <w:tc>
          <w:tcPr>
            <w:tcW w:w="1900" w:type="dxa"/>
            <w:vAlign w:val="bottom"/>
            <w:tcBorders>
              <w:right w:val="single" w:sz="8" w:color="auto"/>
            </w:tcBorders>
          </w:tcPr>
          <w:p>
            <w:pPr>
              <w:jc w:val="center"/>
              <w:ind w:right="154"/>
              <w:spacing w:after="0" w:line="216" w:lineRule="exact"/>
              <w:rPr>
                <w:sz w:val="20"/>
                <w:szCs w:val="20"/>
                <w:color w:val="auto"/>
              </w:rPr>
            </w:pPr>
            <w:r>
              <w:rPr>
                <w:rFonts w:ascii="Arial" w:cs="Arial" w:eastAsia="Arial" w:hAnsi="Arial"/>
                <w:sz w:val="22"/>
                <w:szCs w:val="22"/>
                <w:color w:val="auto"/>
                <w:w w:val="83"/>
              </w:rPr>
              <w:t>Same</w:t>
            </w:r>
          </w:p>
        </w:tc>
        <w:tc>
          <w:tcPr>
            <w:tcW w:w="100" w:type="dxa"/>
            <w:vAlign w:val="bottom"/>
          </w:tcPr>
          <w:p>
            <w:pPr>
              <w:spacing w:after="0"/>
              <w:rPr>
                <w:sz w:val="18"/>
                <w:szCs w:val="18"/>
                <w:color w:val="auto"/>
              </w:rPr>
            </w:pPr>
          </w:p>
        </w:tc>
        <w:tc>
          <w:tcPr>
            <w:tcW w:w="1560" w:type="dxa"/>
            <w:vAlign w:val="bottom"/>
            <w:tcBorders>
              <w:right w:val="single" w:sz="8" w:color="auto"/>
            </w:tcBorders>
          </w:tcPr>
          <w:p>
            <w:pPr>
              <w:jc w:val="center"/>
              <w:ind w:right="232"/>
              <w:spacing w:after="0" w:line="216" w:lineRule="exact"/>
              <w:rPr>
                <w:sz w:val="20"/>
                <w:szCs w:val="20"/>
                <w:color w:val="auto"/>
              </w:rPr>
            </w:pPr>
            <w:r>
              <w:rPr>
                <w:rFonts w:ascii="Arial" w:cs="Arial" w:eastAsia="Arial" w:hAnsi="Arial"/>
                <w:sz w:val="22"/>
                <w:szCs w:val="22"/>
                <w:color w:val="auto"/>
                <w:w w:val="88"/>
              </w:rPr>
              <w:t>11.25%</w:t>
            </w:r>
          </w:p>
        </w:tc>
        <w:tc>
          <w:tcPr>
            <w:tcW w:w="2600" w:type="dxa"/>
            <w:vAlign w:val="bottom"/>
            <w:tcBorders>
              <w:right w:val="single" w:sz="8" w:color="auto"/>
            </w:tcBorders>
          </w:tcPr>
          <w:p>
            <w:pPr>
              <w:jc w:val="center"/>
              <w:ind w:right="132"/>
              <w:spacing w:after="0" w:line="216" w:lineRule="exact"/>
              <w:rPr>
                <w:sz w:val="20"/>
                <w:szCs w:val="20"/>
                <w:color w:val="auto"/>
              </w:rPr>
            </w:pPr>
            <w:r>
              <w:rPr>
                <w:rFonts w:ascii="Arial" w:cs="Arial" w:eastAsia="Arial" w:hAnsi="Arial"/>
                <w:sz w:val="22"/>
                <w:szCs w:val="22"/>
                <w:color w:val="auto"/>
                <w:w w:val="88"/>
              </w:rPr>
              <w:t>$45,000,000.00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425 Walnut St. CN-OH-W8</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Cincinnati, Ohio 45202</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(513) 632-4133</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 (513) 632-4894</w:t>
            </w:r>
          </w:p>
        </w:tc>
        <w:tc>
          <w:tcPr>
            <w:tcW w:w="1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r>
        <w:trPr>
          <w:trHeight w:val="215"/>
        </w:trPr>
        <w:tc>
          <w:tcPr>
            <w:tcW w:w="392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SunTrust Bank</w:t>
            </w:r>
          </w:p>
        </w:tc>
        <w:tc>
          <w:tcPr>
            <w:tcW w:w="1900" w:type="dxa"/>
            <w:vAlign w:val="bottom"/>
            <w:tcBorders>
              <w:right w:val="single" w:sz="8" w:color="auto"/>
            </w:tcBorders>
          </w:tcPr>
          <w:p>
            <w:pPr>
              <w:jc w:val="center"/>
              <w:ind w:right="154"/>
              <w:spacing w:after="0" w:line="216" w:lineRule="exact"/>
              <w:rPr>
                <w:sz w:val="20"/>
                <w:szCs w:val="20"/>
                <w:color w:val="auto"/>
              </w:rPr>
            </w:pPr>
            <w:r>
              <w:rPr>
                <w:rFonts w:ascii="Arial" w:cs="Arial" w:eastAsia="Arial" w:hAnsi="Arial"/>
                <w:sz w:val="22"/>
                <w:szCs w:val="22"/>
                <w:color w:val="auto"/>
                <w:w w:val="83"/>
              </w:rPr>
              <w:t>Same</w:t>
            </w:r>
          </w:p>
        </w:tc>
        <w:tc>
          <w:tcPr>
            <w:tcW w:w="100" w:type="dxa"/>
            <w:vAlign w:val="bottom"/>
          </w:tcPr>
          <w:p>
            <w:pPr>
              <w:spacing w:after="0"/>
              <w:rPr>
                <w:sz w:val="18"/>
                <w:szCs w:val="18"/>
                <w:color w:val="auto"/>
              </w:rPr>
            </w:pPr>
          </w:p>
        </w:tc>
        <w:tc>
          <w:tcPr>
            <w:tcW w:w="1560" w:type="dxa"/>
            <w:vAlign w:val="bottom"/>
            <w:tcBorders>
              <w:right w:val="single" w:sz="8" w:color="auto"/>
            </w:tcBorders>
          </w:tcPr>
          <w:p>
            <w:pPr>
              <w:jc w:val="center"/>
              <w:ind w:right="252"/>
              <w:spacing w:after="0" w:line="216" w:lineRule="exact"/>
              <w:rPr>
                <w:sz w:val="20"/>
                <w:szCs w:val="20"/>
                <w:color w:val="auto"/>
              </w:rPr>
            </w:pPr>
            <w:r>
              <w:rPr>
                <w:rFonts w:ascii="Arial" w:cs="Arial" w:eastAsia="Arial" w:hAnsi="Arial"/>
                <w:sz w:val="22"/>
                <w:szCs w:val="22"/>
                <w:color w:val="auto"/>
                <w:w w:val="89"/>
              </w:rPr>
              <w:t>6.25%</w:t>
            </w:r>
          </w:p>
        </w:tc>
        <w:tc>
          <w:tcPr>
            <w:tcW w:w="2600" w:type="dxa"/>
            <w:vAlign w:val="bottom"/>
            <w:tcBorders>
              <w:right w:val="single" w:sz="8" w:color="auto"/>
            </w:tcBorders>
          </w:tcPr>
          <w:p>
            <w:pPr>
              <w:jc w:val="center"/>
              <w:ind w:right="132"/>
              <w:spacing w:after="0" w:line="216" w:lineRule="exact"/>
              <w:rPr>
                <w:sz w:val="20"/>
                <w:szCs w:val="20"/>
                <w:color w:val="auto"/>
              </w:rPr>
            </w:pPr>
            <w:r>
              <w:rPr>
                <w:rFonts w:ascii="Arial" w:cs="Arial" w:eastAsia="Arial" w:hAnsi="Arial"/>
                <w:sz w:val="22"/>
                <w:szCs w:val="22"/>
                <w:color w:val="auto"/>
                <w:w w:val="88"/>
              </w:rPr>
              <w:t>$25,000,000.00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200 Crescent Court, Suite 850</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Dallas, Texas 75201</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(214) 999-1702</w:t>
            </w:r>
          </w:p>
        </w:tc>
        <w:tc>
          <w:tcPr>
            <w:tcW w:w="190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w:t>
            </w:r>
          </w:p>
        </w:tc>
        <w:tc>
          <w:tcPr>
            <w:tcW w:w="1900" w:type="dxa"/>
            <w:vAlign w:val="bottom"/>
            <w:tcBorders>
              <w:bottom w:val="single" w:sz="8" w:color="auto"/>
              <w:right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r>
        <w:trPr>
          <w:trHeight w:val="642"/>
        </w:trPr>
        <w:tc>
          <w:tcPr>
            <w:tcW w:w="3920" w:type="dxa"/>
            <w:vAlign w:val="bottom"/>
          </w:tcPr>
          <w:p>
            <w:pPr>
              <w:spacing w:after="0"/>
              <w:rPr>
                <w:sz w:val="24"/>
                <w:szCs w:val="24"/>
                <w:color w:val="auto"/>
              </w:rPr>
            </w:pPr>
          </w:p>
        </w:tc>
        <w:tc>
          <w:tcPr>
            <w:tcW w:w="2000" w:type="dxa"/>
            <w:vAlign w:val="bottom"/>
            <w:gridSpan w:val="2"/>
          </w:tcPr>
          <w:p>
            <w:pPr>
              <w:ind w:left="320"/>
              <w:spacing w:after="0"/>
              <w:rPr>
                <w:sz w:val="20"/>
                <w:szCs w:val="20"/>
                <w:color w:val="auto"/>
              </w:rPr>
            </w:pPr>
            <w:r>
              <w:rPr>
                <w:rFonts w:ascii="Arial" w:cs="Arial" w:eastAsia="Arial" w:hAnsi="Arial"/>
                <w:sz w:val="18"/>
                <w:szCs w:val="18"/>
                <w:color w:val="auto"/>
                <w:w w:val="91"/>
              </w:rPr>
              <w:t>Schedule 3.1 – Page 1</w:t>
            </w:r>
          </w:p>
        </w:tc>
        <w:tc>
          <w:tcPr>
            <w:tcW w:w="156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29"/>
        </w:trPr>
        <w:tc>
          <w:tcPr>
            <w:tcW w:w="39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111" w:right="899" w:bottom="1440" w:gutter="0" w:footer="0" w:header="0"/>
        </w:sectPr>
      </w:pPr>
    </w:p>
    <w:bookmarkStart w:id="147" w:name="page148"/>
    <w:bookmarkEnd w:id="1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3920" w:type="dxa"/>
            <w:vAlign w:val="bottom"/>
            <w:tcBorders>
              <w:top w:val="single" w:sz="8" w:color="auto"/>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Cadence Bank, N.A.</w:t>
            </w:r>
          </w:p>
        </w:tc>
        <w:tc>
          <w:tcPr>
            <w:tcW w:w="1900" w:type="dxa"/>
            <w:vAlign w:val="bottom"/>
            <w:tcBorders>
              <w:top w:val="single" w:sz="8" w:color="auto"/>
              <w:right w:val="single" w:sz="8" w:color="auto"/>
            </w:tcBorders>
          </w:tcPr>
          <w:p>
            <w:pPr>
              <w:ind w:left="580"/>
              <w:spacing w:after="0" w:line="236" w:lineRule="exact"/>
              <w:rPr>
                <w:sz w:val="20"/>
                <w:szCs w:val="20"/>
                <w:color w:val="auto"/>
              </w:rPr>
            </w:pPr>
            <w:r>
              <w:rPr>
                <w:rFonts w:ascii="Arial" w:cs="Arial" w:eastAsia="Arial" w:hAnsi="Arial"/>
                <w:sz w:val="22"/>
                <w:szCs w:val="22"/>
                <w:color w:val="auto"/>
              </w:rPr>
              <w:t>Same</w:t>
            </w:r>
          </w:p>
        </w:tc>
        <w:tc>
          <w:tcPr>
            <w:tcW w:w="1660" w:type="dxa"/>
            <w:vAlign w:val="bottom"/>
            <w:tcBorders>
              <w:top w:val="single" w:sz="8" w:color="auto"/>
              <w:right w:val="single" w:sz="8" w:color="auto"/>
            </w:tcBorders>
          </w:tcPr>
          <w:p>
            <w:pPr>
              <w:jc w:val="right"/>
              <w:ind w:right="572"/>
              <w:spacing w:after="0" w:line="236" w:lineRule="exact"/>
              <w:rPr>
                <w:sz w:val="20"/>
                <w:szCs w:val="20"/>
                <w:color w:val="auto"/>
              </w:rPr>
            </w:pPr>
            <w:r>
              <w:rPr>
                <w:rFonts w:ascii="Arial" w:cs="Arial" w:eastAsia="Arial" w:hAnsi="Arial"/>
                <w:sz w:val="22"/>
                <w:szCs w:val="22"/>
                <w:color w:val="auto"/>
              </w:rPr>
              <w:t>6.25%</w:t>
            </w:r>
          </w:p>
        </w:tc>
        <w:tc>
          <w:tcPr>
            <w:tcW w:w="2600" w:type="dxa"/>
            <w:vAlign w:val="bottom"/>
            <w:tcBorders>
              <w:top w:val="single" w:sz="8" w:color="auto"/>
              <w:right w:val="single" w:sz="8" w:color="auto"/>
            </w:tcBorders>
          </w:tcPr>
          <w:p>
            <w:pPr>
              <w:jc w:val="right"/>
              <w:ind w:right="632"/>
              <w:spacing w:after="0" w:line="236" w:lineRule="exact"/>
              <w:rPr>
                <w:sz w:val="20"/>
                <w:szCs w:val="20"/>
                <w:color w:val="auto"/>
              </w:rPr>
            </w:pPr>
            <w:r>
              <w:rPr>
                <w:rFonts w:ascii="Arial" w:cs="Arial" w:eastAsia="Arial" w:hAnsi="Arial"/>
                <w:sz w:val="22"/>
                <w:szCs w:val="22"/>
                <w:color w:val="auto"/>
              </w:rPr>
              <w:t>$25,000,000.00</w:t>
            </w: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3500 Colonnade Pkwy., Suite 600</w:t>
            </w:r>
          </w:p>
        </w:tc>
        <w:tc>
          <w:tcPr>
            <w:tcW w:w="19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Birmingham, AL 35243</w:t>
            </w:r>
          </w:p>
        </w:tc>
        <w:tc>
          <w:tcPr>
            <w:tcW w:w="19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43"/>
        </w:trPr>
        <w:tc>
          <w:tcPr>
            <w:tcW w:w="392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Telephone: (205) 488-3367</w:t>
            </w:r>
          </w:p>
        </w:tc>
        <w:tc>
          <w:tcPr>
            <w:tcW w:w="1900" w:type="dxa"/>
            <w:vAlign w:val="bottom"/>
            <w:tcBorders>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600" w:type="dxa"/>
            <w:vAlign w:val="bottom"/>
            <w:tcBorders>
              <w:right w:val="single" w:sz="8" w:color="auto"/>
            </w:tcBorders>
          </w:tcPr>
          <w:p>
            <w:pPr>
              <w:spacing w:after="0"/>
              <w:rPr>
                <w:sz w:val="21"/>
                <w:szCs w:val="21"/>
                <w:color w:val="auto"/>
              </w:rPr>
            </w:pPr>
          </w:p>
        </w:tc>
      </w:tr>
      <w:tr>
        <w:trPr>
          <w:trHeight w:val="265"/>
        </w:trPr>
        <w:tc>
          <w:tcPr>
            <w:tcW w:w="39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Fax: (205) 488-3320</w:t>
            </w:r>
          </w:p>
        </w:tc>
        <w:tc>
          <w:tcPr>
            <w:tcW w:w="1900" w:type="dxa"/>
            <w:vAlign w:val="bottom"/>
            <w:tcBorders>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60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3.1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22"/>
          <w:szCs w:val="22"/>
          <w:b w:val="1"/>
          <w:bCs w:val="1"/>
          <w:color w:val="auto"/>
        </w:rPr>
        <w:t>SECTION 5.13 to SCHEDULE 5</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NAMES AND PLACES OF BUSINESS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660" w:type="dxa"/>
            <w:vAlign w:val="bottom"/>
            <w:tcBorders>
              <w:top w:val="single" w:sz="8" w:color="auto"/>
              <w:right w:val="single" w:sz="8" w:color="auto"/>
            </w:tcBorders>
            <w:shd w:val="clear" w:color="auto" w:fill="E0E0E0"/>
          </w:tcPr>
          <w:p>
            <w:pPr>
              <w:spacing w:after="0"/>
              <w:rPr>
                <w:sz w:val="23"/>
                <w:szCs w:val="23"/>
                <w:color w:val="auto"/>
              </w:rPr>
            </w:pPr>
          </w:p>
        </w:tc>
        <w:tc>
          <w:tcPr>
            <w:tcW w:w="2360" w:type="dxa"/>
            <w:vAlign w:val="bottom"/>
            <w:tcBorders>
              <w:top w:val="single" w:sz="8" w:color="auto"/>
              <w:right w:val="single" w:sz="8" w:color="auto"/>
            </w:tcBorders>
            <w:shd w:val="clear" w:color="auto" w:fill="E0E0E0"/>
          </w:tcPr>
          <w:p>
            <w:pPr>
              <w:spacing w:after="0"/>
              <w:rPr>
                <w:sz w:val="23"/>
                <w:szCs w:val="23"/>
                <w:color w:val="auto"/>
              </w:rPr>
            </w:pPr>
          </w:p>
        </w:tc>
        <w:tc>
          <w:tcPr>
            <w:tcW w:w="2160" w:type="dxa"/>
            <w:vAlign w:val="bottom"/>
            <w:tcBorders>
              <w:top w:val="single" w:sz="8" w:color="auto"/>
              <w:right w:val="single" w:sz="8" w:color="auto"/>
            </w:tcBorders>
            <w:shd w:val="clear" w:color="auto" w:fill="E0E0E0"/>
          </w:tcPr>
          <w:p>
            <w:pPr>
              <w:spacing w:after="0"/>
              <w:rPr>
                <w:sz w:val="23"/>
                <w:szCs w:val="23"/>
                <w:color w:val="auto"/>
              </w:rPr>
            </w:pPr>
          </w:p>
        </w:tc>
        <w:tc>
          <w:tcPr>
            <w:tcW w:w="172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0" w:type="dxa"/>
            <w:vAlign w:val="bottom"/>
          </w:tcPr>
          <w:p>
            <w:pPr>
              <w:spacing w:after="0"/>
              <w:rPr>
                <w:sz w:val="1"/>
                <w:szCs w:val="1"/>
                <w:color w:val="auto"/>
              </w:rPr>
            </w:pPr>
          </w:p>
        </w:tc>
      </w:tr>
      <w:tr>
        <w:trPr>
          <w:trHeight w:val="243"/>
        </w:trPr>
        <w:tc>
          <w:tcPr>
            <w:tcW w:w="2180" w:type="dxa"/>
            <w:vAlign w:val="bottom"/>
            <w:tcBorders>
              <w:left w:val="single" w:sz="8" w:color="auto"/>
              <w:right w:val="single" w:sz="8" w:color="auto"/>
            </w:tcBorders>
            <w:vMerge w:val="restart"/>
            <w:shd w:val="clear" w:color="auto" w:fill="E0E0E0"/>
          </w:tcPr>
          <w:p>
            <w:pPr>
              <w:ind w:left="120"/>
              <w:spacing w:after="0"/>
              <w:rPr>
                <w:sz w:val="20"/>
                <w:szCs w:val="20"/>
                <w:color w:val="auto"/>
              </w:rPr>
            </w:pPr>
            <w:r>
              <w:rPr>
                <w:rFonts w:ascii="Arial" w:cs="Arial" w:eastAsia="Arial" w:hAnsi="Arial"/>
                <w:sz w:val="22"/>
                <w:szCs w:val="22"/>
                <w:b w:val="1"/>
                <w:bCs w:val="1"/>
                <w:color w:val="auto"/>
              </w:rPr>
              <w:t>ENTITY NAME</w:t>
            </w:r>
          </w:p>
        </w:tc>
        <w:tc>
          <w:tcPr>
            <w:tcW w:w="1660" w:type="dxa"/>
            <w:vAlign w:val="bottom"/>
            <w:tcBorders>
              <w:right w:val="single" w:sz="8" w:color="auto"/>
            </w:tcBorders>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ADDRESS</w:t>
            </w:r>
          </w:p>
        </w:tc>
        <w:tc>
          <w:tcPr>
            <w:tcW w:w="236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w:t>
            </w:r>
          </w:p>
        </w:tc>
        <w:tc>
          <w:tcPr>
            <w:tcW w:w="2160" w:type="dxa"/>
            <w:vAlign w:val="bottom"/>
            <w:tcBorders>
              <w:right w:val="single" w:sz="8" w:color="auto"/>
            </w:tcBorders>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PRIOR</w:t>
            </w:r>
          </w:p>
        </w:tc>
        <w:tc>
          <w:tcPr>
            <w:tcW w:w="1720" w:type="dxa"/>
            <w:vAlign w:val="bottom"/>
            <w:tcBorders>
              <w:right w:val="single" w:sz="8" w:color="auto"/>
            </w:tcBorders>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59"/>
        </w:trPr>
        <w:tc>
          <w:tcPr>
            <w:tcW w:w="2180" w:type="dxa"/>
            <w:vAlign w:val="bottom"/>
            <w:tcBorders>
              <w:left w:val="single" w:sz="8" w:color="auto"/>
              <w:right w:val="single" w:sz="8" w:color="auto"/>
            </w:tcBorders>
            <w:vMerge w:val="continue"/>
            <w:shd w:val="clear" w:color="auto" w:fill="E0E0E0"/>
          </w:tcPr>
          <w:p>
            <w:pPr>
              <w:spacing w:after="0"/>
              <w:rPr>
                <w:sz w:val="13"/>
                <w:szCs w:val="13"/>
                <w:color w:val="auto"/>
              </w:rPr>
            </w:pPr>
          </w:p>
        </w:tc>
        <w:tc>
          <w:tcPr>
            <w:tcW w:w="1660" w:type="dxa"/>
            <w:vAlign w:val="bottom"/>
            <w:tcBorders>
              <w:right w:val="single" w:sz="8" w:color="auto"/>
            </w:tcBorders>
            <w:vMerge w:val="restart"/>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TYPE</w:t>
            </w:r>
          </w:p>
        </w:tc>
        <w:tc>
          <w:tcPr>
            <w:tcW w:w="2360" w:type="dxa"/>
            <w:vAlign w:val="bottom"/>
            <w:tcBorders>
              <w:right w:val="single" w:sz="8" w:color="auto"/>
            </w:tcBorders>
            <w:vMerge w:val="continue"/>
            <w:shd w:val="clear" w:color="auto" w:fill="E0E0E0"/>
          </w:tcPr>
          <w:p>
            <w:pPr>
              <w:spacing w:after="0"/>
              <w:rPr>
                <w:sz w:val="13"/>
                <w:szCs w:val="13"/>
                <w:color w:val="auto"/>
              </w:rPr>
            </w:pPr>
          </w:p>
        </w:tc>
        <w:tc>
          <w:tcPr>
            <w:tcW w:w="2160" w:type="dxa"/>
            <w:vAlign w:val="bottom"/>
            <w:tcBorders>
              <w:right w:val="single" w:sz="8" w:color="auto"/>
            </w:tcBorders>
            <w:vMerge w:val="restart"/>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ADDRESSES</w:t>
            </w:r>
          </w:p>
        </w:tc>
        <w:tc>
          <w:tcPr>
            <w:tcW w:w="172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84"/>
        </w:trPr>
        <w:tc>
          <w:tcPr>
            <w:tcW w:w="2180" w:type="dxa"/>
            <w:vAlign w:val="bottom"/>
            <w:tcBorders>
              <w:left w:val="single" w:sz="8" w:color="auto"/>
              <w:right w:val="single" w:sz="8" w:color="auto"/>
            </w:tcBorders>
            <w:shd w:val="clear" w:color="auto" w:fill="E0E0E0"/>
          </w:tcPr>
          <w:p>
            <w:pPr>
              <w:spacing w:after="0"/>
              <w:rPr>
                <w:sz w:val="7"/>
                <w:szCs w:val="7"/>
                <w:color w:val="auto"/>
              </w:rPr>
            </w:pPr>
          </w:p>
        </w:tc>
        <w:tc>
          <w:tcPr>
            <w:tcW w:w="1660" w:type="dxa"/>
            <w:vAlign w:val="bottom"/>
            <w:tcBorders>
              <w:right w:val="single" w:sz="8" w:color="auto"/>
            </w:tcBorders>
            <w:vMerge w:val="continue"/>
            <w:shd w:val="clear" w:color="auto" w:fill="E0E0E0"/>
          </w:tcPr>
          <w:p>
            <w:pPr>
              <w:spacing w:after="0"/>
              <w:rPr>
                <w:sz w:val="7"/>
                <w:szCs w:val="7"/>
                <w:color w:val="auto"/>
              </w:rPr>
            </w:pPr>
          </w:p>
        </w:tc>
        <w:tc>
          <w:tcPr>
            <w:tcW w:w="2360" w:type="dxa"/>
            <w:vAlign w:val="bottom"/>
            <w:tcBorders>
              <w:right w:val="single" w:sz="8" w:color="auto"/>
            </w:tcBorders>
            <w:shd w:val="clear" w:color="auto" w:fill="E0E0E0"/>
          </w:tcPr>
          <w:p>
            <w:pPr>
              <w:spacing w:after="0"/>
              <w:rPr>
                <w:sz w:val="7"/>
                <w:szCs w:val="7"/>
                <w:color w:val="auto"/>
              </w:rPr>
            </w:pPr>
          </w:p>
        </w:tc>
        <w:tc>
          <w:tcPr>
            <w:tcW w:w="2160" w:type="dxa"/>
            <w:vAlign w:val="bottom"/>
            <w:tcBorders>
              <w:right w:val="single" w:sz="8" w:color="auto"/>
            </w:tcBorders>
            <w:vMerge w:val="continue"/>
            <w:shd w:val="clear" w:color="auto" w:fill="E0E0E0"/>
          </w:tcPr>
          <w:p>
            <w:pPr>
              <w:spacing w:after="0"/>
              <w:rPr>
                <w:sz w:val="7"/>
                <w:szCs w:val="7"/>
                <w:color w:val="auto"/>
              </w:rPr>
            </w:pPr>
          </w:p>
        </w:tc>
        <w:tc>
          <w:tcPr>
            <w:tcW w:w="1720" w:type="dxa"/>
            <w:vAlign w:val="bottom"/>
            <w:tcBorders>
              <w:right w:val="single" w:sz="8" w:color="auto"/>
            </w:tcBorders>
            <w:vMerge w:val="continue"/>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180" w:type="dxa"/>
            <w:vAlign w:val="bottom"/>
            <w:tcBorders>
              <w:left w:val="single" w:sz="8" w:color="auto"/>
              <w:bottom w:val="single" w:sz="8" w:color="auto"/>
              <w:right w:val="single" w:sz="8" w:color="auto"/>
            </w:tcBorders>
            <w:shd w:val="clear" w:color="auto" w:fill="E0E0E0"/>
          </w:tcPr>
          <w:p>
            <w:pPr>
              <w:spacing w:after="0"/>
              <w:rPr>
                <w:sz w:val="24"/>
                <w:szCs w:val="24"/>
                <w:color w:val="auto"/>
              </w:rPr>
            </w:pPr>
          </w:p>
        </w:tc>
        <w:tc>
          <w:tcPr>
            <w:tcW w:w="1660" w:type="dxa"/>
            <w:vAlign w:val="bottom"/>
            <w:tcBorders>
              <w:bottom w:val="single" w:sz="8" w:color="auto"/>
              <w:right w:val="single" w:sz="8" w:color="auto"/>
            </w:tcBorders>
            <w:shd w:val="clear" w:color="auto" w:fill="E0E0E0"/>
          </w:tcPr>
          <w:p>
            <w:pPr>
              <w:spacing w:after="0"/>
              <w:rPr>
                <w:sz w:val="24"/>
                <w:szCs w:val="24"/>
                <w:color w:val="auto"/>
              </w:rPr>
            </w:pPr>
          </w:p>
        </w:tc>
        <w:tc>
          <w:tcPr>
            <w:tcW w:w="2360" w:type="dxa"/>
            <w:vAlign w:val="bottom"/>
            <w:tcBorders>
              <w:bottom w:val="single" w:sz="8" w:color="auto"/>
              <w:right w:val="single" w:sz="8" w:color="auto"/>
            </w:tcBorders>
            <w:shd w:val="clear" w:color="auto" w:fill="E0E0E0"/>
          </w:tcPr>
          <w:p>
            <w:pPr>
              <w:spacing w:after="0"/>
              <w:rPr>
                <w:sz w:val="24"/>
                <w:szCs w:val="24"/>
                <w:color w:val="auto"/>
              </w:rPr>
            </w:pPr>
          </w:p>
        </w:tc>
        <w:tc>
          <w:tcPr>
            <w:tcW w:w="2160" w:type="dxa"/>
            <w:vAlign w:val="bottom"/>
            <w:tcBorders>
              <w:bottom w:val="single" w:sz="8" w:color="auto"/>
              <w:right w:val="single" w:sz="8" w:color="auto"/>
            </w:tcBorders>
            <w:shd w:val="clear" w:color="auto" w:fill="E0E0E0"/>
          </w:tcPr>
          <w:p>
            <w:pPr>
              <w:spacing w:after="0"/>
              <w:rPr>
                <w:sz w:val="24"/>
                <w:szCs w:val="24"/>
                <w:color w:val="auto"/>
              </w:rPr>
            </w:pPr>
          </w:p>
        </w:tc>
        <w:tc>
          <w:tcPr>
            <w:tcW w:w="1720" w:type="dxa"/>
            <w:vAlign w:val="bottom"/>
            <w:tcBorders>
              <w:bottom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9"/>
              </w:rPr>
              <w:t>675 Bering Drive, Suite</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USA, Inc.</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ACI Mechanical, Inc.</w:t>
            </w:r>
          </w:p>
        </w:tc>
        <w:tc>
          <w:tcPr>
            <w:tcW w:w="16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2182 231</w:t>
            </w:r>
            <w:r>
              <w:rPr>
                <w:rFonts w:ascii="Arial" w:cs="Arial" w:eastAsia="Arial" w:hAnsi="Arial"/>
                <w:sz w:val="10"/>
                <w:szCs w:val="10"/>
                <w:color w:val="auto"/>
              </w:rPr>
              <w:t>st</w:t>
            </w:r>
            <w:r>
              <w:rPr>
                <w:rFonts w:ascii="Arial" w:cs="Arial" w:eastAsia="Arial" w:hAnsi="Arial"/>
                <w:sz w:val="22"/>
                <w:szCs w:val="22"/>
                <w:color w:val="auto"/>
              </w:rPr>
              <w:t xml:space="preserve"> Lane</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Ames, Iowa 50014</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212 Industrial Park</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Road</w:t>
            </w:r>
          </w:p>
        </w:tc>
        <w:tc>
          <w:tcPr>
            <w:tcW w:w="21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218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Story City, Iowa 50248</w:t>
            </w:r>
          </w:p>
        </w:tc>
        <w:tc>
          <w:tcPr>
            <w:tcW w:w="216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ARC Comfort</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9"/>
              </w:rPr>
              <w:t>675 Bering Drive, Suite</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Systems USA, Inc.</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9"/>
              </w:rPr>
              <w:t>675 Bering Drive, Suite</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Accu-Temp GP, Inc.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9"/>
              </w:rPr>
              <w:t>675 Bering Drive, Suite</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Accu-Temp LP, Inc.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Acorn Industrial,</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7311 ACC Boulevard,</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97"/>
              </w:rPr>
              <w:t>Raleigh, North Carolina</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27617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5"/>
              </w:rPr>
              <w:t>Advance Technology,</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4 Washington Avenue,</w:t>
            </w:r>
          </w:p>
        </w:tc>
        <w:tc>
          <w:tcPr>
            <w:tcW w:w="21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51 Pearl Street,</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Scarborough, Maine</w:t>
            </w:r>
          </w:p>
        </w:tc>
        <w:tc>
          <w:tcPr>
            <w:tcW w:w="21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Scarborough, ME</w:t>
            </w: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04074</w:t>
            </w: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04074</w:t>
            </w: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Air Systems</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5"/>
              </w:rPr>
              <w:t>3602 South Pine Street,</w:t>
            </w:r>
          </w:p>
        </w:tc>
        <w:tc>
          <w:tcPr>
            <w:tcW w:w="21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Tacoma, Washington</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Engineering, Inc.</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98409</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20 Thomas Drive</w:t>
            </w:r>
          </w:p>
        </w:tc>
        <w:tc>
          <w:tcPr>
            <w:tcW w:w="21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11 Wallace Avenue,</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AirTemp, Inc.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93"/>
              </w:rPr>
              <w:t>South Portland, Maine</w:t>
            </w: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4"/>
              </w:rPr>
              <w:t>Westbook, Maine 04092</w:t>
            </w:r>
          </w:p>
        </w:tc>
        <w:tc>
          <w:tcPr>
            <w:tcW w:w="216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04106</w:t>
            </w: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8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4 Washington Avenue,</w:t>
            </w:r>
          </w:p>
        </w:tc>
        <w:tc>
          <w:tcPr>
            <w:tcW w:w="21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51 Pearl Street,</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Arstectum, Inc.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Scarborough, Maine</w:t>
            </w:r>
          </w:p>
        </w:tc>
        <w:tc>
          <w:tcPr>
            <w:tcW w:w="21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Scarborough, ME</w:t>
            </w: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04074</w:t>
            </w:r>
          </w:p>
        </w:tc>
        <w:tc>
          <w:tcPr>
            <w:tcW w:w="21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04074</w:t>
            </w: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60" w:type="dxa"/>
            <w:vAlign w:val="bottom"/>
            <w:tcBorders>
              <w:bottom w:val="single" w:sz="8" w:color="auto"/>
              <w:right w:val="single" w:sz="8" w:color="auto"/>
            </w:tcBorders>
            <w:vMerge w:val="continue"/>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5.13 of Schedule 5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49" w:name="page150"/>
    <w:bookmarkEnd w:id="149"/>
    <w:tbl>
      <w:tblPr>
        <w:tblLayout w:type="fixed"/>
        <w:tblInd w:w="10" w:type="dxa"/>
        <w:tblCellMar>
          <w:top w:w="0" w:type="dxa"/>
          <w:left w:w="0" w:type="dxa"/>
          <w:bottom w:w="0" w:type="dxa"/>
          <w:right w:w="0" w:type="dxa"/>
        </w:tblCellMar>
      </w:tblPr>
      <w:tr>
        <w:trPr>
          <w:trHeight w:val="270"/>
        </w:trPr>
        <w:tc>
          <w:tcPr>
            <w:tcW w:w="210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66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2360" w:type="dxa"/>
            <w:vAlign w:val="bottom"/>
            <w:tcBorders>
              <w:top w:val="single" w:sz="8" w:color="auto"/>
              <w:right w:val="single" w:sz="8" w:color="auto"/>
            </w:tcBorders>
            <w:shd w:val="clear" w:color="auto" w:fill="E0E0E0"/>
          </w:tcPr>
          <w:p>
            <w:pPr>
              <w:spacing w:after="0"/>
              <w:rPr>
                <w:sz w:val="23"/>
                <w:szCs w:val="23"/>
                <w:color w:val="auto"/>
              </w:rPr>
            </w:pPr>
          </w:p>
        </w:tc>
        <w:tc>
          <w:tcPr>
            <w:tcW w:w="212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PRIOR</w:t>
            </w:r>
          </w:p>
        </w:tc>
        <w:tc>
          <w:tcPr>
            <w:tcW w:w="184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660" w:type="dxa"/>
            <w:vAlign w:val="bottom"/>
            <w:tcBorders>
              <w:right w:val="single" w:sz="8" w:color="auto"/>
            </w:tcBorders>
            <w:vMerge w:val="continue"/>
            <w:shd w:val="clear" w:color="auto" w:fill="E0E0E0"/>
          </w:tcPr>
          <w:p>
            <w:pPr>
              <w:spacing w:after="0"/>
              <w:rPr>
                <w:sz w:val="10"/>
                <w:szCs w:val="10"/>
                <w:color w:val="auto"/>
              </w:rPr>
            </w:pPr>
          </w:p>
        </w:tc>
        <w:tc>
          <w:tcPr>
            <w:tcW w:w="2360" w:type="dxa"/>
            <w:vAlign w:val="bottom"/>
            <w:tcBorders>
              <w:right w:val="single" w:sz="8" w:color="auto"/>
            </w:tcBorders>
            <w:vMerge w:val="restart"/>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ADDRESS</w:t>
            </w:r>
          </w:p>
        </w:tc>
        <w:tc>
          <w:tcPr>
            <w:tcW w:w="2120" w:type="dxa"/>
            <w:vAlign w:val="bottom"/>
            <w:tcBorders>
              <w:right w:val="single" w:sz="8" w:color="auto"/>
            </w:tcBorders>
            <w:vMerge w:val="continue"/>
            <w:shd w:val="clear" w:color="auto" w:fill="E0E0E0"/>
          </w:tcPr>
          <w:p>
            <w:pPr>
              <w:spacing w:after="0"/>
              <w:rPr>
                <w:sz w:val="10"/>
                <w:szCs w:val="10"/>
                <w:color w:val="auto"/>
              </w:rPr>
            </w:pPr>
          </w:p>
        </w:tc>
        <w:tc>
          <w:tcPr>
            <w:tcW w:w="184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66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2360" w:type="dxa"/>
            <w:vAlign w:val="bottom"/>
            <w:tcBorders>
              <w:right w:val="single" w:sz="8" w:color="auto"/>
            </w:tcBorders>
            <w:vMerge w:val="continue"/>
            <w:shd w:val="clear" w:color="auto" w:fill="E0E0E0"/>
          </w:tcPr>
          <w:p>
            <w:pPr>
              <w:spacing w:after="0"/>
              <w:rPr>
                <w:sz w:val="10"/>
                <w:szCs w:val="10"/>
                <w:color w:val="auto"/>
              </w:rPr>
            </w:pPr>
          </w:p>
        </w:tc>
        <w:tc>
          <w:tcPr>
            <w:tcW w:w="212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ADDRESSES</w:t>
            </w:r>
          </w:p>
        </w:tc>
        <w:tc>
          <w:tcPr>
            <w:tcW w:w="184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00" w:type="dxa"/>
            <w:vAlign w:val="bottom"/>
            <w:tcBorders>
              <w:left w:val="single" w:sz="8" w:color="auto"/>
              <w:right w:val="single" w:sz="8" w:color="auto"/>
            </w:tcBorders>
            <w:shd w:val="clear" w:color="auto" w:fill="E0E0E0"/>
          </w:tcPr>
          <w:p>
            <w:pPr>
              <w:spacing w:after="0"/>
              <w:rPr>
                <w:sz w:val="13"/>
                <w:szCs w:val="13"/>
                <w:color w:val="auto"/>
              </w:rPr>
            </w:pPr>
          </w:p>
        </w:tc>
        <w:tc>
          <w:tcPr>
            <w:tcW w:w="1660" w:type="dxa"/>
            <w:vAlign w:val="bottom"/>
            <w:tcBorders>
              <w:right w:val="single" w:sz="8" w:color="auto"/>
            </w:tcBorders>
            <w:vMerge w:val="continue"/>
            <w:shd w:val="clear" w:color="auto" w:fill="E0E0E0"/>
          </w:tcPr>
          <w:p>
            <w:pPr>
              <w:spacing w:after="0"/>
              <w:rPr>
                <w:sz w:val="13"/>
                <w:szCs w:val="13"/>
                <w:color w:val="auto"/>
              </w:rPr>
            </w:pPr>
          </w:p>
        </w:tc>
        <w:tc>
          <w:tcPr>
            <w:tcW w:w="2360" w:type="dxa"/>
            <w:vAlign w:val="bottom"/>
            <w:tcBorders>
              <w:right w:val="single" w:sz="8" w:color="auto"/>
            </w:tcBorders>
            <w:shd w:val="clear" w:color="auto" w:fill="E0E0E0"/>
          </w:tcPr>
          <w:p>
            <w:pPr>
              <w:spacing w:after="0"/>
              <w:rPr>
                <w:sz w:val="13"/>
                <w:szCs w:val="13"/>
                <w:color w:val="auto"/>
              </w:rPr>
            </w:pPr>
          </w:p>
        </w:tc>
        <w:tc>
          <w:tcPr>
            <w:tcW w:w="2120" w:type="dxa"/>
            <w:vAlign w:val="bottom"/>
            <w:tcBorders>
              <w:right w:val="single" w:sz="8" w:color="auto"/>
            </w:tcBorders>
            <w:vMerge w:val="continue"/>
            <w:shd w:val="clear" w:color="auto" w:fill="E0E0E0"/>
          </w:tcPr>
          <w:p>
            <w:pPr>
              <w:spacing w:after="0"/>
              <w:rPr>
                <w:sz w:val="13"/>
                <w:szCs w:val="13"/>
                <w:color w:val="auto"/>
              </w:rPr>
            </w:pPr>
          </w:p>
        </w:tc>
        <w:tc>
          <w:tcPr>
            <w:tcW w:w="184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660" w:type="dxa"/>
            <w:vAlign w:val="bottom"/>
            <w:tcBorders>
              <w:bottom w:val="single" w:sz="8" w:color="auto"/>
              <w:right w:val="single" w:sz="8" w:color="auto"/>
            </w:tcBorders>
            <w:shd w:val="clear" w:color="auto" w:fill="E0E0E0"/>
          </w:tcPr>
          <w:p>
            <w:pPr>
              <w:spacing w:after="0"/>
              <w:rPr>
                <w:sz w:val="11"/>
                <w:szCs w:val="11"/>
                <w:color w:val="auto"/>
              </w:rPr>
            </w:pPr>
          </w:p>
        </w:tc>
        <w:tc>
          <w:tcPr>
            <w:tcW w:w="2360" w:type="dxa"/>
            <w:vAlign w:val="bottom"/>
            <w:tcBorders>
              <w:bottom w:val="single" w:sz="8" w:color="auto"/>
              <w:right w:val="single" w:sz="8" w:color="auto"/>
            </w:tcBorders>
            <w:shd w:val="clear" w:color="auto" w:fill="E0E0E0"/>
          </w:tcPr>
          <w:p>
            <w:pPr>
              <w:spacing w:after="0"/>
              <w:rPr>
                <w:sz w:val="11"/>
                <w:szCs w:val="11"/>
                <w:color w:val="auto"/>
              </w:rPr>
            </w:pPr>
          </w:p>
        </w:tc>
        <w:tc>
          <w:tcPr>
            <w:tcW w:w="2120" w:type="dxa"/>
            <w:vAlign w:val="bottom"/>
            <w:tcBorders>
              <w:bottom w:val="single" w:sz="8" w:color="auto"/>
              <w:right w:val="single" w:sz="8" w:color="auto"/>
            </w:tcBorders>
            <w:shd w:val="clear" w:color="auto" w:fill="E0E0E0"/>
          </w:tcPr>
          <w:p>
            <w:pPr>
              <w:spacing w:after="0"/>
              <w:rPr>
                <w:sz w:val="11"/>
                <w:szCs w:val="11"/>
                <w:color w:val="auto"/>
              </w:rPr>
            </w:pPr>
          </w:p>
        </w:tc>
        <w:tc>
          <w:tcPr>
            <w:tcW w:w="184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Atlas-Accurate</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9"/>
              </w:rPr>
              <w:t>675 Bering Drive, Suite</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Holdings, L.L.C.</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auto"/>
              <w:right w:val="single" w:sz="8" w:color="auto"/>
            </w:tcBorders>
          </w:tcPr>
          <w:p>
            <w:pPr>
              <w:ind w:left="120"/>
              <w:spacing w:after="0" w:line="236" w:lineRule="exact"/>
              <w:rPr>
                <w:sz w:val="20"/>
                <w:szCs w:val="20"/>
                <w:color w:val="auto"/>
              </w:rPr>
            </w:pPr>
            <w:r>
              <w:rPr>
                <w:rFonts w:ascii="Arial" w:cs="Arial" w:eastAsia="Arial" w:hAnsi="Arial"/>
                <w:sz w:val="22"/>
                <w:szCs w:val="22"/>
                <w:color w:val="auto"/>
              </w:rPr>
              <w:t>Batchelor’s</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w w:val="99"/>
              </w:rPr>
              <w:t>675 Bering Drive, Suite</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Mechanical</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Contractors, LLC</w:t>
            </w: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6350/6354 118th Ave</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BCH Holdings, Inc.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N., Largo, Florida</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33773</w:t>
            </w:r>
          </w:p>
        </w:tc>
        <w:tc>
          <w:tcPr>
            <w:tcW w:w="2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6350/6354 118th Ave</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BCH Leasing,</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BCH Leasing, LLC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N., Largo, Florida</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Corp.</w:t>
            </w: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33773</w:t>
            </w:r>
          </w:p>
        </w:tc>
        <w:tc>
          <w:tcPr>
            <w:tcW w:w="2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BCH Mechanical,</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6350/6354 118th Ave</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BCH Mechanical,</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N., Largo, Florida</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33773</w:t>
            </w:r>
          </w:p>
        </w:tc>
        <w:tc>
          <w:tcPr>
            <w:tcW w:w="2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100" w:type="dxa"/>
            <w:vAlign w:val="bottom"/>
            <w:tcBorders>
              <w:left w:val="single" w:sz="8" w:color="auto"/>
              <w:right w:val="single" w:sz="8" w:color="auto"/>
            </w:tcBorders>
          </w:tcPr>
          <w:p>
            <w:pPr>
              <w:spacing w:after="0"/>
              <w:rPr>
                <w:sz w:val="22"/>
                <w:szCs w:val="22"/>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11711 66</w:t>
            </w:r>
            <w:r>
              <w:rPr>
                <w:rFonts w:ascii="Arial" w:cs="Arial" w:eastAsia="Arial" w:hAnsi="Arial"/>
                <w:sz w:val="10"/>
                <w:szCs w:val="10"/>
                <w:color w:val="auto"/>
              </w:rPr>
              <w:t>th</w:t>
            </w:r>
            <w:r>
              <w:rPr>
                <w:rFonts w:ascii="Arial" w:cs="Arial" w:eastAsia="Arial" w:hAnsi="Arial"/>
                <w:sz w:val="22"/>
                <w:szCs w:val="22"/>
                <w:color w:val="auto"/>
              </w:rPr>
              <w:t xml:space="preserve"> St, Unit 109</w:t>
            </w:r>
          </w:p>
        </w:tc>
        <w:tc>
          <w:tcPr>
            <w:tcW w:w="212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Largo, FL 33773</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100" w:type="dxa"/>
            <w:vAlign w:val="bottom"/>
            <w:tcBorders>
              <w:left w:val="single" w:sz="8" w:color="auto"/>
              <w:bottom w:val="single" w:sz="8" w:color="auto"/>
              <w:right w:val="single" w:sz="8" w:color="auto"/>
            </w:tcBorders>
          </w:tcPr>
          <w:p>
            <w:pPr>
              <w:spacing w:after="0"/>
              <w:rPr>
                <w:sz w:val="13"/>
                <w:szCs w:val="13"/>
                <w:color w:val="auto"/>
              </w:rPr>
            </w:pPr>
          </w:p>
        </w:tc>
        <w:tc>
          <w:tcPr>
            <w:tcW w:w="1660" w:type="dxa"/>
            <w:vAlign w:val="bottom"/>
            <w:tcBorders>
              <w:bottom w:val="single" w:sz="8" w:color="auto"/>
              <w:right w:val="single" w:sz="8" w:color="auto"/>
            </w:tcBorders>
          </w:tcPr>
          <w:p>
            <w:pPr>
              <w:spacing w:after="0"/>
              <w:rPr>
                <w:sz w:val="13"/>
                <w:szCs w:val="13"/>
                <w:color w:val="auto"/>
              </w:rPr>
            </w:pPr>
          </w:p>
        </w:tc>
        <w:tc>
          <w:tcPr>
            <w:tcW w:w="2360" w:type="dxa"/>
            <w:vAlign w:val="bottom"/>
            <w:tcBorders>
              <w:bottom w:val="single" w:sz="8" w:color="auto"/>
              <w:right w:val="single" w:sz="8" w:color="auto"/>
            </w:tcBorders>
            <w:vMerge w:val="continue"/>
          </w:tcPr>
          <w:p>
            <w:pPr>
              <w:spacing w:after="0"/>
              <w:rPr>
                <w:sz w:val="13"/>
                <w:szCs w:val="13"/>
                <w:color w:val="auto"/>
              </w:rPr>
            </w:pPr>
          </w:p>
        </w:tc>
        <w:tc>
          <w:tcPr>
            <w:tcW w:w="212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BCM Controls</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0" w:lineRule="exact"/>
              <w:rPr>
                <w:sz w:val="20"/>
                <w:szCs w:val="20"/>
                <w:color w:val="auto"/>
              </w:rPr>
            </w:pPr>
            <w:r>
              <w:rPr>
                <w:rFonts w:ascii="Arial" w:cs="Arial" w:eastAsia="Arial" w:hAnsi="Arial"/>
                <w:sz w:val="22"/>
                <w:szCs w:val="22"/>
                <w:color w:val="auto"/>
              </w:rPr>
              <w:t>30 Commerce Way,</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94"/>
              </w:rPr>
              <w:t>Woburn, Massachusetts</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Corporation</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01801</w:t>
            </w:r>
          </w:p>
        </w:tc>
        <w:tc>
          <w:tcPr>
            <w:tcW w:w="2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California Comfort</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7740 Kenamar Court,</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San Diego, California</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TCP Company</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Systems USA, Inc.</w:t>
            </w: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92121</w:t>
            </w:r>
          </w:p>
        </w:tc>
        <w:tc>
          <w:tcPr>
            <w:tcW w:w="2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tcPr>
          <w:p>
            <w:pPr>
              <w:spacing w:after="0"/>
              <w:rPr>
                <w:sz w:val="11"/>
                <w:szCs w:val="11"/>
                <w:color w:val="auto"/>
              </w:rPr>
            </w:pPr>
          </w:p>
        </w:tc>
        <w:tc>
          <w:tcPr>
            <w:tcW w:w="236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line="236" w:lineRule="exact"/>
              <w:rPr>
                <w:sz w:val="20"/>
                <w:szCs w:val="20"/>
                <w:color w:val="auto"/>
              </w:rPr>
            </w:pPr>
            <w:r>
              <w:rPr>
                <w:rFonts w:ascii="Arial" w:cs="Arial" w:eastAsia="Arial" w:hAnsi="Arial"/>
                <w:sz w:val="22"/>
                <w:szCs w:val="22"/>
                <w:color w:val="auto"/>
              </w:rPr>
              <w:t>4189 Santa Ana</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00" w:type="dxa"/>
            <w:vAlign w:val="bottom"/>
            <w:tcBorders>
              <w:left w:val="single" w:sz="8" w:color="auto"/>
              <w:right w:val="single" w:sz="8" w:color="auto"/>
            </w:tcBorders>
          </w:tcPr>
          <w:p>
            <w:pPr>
              <w:spacing w:after="0"/>
              <w:rPr>
                <w:sz w:val="23"/>
                <w:szCs w:val="23"/>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Avenue, Suite D</w:t>
            </w:r>
          </w:p>
        </w:tc>
        <w:tc>
          <w:tcPr>
            <w:tcW w:w="21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Ontario, California</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91761</w:t>
            </w:r>
          </w:p>
        </w:tc>
        <w:tc>
          <w:tcPr>
            <w:tcW w:w="212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line="230" w:lineRule="exact"/>
              <w:rPr>
                <w:sz w:val="20"/>
                <w:szCs w:val="20"/>
                <w:color w:val="auto"/>
              </w:rPr>
            </w:pPr>
            <w:r>
              <w:rPr>
                <w:rFonts w:ascii="Arial" w:cs="Arial" w:eastAsia="Arial" w:hAnsi="Arial"/>
                <w:sz w:val="22"/>
                <w:szCs w:val="22"/>
                <w:color w:val="auto"/>
                <w:w w:val="99"/>
              </w:rPr>
              <w:t>3612 Madison Avenue,</w:t>
            </w:r>
          </w:p>
        </w:tc>
        <w:tc>
          <w:tcPr>
            <w:tcW w:w="21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100" w:type="dxa"/>
            <w:vAlign w:val="bottom"/>
            <w:tcBorders>
              <w:left w:val="single" w:sz="8" w:color="auto"/>
              <w:right w:val="single" w:sz="8" w:color="auto"/>
            </w:tcBorders>
          </w:tcPr>
          <w:p>
            <w:pPr>
              <w:spacing w:after="0"/>
              <w:rPr>
                <w:sz w:val="23"/>
                <w:szCs w:val="23"/>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Suite 32</w:t>
            </w:r>
          </w:p>
        </w:tc>
        <w:tc>
          <w:tcPr>
            <w:tcW w:w="212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North Highlands,</w:t>
            </w: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2100" w:type="dxa"/>
            <w:vAlign w:val="bottom"/>
            <w:tcBorders>
              <w:left w:val="single" w:sz="8" w:color="auto"/>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California 95660</w:t>
            </w:r>
          </w:p>
        </w:tc>
        <w:tc>
          <w:tcPr>
            <w:tcW w:w="2120" w:type="dxa"/>
            <w:vAlign w:val="bottom"/>
            <w:tcBorders>
              <w:bottom w:val="single" w:sz="8" w:color="auto"/>
              <w:right w:val="single" w:sz="8" w:color="auto"/>
            </w:tcBorders>
          </w:tcPr>
          <w:p>
            <w:pPr>
              <w:spacing w:after="0"/>
              <w:rPr>
                <w:sz w:val="24"/>
                <w:szCs w:val="24"/>
                <w:color w:val="auto"/>
              </w:rPr>
            </w:pPr>
          </w:p>
        </w:tc>
        <w:tc>
          <w:tcPr>
            <w:tcW w:w="1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ind w:left="80"/>
              <w:spacing w:after="0" w:line="230" w:lineRule="exact"/>
              <w:rPr>
                <w:sz w:val="20"/>
                <w:szCs w:val="20"/>
                <w:color w:val="auto"/>
              </w:rPr>
            </w:pPr>
            <w:r>
              <w:rPr>
                <w:rFonts w:ascii="Arial" w:cs="Arial" w:eastAsia="Arial" w:hAnsi="Arial"/>
                <w:sz w:val="22"/>
                <w:szCs w:val="22"/>
                <w:color w:val="auto"/>
              </w:rPr>
              <w:t>3521 Investment Blvd,</w:t>
            </w:r>
          </w:p>
        </w:tc>
        <w:tc>
          <w:tcPr>
            <w:tcW w:w="21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981 Bing Street</w:t>
            </w:r>
          </w:p>
        </w:tc>
        <w:tc>
          <w:tcPr>
            <w:tcW w:w="1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Ste 2</w:t>
            </w:r>
          </w:p>
        </w:tc>
        <w:tc>
          <w:tcPr>
            <w:tcW w:w="2120" w:type="dxa"/>
            <w:vAlign w:val="bottom"/>
            <w:tcBorders>
              <w:right w:val="single" w:sz="8" w:color="auto"/>
            </w:tcBorders>
            <w:vMerge w:val="continue"/>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San Carlos,</w:t>
            </w: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Hayward, California</w:t>
            </w:r>
          </w:p>
        </w:tc>
        <w:tc>
          <w:tcPr>
            <w:tcW w:w="212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2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California 94070</w:t>
            </w: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94545</w:t>
            </w:r>
          </w:p>
        </w:tc>
        <w:tc>
          <w:tcPr>
            <w:tcW w:w="2120" w:type="dxa"/>
            <w:vAlign w:val="bottom"/>
            <w:tcBorders>
              <w:right w:val="single" w:sz="8" w:color="auto"/>
            </w:tcBorders>
            <w:vMerge w:val="continue"/>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100" w:type="dxa"/>
            <w:vAlign w:val="bottom"/>
            <w:tcBorders>
              <w:left w:val="single" w:sz="8" w:color="auto"/>
              <w:bottom w:val="single" w:sz="8" w:color="auto"/>
              <w:right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right w:val="single" w:sz="8" w:color="auto"/>
            </w:tcBorders>
            <w:vMerge w:val="continue"/>
          </w:tcPr>
          <w:p>
            <w:pPr>
              <w:spacing w:after="0"/>
              <w:rPr>
                <w:sz w:val="10"/>
                <w:szCs w:val="10"/>
                <w:color w:val="auto"/>
              </w:rPr>
            </w:pPr>
          </w:p>
        </w:tc>
        <w:tc>
          <w:tcPr>
            <w:tcW w:w="2120" w:type="dxa"/>
            <w:vAlign w:val="bottom"/>
            <w:tcBorders>
              <w:bottom w:val="single" w:sz="8" w:color="auto"/>
              <w:right w:val="single" w:sz="8" w:color="auto"/>
            </w:tcBorders>
          </w:tcPr>
          <w:p>
            <w:pPr>
              <w:spacing w:after="0"/>
              <w:rPr>
                <w:sz w:val="10"/>
                <w:szCs w:val="10"/>
                <w:color w:val="auto"/>
              </w:rPr>
            </w:pPr>
          </w:p>
        </w:tc>
        <w:tc>
          <w:tcPr>
            <w:tcW w:w="1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0"/>
        </w:trPr>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Section 5.13 of Schedule 5 – Page 2</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0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214" w:right="899" w:bottom="1440" w:gutter="0" w:footer="0" w:header="0"/>
        </w:sectPr>
      </w:pPr>
    </w:p>
    <w:bookmarkStart w:id="150" w:name="page151"/>
    <w:bookmarkEnd w:id="1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4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500" w:type="dxa"/>
            <w:vAlign w:val="bottom"/>
            <w:tcBorders>
              <w:top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120" w:type="dxa"/>
            <w:vAlign w:val="bottom"/>
            <w:tcBorders>
              <w:top w:val="single" w:sz="8" w:color="auto"/>
              <w:right w:val="single" w:sz="8" w:color="auto"/>
            </w:tcBorders>
            <w:shd w:val="clear" w:color="auto" w:fill="E0E0E0"/>
          </w:tcPr>
          <w:p>
            <w:pPr>
              <w:spacing w:after="0"/>
              <w:rPr>
                <w:sz w:val="23"/>
                <w:szCs w:val="23"/>
                <w:color w:val="auto"/>
              </w:rPr>
            </w:pPr>
          </w:p>
        </w:tc>
        <w:tc>
          <w:tcPr>
            <w:tcW w:w="2360" w:type="dxa"/>
            <w:vAlign w:val="bottom"/>
            <w:tcBorders>
              <w:top w:val="single" w:sz="8" w:color="auto"/>
              <w:right w:val="single" w:sz="8" w:color="auto"/>
            </w:tcBorders>
            <w:shd w:val="clear" w:color="auto" w:fill="E0E0E0"/>
          </w:tcPr>
          <w:p>
            <w:pPr>
              <w:spacing w:after="0"/>
              <w:rPr>
                <w:sz w:val="23"/>
                <w:szCs w:val="23"/>
                <w:color w:val="auto"/>
              </w:rPr>
            </w:pPr>
          </w:p>
        </w:tc>
        <w:tc>
          <w:tcPr>
            <w:tcW w:w="208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PRIOR</w:t>
            </w:r>
          </w:p>
        </w:tc>
        <w:tc>
          <w:tcPr>
            <w:tcW w:w="188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500" w:type="dxa"/>
            <w:vAlign w:val="bottom"/>
            <w:vMerge w:val="continue"/>
            <w:shd w:val="clear" w:color="auto" w:fill="E0E0E0"/>
          </w:tcPr>
          <w:p>
            <w:pPr>
              <w:spacing w:after="0"/>
              <w:rPr>
                <w:sz w:val="10"/>
                <w:szCs w:val="10"/>
                <w:color w:val="auto"/>
              </w:rPr>
            </w:pPr>
          </w:p>
        </w:tc>
        <w:tc>
          <w:tcPr>
            <w:tcW w:w="120" w:type="dxa"/>
            <w:vAlign w:val="bottom"/>
            <w:tcBorders>
              <w:right w:val="single" w:sz="8" w:color="auto"/>
            </w:tcBorders>
            <w:shd w:val="clear" w:color="auto" w:fill="E0E0E0"/>
          </w:tcPr>
          <w:p>
            <w:pPr>
              <w:spacing w:after="0"/>
              <w:rPr>
                <w:sz w:val="10"/>
                <w:szCs w:val="10"/>
                <w:color w:val="auto"/>
              </w:rPr>
            </w:pPr>
          </w:p>
        </w:tc>
        <w:tc>
          <w:tcPr>
            <w:tcW w:w="236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080" w:type="dxa"/>
            <w:vAlign w:val="bottom"/>
            <w:tcBorders>
              <w:right w:val="single" w:sz="8" w:color="auto"/>
            </w:tcBorders>
            <w:vMerge w:val="continue"/>
            <w:shd w:val="clear" w:color="auto" w:fill="E0E0E0"/>
          </w:tcPr>
          <w:p>
            <w:pPr>
              <w:spacing w:after="0"/>
              <w:rPr>
                <w:sz w:val="10"/>
                <w:szCs w:val="10"/>
                <w:color w:val="auto"/>
              </w:rPr>
            </w:pPr>
          </w:p>
        </w:tc>
        <w:tc>
          <w:tcPr>
            <w:tcW w:w="188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500" w:type="dxa"/>
            <w:vAlign w:val="bottom"/>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120" w:type="dxa"/>
            <w:vAlign w:val="bottom"/>
            <w:tcBorders>
              <w:right w:val="single" w:sz="8" w:color="auto"/>
            </w:tcBorders>
            <w:shd w:val="clear" w:color="auto" w:fill="E0E0E0"/>
          </w:tcPr>
          <w:p>
            <w:pPr>
              <w:spacing w:after="0"/>
              <w:rPr>
                <w:sz w:val="10"/>
                <w:szCs w:val="10"/>
                <w:color w:val="auto"/>
              </w:rPr>
            </w:pPr>
          </w:p>
        </w:tc>
        <w:tc>
          <w:tcPr>
            <w:tcW w:w="2360" w:type="dxa"/>
            <w:vAlign w:val="bottom"/>
            <w:tcBorders>
              <w:right w:val="single" w:sz="8" w:color="auto"/>
            </w:tcBorders>
            <w:vMerge w:val="continue"/>
            <w:shd w:val="clear" w:color="auto" w:fill="E0E0E0"/>
          </w:tcPr>
          <w:p>
            <w:pPr>
              <w:spacing w:after="0"/>
              <w:rPr>
                <w:sz w:val="10"/>
                <w:szCs w:val="10"/>
                <w:color w:val="auto"/>
              </w:rPr>
            </w:pPr>
          </w:p>
        </w:tc>
        <w:tc>
          <w:tcPr>
            <w:tcW w:w="208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ADDRESSES</w:t>
            </w:r>
          </w:p>
        </w:tc>
        <w:tc>
          <w:tcPr>
            <w:tcW w:w="188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40" w:type="dxa"/>
            <w:vAlign w:val="bottom"/>
            <w:tcBorders>
              <w:left w:val="single" w:sz="8" w:color="auto"/>
              <w:right w:val="single" w:sz="8" w:color="auto"/>
            </w:tcBorders>
            <w:shd w:val="clear" w:color="auto" w:fill="E0E0E0"/>
          </w:tcPr>
          <w:p>
            <w:pPr>
              <w:spacing w:after="0"/>
              <w:rPr>
                <w:sz w:val="13"/>
                <w:szCs w:val="13"/>
                <w:color w:val="auto"/>
              </w:rPr>
            </w:pPr>
          </w:p>
        </w:tc>
        <w:tc>
          <w:tcPr>
            <w:tcW w:w="1500" w:type="dxa"/>
            <w:vAlign w:val="bottom"/>
            <w:vMerge w:val="continue"/>
            <w:shd w:val="clear" w:color="auto" w:fill="E0E0E0"/>
          </w:tcPr>
          <w:p>
            <w:pPr>
              <w:spacing w:after="0"/>
              <w:rPr>
                <w:sz w:val="13"/>
                <w:szCs w:val="13"/>
                <w:color w:val="auto"/>
              </w:rPr>
            </w:pPr>
          </w:p>
        </w:tc>
        <w:tc>
          <w:tcPr>
            <w:tcW w:w="120" w:type="dxa"/>
            <w:vAlign w:val="bottom"/>
            <w:tcBorders>
              <w:right w:val="single" w:sz="8" w:color="auto"/>
            </w:tcBorders>
            <w:shd w:val="clear" w:color="auto" w:fill="E0E0E0"/>
          </w:tcPr>
          <w:p>
            <w:pPr>
              <w:spacing w:after="0"/>
              <w:rPr>
                <w:sz w:val="13"/>
                <w:szCs w:val="13"/>
                <w:color w:val="auto"/>
              </w:rPr>
            </w:pPr>
          </w:p>
        </w:tc>
        <w:tc>
          <w:tcPr>
            <w:tcW w:w="2360" w:type="dxa"/>
            <w:vAlign w:val="bottom"/>
            <w:tcBorders>
              <w:right w:val="single" w:sz="8" w:color="auto"/>
            </w:tcBorders>
            <w:shd w:val="clear" w:color="auto" w:fill="E0E0E0"/>
          </w:tcPr>
          <w:p>
            <w:pPr>
              <w:spacing w:after="0"/>
              <w:rPr>
                <w:sz w:val="13"/>
                <w:szCs w:val="13"/>
                <w:color w:val="auto"/>
              </w:rPr>
            </w:pPr>
          </w:p>
        </w:tc>
        <w:tc>
          <w:tcPr>
            <w:tcW w:w="2080" w:type="dxa"/>
            <w:vAlign w:val="bottom"/>
            <w:tcBorders>
              <w:right w:val="single" w:sz="8" w:color="auto"/>
            </w:tcBorders>
            <w:vMerge w:val="continue"/>
            <w:shd w:val="clear" w:color="auto" w:fill="E0E0E0"/>
          </w:tcPr>
          <w:p>
            <w:pPr>
              <w:spacing w:after="0"/>
              <w:rPr>
                <w:sz w:val="13"/>
                <w:szCs w:val="13"/>
                <w:color w:val="auto"/>
              </w:rPr>
            </w:pPr>
          </w:p>
        </w:tc>
        <w:tc>
          <w:tcPr>
            <w:tcW w:w="188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4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500" w:type="dxa"/>
            <w:vAlign w:val="bottom"/>
            <w:tcBorders>
              <w:bottom w:val="single" w:sz="8" w:color="auto"/>
            </w:tcBorders>
            <w:shd w:val="clear" w:color="auto" w:fill="E0E0E0"/>
          </w:tcPr>
          <w:p>
            <w:pPr>
              <w:spacing w:after="0"/>
              <w:rPr>
                <w:sz w:val="11"/>
                <w:szCs w:val="11"/>
                <w:color w:val="auto"/>
              </w:rPr>
            </w:pPr>
          </w:p>
        </w:tc>
        <w:tc>
          <w:tcPr>
            <w:tcW w:w="120" w:type="dxa"/>
            <w:vAlign w:val="bottom"/>
            <w:tcBorders>
              <w:bottom w:val="single" w:sz="8" w:color="auto"/>
              <w:right w:val="single" w:sz="8" w:color="auto"/>
            </w:tcBorders>
            <w:shd w:val="clear" w:color="auto" w:fill="E0E0E0"/>
          </w:tcPr>
          <w:p>
            <w:pPr>
              <w:spacing w:after="0"/>
              <w:rPr>
                <w:sz w:val="11"/>
                <w:szCs w:val="11"/>
                <w:color w:val="auto"/>
              </w:rPr>
            </w:pPr>
          </w:p>
        </w:tc>
        <w:tc>
          <w:tcPr>
            <w:tcW w:w="2360" w:type="dxa"/>
            <w:vAlign w:val="bottom"/>
            <w:tcBorders>
              <w:bottom w:val="single" w:sz="8" w:color="auto"/>
              <w:right w:val="single" w:sz="8" w:color="auto"/>
            </w:tcBorders>
            <w:shd w:val="clear" w:color="auto" w:fill="E0E0E0"/>
          </w:tcPr>
          <w:p>
            <w:pPr>
              <w:spacing w:after="0"/>
              <w:rPr>
                <w:sz w:val="11"/>
                <w:szCs w:val="11"/>
                <w:color w:val="auto"/>
              </w:rPr>
            </w:pPr>
          </w:p>
        </w:tc>
        <w:tc>
          <w:tcPr>
            <w:tcW w:w="2080" w:type="dxa"/>
            <w:vAlign w:val="bottom"/>
            <w:tcBorders>
              <w:bottom w:val="single" w:sz="8" w:color="auto"/>
              <w:right w:val="single" w:sz="8" w:color="auto"/>
            </w:tcBorders>
            <w:shd w:val="clear" w:color="auto" w:fill="E0E0E0"/>
          </w:tcPr>
          <w:p>
            <w:pPr>
              <w:spacing w:after="0"/>
              <w:rPr>
                <w:sz w:val="11"/>
                <w:szCs w:val="11"/>
                <w:color w:val="auto"/>
              </w:rPr>
            </w:pPr>
          </w:p>
        </w:tc>
        <w:tc>
          <w:tcPr>
            <w:tcW w:w="188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40" w:type="dxa"/>
            <w:vAlign w:val="bottom"/>
            <w:tcBorders>
              <w:left w:val="single" w:sz="8" w:color="auto"/>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ind w:left="100"/>
              <w:spacing w:after="0" w:line="175" w:lineRule="exact"/>
              <w:rPr>
                <w:sz w:val="20"/>
                <w:szCs w:val="20"/>
                <w:color w:val="auto"/>
              </w:rPr>
            </w:pPr>
            <w:r>
              <w:rPr>
                <w:rFonts w:ascii="Arial" w:cs="Arial" w:eastAsia="Arial" w:hAnsi="Arial"/>
                <w:sz w:val="19"/>
                <w:szCs w:val="19"/>
                <w:color w:val="auto"/>
              </w:rPr>
              <w:t>Lienhart Heating</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&amp; Air</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Conditioning;</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Century</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Mechanical</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Century Mechanical</w:t>
            </w: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w w:val="94"/>
              </w:rPr>
              <w:t>Principal Place</w:t>
            </w: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1554 Chase Ave,</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Solutions; 20th</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vMerge w:val="continue"/>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Century</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ind w:left="120"/>
              <w:spacing w:after="0" w:line="189" w:lineRule="exact"/>
              <w:rPr>
                <w:sz w:val="20"/>
                <w:szCs w:val="20"/>
                <w:color w:val="auto"/>
              </w:rPr>
            </w:pPr>
            <w:r>
              <w:rPr>
                <w:rFonts w:ascii="Arial" w:cs="Arial" w:eastAsia="Arial" w:hAnsi="Arial"/>
                <w:sz w:val="21"/>
                <w:szCs w:val="21"/>
                <w:color w:val="auto"/>
              </w:rPr>
              <w:t>Solutions, Inc.</w:t>
            </w:r>
          </w:p>
        </w:tc>
        <w:tc>
          <w:tcPr>
            <w:tcW w:w="1500" w:type="dxa"/>
            <w:vAlign w:val="bottom"/>
          </w:tcPr>
          <w:p>
            <w:pPr>
              <w:ind w:left="100"/>
              <w:spacing w:after="0" w:line="189" w:lineRule="exact"/>
              <w:rPr>
                <w:sz w:val="20"/>
                <w:szCs w:val="20"/>
                <w:color w:val="auto"/>
              </w:rPr>
            </w:pPr>
            <w:r>
              <w:rPr>
                <w:rFonts w:ascii="Arial" w:cs="Arial" w:eastAsia="Arial" w:hAnsi="Arial"/>
                <w:sz w:val="21"/>
                <w:szCs w:val="21"/>
                <w:color w:val="auto"/>
              </w:rPr>
              <w:t>of Business</w:t>
            </w: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Cincinnati, Ohio 45223</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Refrigeration</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Company; 20th</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Century Air</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Conditioning Co.;</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Glasier</w:t>
            </w: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Refrigeration</w:t>
            </w: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Service Company</w:t>
            </w: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ColonialWebb</w:t>
            </w: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w w:val="94"/>
              </w:rPr>
              <w:t>Principal Place</w:t>
            </w: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2820 Ackley Avenue,</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Comfort Systems</w:t>
            </w: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restart"/>
          </w:tcPr>
          <w:p>
            <w:pPr>
              <w:ind w:left="120"/>
              <w:spacing w:after="0" w:line="189" w:lineRule="exact"/>
              <w:rPr>
                <w:sz w:val="20"/>
                <w:szCs w:val="20"/>
                <w:color w:val="auto"/>
              </w:rPr>
            </w:pPr>
            <w:r>
              <w:rPr>
                <w:rFonts w:ascii="Arial" w:cs="Arial" w:eastAsia="Arial" w:hAnsi="Arial"/>
                <w:sz w:val="21"/>
                <w:szCs w:val="21"/>
                <w:color w:val="auto"/>
              </w:rPr>
              <w:t>Contractors</w:t>
            </w:r>
          </w:p>
        </w:tc>
        <w:tc>
          <w:tcPr>
            <w:tcW w:w="150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vMerge w:val="restart"/>
          </w:tcPr>
          <w:p>
            <w:pPr>
              <w:ind w:left="100"/>
              <w:spacing w:after="0" w:line="189" w:lineRule="exact"/>
              <w:rPr>
                <w:sz w:val="20"/>
                <w:szCs w:val="20"/>
                <w:color w:val="auto"/>
              </w:rPr>
            </w:pPr>
            <w:r>
              <w:rPr>
                <w:rFonts w:ascii="Arial" w:cs="Arial" w:eastAsia="Arial" w:hAnsi="Arial"/>
                <w:sz w:val="21"/>
                <w:szCs w:val="21"/>
                <w:color w:val="auto"/>
              </w:rPr>
              <w:t>Richmond, Virginia</w:t>
            </w:r>
          </w:p>
        </w:tc>
        <w:tc>
          <w:tcPr>
            <w:tcW w:w="20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ind w:left="100"/>
              <w:spacing w:after="0" w:line="189" w:lineRule="exact"/>
              <w:rPr>
                <w:sz w:val="20"/>
                <w:szCs w:val="20"/>
                <w:color w:val="auto"/>
              </w:rPr>
            </w:pPr>
            <w:r>
              <w:rPr>
                <w:rFonts w:ascii="Arial" w:cs="Arial" w:eastAsia="Arial" w:hAnsi="Arial"/>
                <w:sz w:val="21"/>
                <w:szCs w:val="21"/>
                <w:color w:val="auto"/>
              </w:rPr>
              <w:t>USA (Carolinas),</w:t>
            </w:r>
          </w:p>
        </w:tc>
        <w:tc>
          <w:tcPr>
            <w:tcW w:w="0" w:type="dxa"/>
            <w:vAlign w:val="bottom"/>
          </w:tcPr>
          <w:p>
            <w:pPr>
              <w:spacing w:after="0"/>
              <w:rPr>
                <w:sz w:val="1"/>
                <w:szCs w:val="1"/>
                <w:color w:val="auto"/>
              </w:rPr>
            </w:pPr>
          </w:p>
        </w:tc>
      </w:tr>
      <w:tr>
        <w:trPr>
          <w:trHeight w:val="95"/>
        </w:trPr>
        <w:tc>
          <w:tcPr>
            <w:tcW w:w="2140" w:type="dxa"/>
            <w:vAlign w:val="bottom"/>
            <w:tcBorders>
              <w:left w:val="single" w:sz="8" w:color="auto"/>
              <w:right w:val="single" w:sz="8" w:color="auto"/>
            </w:tcBorders>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2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21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Company</w:t>
            </w:r>
          </w:p>
        </w:tc>
        <w:tc>
          <w:tcPr>
            <w:tcW w:w="150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23228</w:t>
            </w:r>
          </w:p>
        </w:tc>
        <w:tc>
          <w:tcPr>
            <w:tcW w:w="20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63"/>
        </w:trPr>
        <w:tc>
          <w:tcPr>
            <w:tcW w:w="214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1600 Crossbeam Drive,</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Charlotte, North</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Carolina 28217</w:t>
            </w:r>
          </w:p>
        </w:tc>
        <w:tc>
          <w:tcPr>
            <w:tcW w:w="20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 Marcus Drive,</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Greenville, South</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Carolina 29615</w:t>
            </w:r>
          </w:p>
        </w:tc>
        <w:tc>
          <w:tcPr>
            <w:tcW w:w="20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811 Pleasant Valley</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Road, Harrisonburg,</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Virginia 22801</w:t>
            </w:r>
          </w:p>
        </w:tc>
        <w:tc>
          <w:tcPr>
            <w:tcW w:w="20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8509 Phoenix Drive,</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Manassas, Virginia</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20110</w:t>
            </w:r>
          </w:p>
        </w:tc>
        <w:tc>
          <w:tcPr>
            <w:tcW w:w="20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740C Bluecrab Road,</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Newport News, Virginia</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23606</w:t>
            </w:r>
          </w:p>
        </w:tc>
        <w:tc>
          <w:tcPr>
            <w:tcW w:w="20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3719 E. Virginia Beach</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21"/>
                <w:szCs w:val="21"/>
                <w:color w:val="auto"/>
              </w:rPr>
              <w:t>Blvd., Norfolk, Virginia</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bottom w:val="single" w:sz="8" w:color="auto"/>
              <w:right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23502</w:t>
            </w:r>
          </w:p>
        </w:tc>
        <w:tc>
          <w:tcPr>
            <w:tcW w:w="2080" w:type="dxa"/>
            <w:vAlign w:val="bottom"/>
            <w:tcBorders>
              <w:bottom w:val="single" w:sz="8" w:color="auto"/>
              <w:right w:val="single" w:sz="8" w:color="auto"/>
            </w:tcBorders>
          </w:tcPr>
          <w:p>
            <w:pPr>
              <w:spacing w:after="0"/>
              <w:rPr>
                <w:sz w:val="21"/>
                <w:szCs w:val="21"/>
                <w:color w:val="auto"/>
              </w:rPr>
            </w:pPr>
          </w:p>
        </w:tc>
        <w:tc>
          <w:tcPr>
            <w:tcW w:w="18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1977 Snow Pointe Lane</w:t>
            </w:r>
          </w:p>
        </w:tc>
        <w:tc>
          <w:tcPr>
            <w:tcW w:w="2080" w:type="dxa"/>
            <w:vAlign w:val="bottom"/>
            <w:tcBorders>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94" w:lineRule="exact"/>
              <w:rPr>
                <w:sz w:val="20"/>
                <w:szCs w:val="20"/>
                <w:color w:val="auto"/>
              </w:rPr>
            </w:pPr>
            <w:r>
              <w:rPr>
                <w:rFonts w:ascii="Arial" w:cs="Arial" w:eastAsia="Arial" w:hAnsi="Arial"/>
                <w:sz w:val="22"/>
                <w:szCs w:val="22"/>
                <w:color w:val="auto"/>
              </w:rPr>
              <w:t>Bldg 7B</w:t>
            </w:r>
          </w:p>
        </w:tc>
        <w:tc>
          <w:tcPr>
            <w:tcW w:w="208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100"/>
              <w:spacing w:after="0" w:line="210" w:lineRule="exact"/>
              <w:rPr>
                <w:sz w:val="20"/>
                <w:szCs w:val="20"/>
                <w:color w:val="auto"/>
              </w:rPr>
            </w:pPr>
            <w:r>
              <w:rPr>
                <w:rFonts w:ascii="Arial" w:cs="Arial" w:eastAsia="Arial" w:hAnsi="Arial"/>
                <w:sz w:val="22"/>
                <w:szCs w:val="22"/>
                <w:color w:val="auto"/>
                <w:w w:val="99"/>
              </w:rPr>
              <w:t>Charlottesville, Virginia</w:t>
            </w:r>
          </w:p>
        </w:tc>
        <w:tc>
          <w:tcPr>
            <w:tcW w:w="208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140" w:type="dxa"/>
            <w:vAlign w:val="bottom"/>
            <w:tcBorders>
              <w:left w:val="single" w:sz="8" w:color="auto"/>
              <w:right w:val="single" w:sz="8" w:color="auto"/>
            </w:tcBorders>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208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ind w:left="100"/>
              <w:spacing w:after="0" w:line="229" w:lineRule="exact"/>
              <w:rPr>
                <w:sz w:val="20"/>
                <w:szCs w:val="20"/>
                <w:color w:val="auto"/>
              </w:rPr>
            </w:pPr>
            <w:r>
              <w:rPr>
                <w:rFonts w:ascii="Arial" w:cs="Arial" w:eastAsia="Arial" w:hAnsi="Arial"/>
                <w:sz w:val="22"/>
                <w:szCs w:val="22"/>
                <w:color w:val="auto"/>
              </w:rPr>
              <w:t>22902</w:t>
            </w:r>
          </w:p>
        </w:tc>
        <w:tc>
          <w:tcPr>
            <w:tcW w:w="20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40" w:type="dxa"/>
            <w:vAlign w:val="bottom"/>
            <w:tcBorders>
              <w:left w:val="single" w:sz="8" w:color="auto"/>
              <w:right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711-23 Hospital St Unit</w:t>
            </w:r>
          </w:p>
        </w:tc>
        <w:tc>
          <w:tcPr>
            <w:tcW w:w="20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8851 B. Park Central</w:t>
            </w:r>
          </w:p>
        </w:tc>
        <w:tc>
          <w:tcPr>
            <w:tcW w:w="18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40" w:type="dxa"/>
            <w:vAlign w:val="bottom"/>
            <w:tcBorders>
              <w:left w:val="single" w:sz="8" w:color="auto"/>
              <w:right w:val="single" w:sz="8" w:color="auto"/>
            </w:tcBorders>
          </w:tcPr>
          <w:p>
            <w:pPr>
              <w:spacing w:after="0"/>
              <w:rPr>
                <w:sz w:val="16"/>
                <w:szCs w:val="16"/>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6"/>
                <w:szCs w:val="16"/>
                <w:color w:val="auto"/>
              </w:rPr>
            </w:pPr>
          </w:p>
        </w:tc>
        <w:tc>
          <w:tcPr>
            <w:tcW w:w="2360" w:type="dxa"/>
            <w:vAlign w:val="bottom"/>
            <w:tcBorders>
              <w:right w:val="single" w:sz="8" w:color="auto"/>
            </w:tcBorders>
          </w:tcPr>
          <w:p>
            <w:pPr>
              <w:ind w:left="100"/>
              <w:spacing w:after="0" w:line="194" w:lineRule="exact"/>
              <w:rPr>
                <w:sz w:val="20"/>
                <w:szCs w:val="20"/>
                <w:color w:val="auto"/>
              </w:rPr>
            </w:pPr>
            <w:r>
              <w:rPr>
                <w:rFonts w:ascii="Arial" w:cs="Arial" w:eastAsia="Arial" w:hAnsi="Arial"/>
                <w:sz w:val="22"/>
                <w:szCs w:val="22"/>
                <w:color w:val="auto"/>
              </w:rPr>
              <w:t>23</w:t>
            </w:r>
          </w:p>
        </w:tc>
        <w:tc>
          <w:tcPr>
            <w:tcW w:w="2080" w:type="dxa"/>
            <w:vAlign w:val="bottom"/>
            <w:tcBorders>
              <w:right w:val="single" w:sz="8" w:color="auto"/>
            </w:tcBorders>
          </w:tcPr>
          <w:p>
            <w:pPr>
              <w:ind w:left="80"/>
              <w:spacing w:after="0" w:line="194" w:lineRule="exact"/>
              <w:rPr>
                <w:sz w:val="20"/>
                <w:szCs w:val="20"/>
                <w:color w:val="auto"/>
              </w:rPr>
            </w:pPr>
            <w:r>
              <w:rPr>
                <w:rFonts w:ascii="Arial" w:cs="Arial" w:eastAsia="Arial" w:hAnsi="Arial"/>
                <w:sz w:val="22"/>
                <w:szCs w:val="22"/>
                <w:color w:val="auto"/>
              </w:rPr>
              <w:t>Drive</w:t>
            </w:r>
          </w:p>
        </w:tc>
        <w:tc>
          <w:tcPr>
            <w:tcW w:w="1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tcPr>
          <w:p>
            <w:pPr>
              <w:spacing w:after="0"/>
              <w:rPr>
                <w:sz w:val="13"/>
                <w:szCs w:val="13"/>
                <w:color w:val="auto"/>
              </w:rPr>
            </w:pPr>
          </w:p>
        </w:tc>
        <w:tc>
          <w:tcPr>
            <w:tcW w:w="150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100"/>
              <w:spacing w:after="0" w:line="210" w:lineRule="exact"/>
              <w:rPr>
                <w:sz w:val="20"/>
                <w:szCs w:val="20"/>
                <w:color w:val="auto"/>
              </w:rPr>
            </w:pPr>
            <w:r>
              <w:rPr>
                <w:rFonts w:ascii="Arial" w:cs="Arial" w:eastAsia="Arial" w:hAnsi="Arial"/>
                <w:sz w:val="22"/>
                <w:szCs w:val="22"/>
                <w:color w:val="auto"/>
              </w:rPr>
              <w:t>Richmond, Virginia</w:t>
            </w:r>
          </w:p>
        </w:tc>
        <w:tc>
          <w:tcPr>
            <w:tcW w:w="2080" w:type="dxa"/>
            <w:vAlign w:val="bottom"/>
            <w:tcBorders>
              <w:right w:val="single" w:sz="8" w:color="auto"/>
            </w:tcBorders>
            <w:vMerge w:val="restart"/>
          </w:tcPr>
          <w:p>
            <w:pPr>
              <w:ind w:left="80"/>
              <w:spacing w:after="0" w:line="210" w:lineRule="exact"/>
              <w:rPr>
                <w:sz w:val="20"/>
                <w:szCs w:val="20"/>
                <w:color w:val="auto"/>
              </w:rPr>
            </w:pPr>
            <w:r>
              <w:rPr>
                <w:rFonts w:ascii="Arial" w:cs="Arial" w:eastAsia="Arial" w:hAnsi="Arial"/>
                <w:sz w:val="22"/>
                <w:szCs w:val="22"/>
                <w:color w:val="auto"/>
              </w:rPr>
              <w:t>Richmond, Virginia</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140" w:type="dxa"/>
            <w:vAlign w:val="bottom"/>
            <w:tcBorders>
              <w:left w:val="single" w:sz="8" w:color="auto"/>
              <w:right w:val="single" w:sz="8" w:color="auto"/>
            </w:tcBorders>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360" w:type="dxa"/>
            <w:vAlign w:val="bottom"/>
            <w:tcBorders>
              <w:right w:val="single" w:sz="8" w:color="auto"/>
            </w:tcBorders>
            <w:vMerge w:val="continue"/>
          </w:tcPr>
          <w:p>
            <w:pPr>
              <w:spacing w:after="0"/>
              <w:rPr>
                <w:sz w:val="5"/>
                <w:szCs w:val="5"/>
                <w:color w:val="auto"/>
              </w:rPr>
            </w:pPr>
          </w:p>
        </w:tc>
        <w:tc>
          <w:tcPr>
            <w:tcW w:w="2080" w:type="dxa"/>
            <w:vAlign w:val="bottom"/>
            <w:tcBorders>
              <w:right w:val="single" w:sz="8" w:color="auto"/>
            </w:tcBorders>
            <w:vMerge w:val="continue"/>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ind w:left="100"/>
              <w:spacing w:after="0" w:line="229" w:lineRule="exact"/>
              <w:rPr>
                <w:sz w:val="20"/>
                <w:szCs w:val="20"/>
                <w:color w:val="auto"/>
              </w:rPr>
            </w:pPr>
            <w:r>
              <w:rPr>
                <w:rFonts w:ascii="Arial" w:cs="Arial" w:eastAsia="Arial" w:hAnsi="Arial"/>
                <w:sz w:val="22"/>
                <w:szCs w:val="22"/>
                <w:color w:val="auto"/>
              </w:rPr>
              <w:t>23219</w:t>
            </w:r>
          </w:p>
        </w:tc>
        <w:tc>
          <w:tcPr>
            <w:tcW w:w="2080" w:type="dxa"/>
            <w:vAlign w:val="bottom"/>
            <w:tcBorders>
              <w:bottom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color w:val="auto"/>
              </w:rPr>
              <w:t>23227</w:t>
            </w: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40" w:type="dxa"/>
            <w:vAlign w:val="bottom"/>
            <w:tcBorders>
              <w:left w:val="single" w:sz="8" w:color="auto"/>
              <w:right w:val="single" w:sz="8" w:color="auto"/>
            </w:tcBorders>
          </w:tcPr>
          <w:p>
            <w:pPr>
              <w:spacing w:after="0"/>
              <w:rPr>
                <w:sz w:val="15"/>
                <w:szCs w:val="15"/>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2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ind w:left="100"/>
              <w:spacing w:after="0" w:line="174" w:lineRule="exact"/>
              <w:rPr>
                <w:sz w:val="20"/>
                <w:szCs w:val="20"/>
                <w:color w:val="auto"/>
              </w:rPr>
            </w:pPr>
            <w:r>
              <w:rPr>
                <w:rFonts w:ascii="Arial" w:cs="Arial" w:eastAsia="Arial" w:hAnsi="Arial"/>
                <w:sz w:val="19"/>
                <w:szCs w:val="19"/>
                <w:color w:val="auto"/>
              </w:rPr>
              <w:t>152 Blades Lane, Ste J</w:t>
            </w:r>
          </w:p>
        </w:tc>
        <w:tc>
          <w:tcPr>
            <w:tcW w:w="208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0" w:lineRule="exact"/>
              <w:rPr>
                <w:sz w:val="20"/>
                <w:szCs w:val="20"/>
                <w:color w:val="auto"/>
              </w:rPr>
            </w:pPr>
            <w:r>
              <w:rPr>
                <w:rFonts w:ascii="Arial" w:cs="Arial" w:eastAsia="Arial" w:hAnsi="Arial"/>
                <w:sz w:val="22"/>
                <w:szCs w:val="22"/>
                <w:color w:val="auto"/>
              </w:rPr>
              <w:t>Glen Burnie, Maryland</w:t>
            </w:r>
          </w:p>
        </w:tc>
        <w:tc>
          <w:tcPr>
            <w:tcW w:w="20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Borders>
              <w:left w:val="single" w:sz="8" w:color="auto"/>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ind w:left="100"/>
              <w:spacing w:after="0" w:line="229" w:lineRule="exact"/>
              <w:rPr>
                <w:sz w:val="20"/>
                <w:szCs w:val="20"/>
                <w:color w:val="auto"/>
              </w:rPr>
            </w:pPr>
            <w:r>
              <w:rPr>
                <w:rFonts w:ascii="Arial" w:cs="Arial" w:eastAsia="Arial" w:hAnsi="Arial"/>
                <w:sz w:val="22"/>
                <w:szCs w:val="22"/>
                <w:color w:val="auto"/>
              </w:rPr>
              <w:t>21060</w:t>
            </w:r>
          </w:p>
        </w:tc>
        <w:tc>
          <w:tcPr>
            <w:tcW w:w="2080" w:type="dxa"/>
            <w:vAlign w:val="bottom"/>
            <w:tcBorders>
              <w:bottom w:val="single" w:sz="8" w:color="auto"/>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Section 5.13 of Schedule 5 – Page 3</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1" w:name="page152"/>
    <w:bookmarkEnd w:id="1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480" w:type="dxa"/>
            <w:vAlign w:val="bottom"/>
            <w:tcBorders>
              <w:top w:val="single" w:sz="8" w:color="auto"/>
            </w:tcBorders>
            <w:shd w:val="clear" w:color="auto" w:fill="E0E0E0"/>
          </w:tcPr>
          <w:p>
            <w:pPr>
              <w:spacing w:after="0"/>
              <w:rPr>
                <w:sz w:val="23"/>
                <w:szCs w:val="23"/>
                <w:color w:val="auto"/>
              </w:rPr>
            </w:pPr>
          </w:p>
        </w:tc>
        <w:tc>
          <w:tcPr>
            <w:tcW w:w="200" w:type="dxa"/>
            <w:vAlign w:val="bottom"/>
            <w:tcBorders>
              <w:top w:val="single" w:sz="8" w:color="auto"/>
              <w:right w:val="single" w:sz="8" w:color="auto"/>
            </w:tcBorders>
            <w:shd w:val="clear" w:color="auto" w:fill="E0E0E0"/>
          </w:tcPr>
          <w:p>
            <w:pPr>
              <w:spacing w:after="0"/>
              <w:rPr>
                <w:sz w:val="23"/>
                <w:szCs w:val="23"/>
                <w:color w:val="auto"/>
              </w:rPr>
            </w:pPr>
          </w:p>
        </w:tc>
        <w:tc>
          <w:tcPr>
            <w:tcW w:w="2360" w:type="dxa"/>
            <w:vAlign w:val="bottom"/>
            <w:tcBorders>
              <w:top w:val="single" w:sz="8" w:color="auto"/>
              <w:right w:val="single" w:sz="8" w:color="auto"/>
            </w:tcBorders>
            <w:shd w:val="clear" w:color="auto" w:fill="E0E0E0"/>
          </w:tcPr>
          <w:p>
            <w:pPr>
              <w:spacing w:after="0"/>
              <w:rPr>
                <w:sz w:val="23"/>
                <w:szCs w:val="23"/>
                <w:color w:val="auto"/>
              </w:rPr>
            </w:pPr>
          </w:p>
        </w:tc>
        <w:tc>
          <w:tcPr>
            <w:tcW w:w="2160" w:type="dxa"/>
            <w:vAlign w:val="bottom"/>
            <w:tcBorders>
              <w:top w:val="single" w:sz="8" w:color="auto"/>
              <w:right w:val="single" w:sz="8" w:color="auto"/>
            </w:tcBorders>
            <w:shd w:val="clear" w:color="auto" w:fill="E0E0E0"/>
          </w:tcPr>
          <w:p>
            <w:pPr>
              <w:spacing w:after="0"/>
              <w:rPr>
                <w:sz w:val="23"/>
                <w:szCs w:val="23"/>
                <w:color w:val="auto"/>
              </w:rPr>
            </w:pPr>
          </w:p>
        </w:tc>
        <w:tc>
          <w:tcPr>
            <w:tcW w:w="172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vMerge w:val="restart"/>
            <w:shd w:val="clear" w:color="auto" w:fill="E0E0E0"/>
          </w:tcPr>
          <w:p>
            <w:pPr>
              <w:ind w:left="120"/>
              <w:spacing w:after="0"/>
              <w:rPr>
                <w:sz w:val="20"/>
                <w:szCs w:val="20"/>
                <w:color w:val="auto"/>
              </w:rPr>
            </w:pPr>
            <w:r>
              <w:rPr>
                <w:rFonts w:ascii="Arial" w:cs="Arial" w:eastAsia="Arial" w:hAnsi="Arial"/>
                <w:sz w:val="22"/>
                <w:szCs w:val="22"/>
                <w:b w:val="1"/>
                <w:bCs w:val="1"/>
                <w:color w:val="auto"/>
              </w:rPr>
              <w:t>ENTITY NAME</w:t>
            </w:r>
          </w:p>
        </w:tc>
        <w:tc>
          <w:tcPr>
            <w:tcW w:w="1480" w:type="dxa"/>
            <w:vAlign w:val="bottom"/>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00" w:type="dxa"/>
            <w:vAlign w:val="bottom"/>
            <w:tcBorders>
              <w:right w:val="single" w:sz="8" w:color="auto"/>
            </w:tcBorders>
            <w:shd w:val="clear" w:color="auto" w:fill="E0E0E0"/>
          </w:tcPr>
          <w:p>
            <w:pPr>
              <w:spacing w:after="0"/>
              <w:rPr>
                <w:sz w:val="21"/>
                <w:szCs w:val="21"/>
                <w:color w:val="auto"/>
              </w:rPr>
            </w:pPr>
          </w:p>
        </w:tc>
        <w:tc>
          <w:tcPr>
            <w:tcW w:w="236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w:t>
            </w:r>
          </w:p>
        </w:tc>
        <w:tc>
          <w:tcPr>
            <w:tcW w:w="2160" w:type="dxa"/>
            <w:vAlign w:val="bottom"/>
            <w:tcBorders>
              <w:right w:val="single" w:sz="8" w:color="auto"/>
            </w:tcBorders>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PRIOR</w:t>
            </w:r>
          </w:p>
        </w:tc>
        <w:tc>
          <w:tcPr>
            <w:tcW w:w="1720" w:type="dxa"/>
            <w:vAlign w:val="bottom"/>
            <w:tcBorders>
              <w:right w:val="single" w:sz="8" w:color="auto"/>
            </w:tcBorders>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59"/>
        </w:trPr>
        <w:tc>
          <w:tcPr>
            <w:tcW w:w="2160" w:type="dxa"/>
            <w:vAlign w:val="bottom"/>
            <w:tcBorders>
              <w:left w:val="single" w:sz="8" w:color="auto"/>
              <w:right w:val="single" w:sz="8" w:color="auto"/>
            </w:tcBorders>
            <w:vMerge w:val="continue"/>
            <w:shd w:val="clear" w:color="auto" w:fill="E0E0E0"/>
          </w:tcPr>
          <w:p>
            <w:pPr>
              <w:spacing w:after="0"/>
              <w:rPr>
                <w:sz w:val="13"/>
                <w:szCs w:val="13"/>
                <w:color w:val="auto"/>
              </w:rPr>
            </w:pPr>
          </w:p>
        </w:tc>
        <w:tc>
          <w:tcPr>
            <w:tcW w:w="1480" w:type="dxa"/>
            <w:vAlign w:val="bottom"/>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TYPE</w:t>
            </w:r>
          </w:p>
        </w:tc>
        <w:tc>
          <w:tcPr>
            <w:tcW w:w="200" w:type="dxa"/>
            <w:vAlign w:val="bottom"/>
            <w:tcBorders>
              <w:right w:val="single" w:sz="8" w:color="auto"/>
            </w:tcBorders>
            <w:shd w:val="clear" w:color="auto" w:fill="E0E0E0"/>
          </w:tcPr>
          <w:p>
            <w:pPr>
              <w:spacing w:after="0"/>
              <w:rPr>
                <w:sz w:val="13"/>
                <w:szCs w:val="13"/>
                <w:color w:val="auto"/>
              </w:rPr>
            </w:pPr>
          </w:p>
        </w:tc>
        <w:tc>
          <w:tcPr>
            <w:tcW w:w="2360" w:type="dxa"/>
            <w:vAlign w:val="bottom"/>
            <w:tcBorders>
              <w:right w:val="single" w:sz="8" w:color="auto"/>
            </w:tcBorders>
            <w:vMerge w:val="continue"/>
            <w:shd w:val="clear" w:color="auto" w:fill="E0E0E0"/>
          </w:tcPr>
          <w:p>
            <w:pPr>
              <w:spacing w:after="0"/>
              <w:rPr>
                <w:sz w:val="13"/>
                <w:szCs w:val="13"/>
                <w:color w:val="auto"/>
              </w:rPr>
            </w:pPr>
          </w:p>
        </w:tc>
        <w:tc>
          <w:tcPr>
            <w:tcW w:w="2160" w:type="dxa"/>
            <w:vAlign w:val="bottom"/>
            <w:tcBorders>
              <w:right w:val="single" w:sz="8" w:color="auto"/>
            </w:tcBorders>
            <w:vMerge w:val="restart"/>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ADDRESSES</w:t>
            </w:r>
          </w:p>
        </w:tc>
        <w:tc>
          <w:tcPr>
            <w:tcW w:w="172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84"/>
        </w:trPr>
        <w:tc>
          <w:tcPr>
            <w:tcW w:w="2160" w:type="dxa"/>
            <w:vAlign w:val="bottom"/>
            <w:tcBorders>
              <w:left w:val="single" w:sz="8" w:color="auto"/>
              <w:right w:val="single" w:sz="8" w:color="auto"/>
            </w:tcBorders>
            <w:shd w:val="clear" w:color="auto" w:fill="E0E0E0"/>
          </w:tcPr>
          <w:p>
            <w:pPr>
              <w:spacing w:after="0"/>
              <w:rPr>
                <w:sz w:val="7"/>
                <w:szCs w:val="7"/>
                <w:color w:val="auto"/>
              </w:rPr>
            </w:pPr>
          </w:p>
        </w:tc>
        <w:tc>
          <w:tcPr>
            <w:tcW w:w="1480" w:type="dxa"/>
            <w:vAlign w:val="bottom"/>
            <w:vMerge w:val="continue"/>
            <w:shd w:val="clear" w:color="auto" w:fill="E0E0E0"/>
          </w:tcPr>
          <w:p>
            <w:pPr>
              <w:spacing w:after="0"/>
              <w:rPr>
                <w:sz w:val="7"/>
                <w:szCs w:val="7"/>
                <w:color w:val="auto"/>
              </w:rPr>
            </w:pPr>
          </w:p>
        </w:tc>
        <w:tc>
          <w:tcPr>
            <w:tcW w:w="200" w:type="dxa"/>
            <w:vAlign w:val="bottom"/>
            <w:tcBorders>
              <w:right w:val="single" w:sz="8" w:color="auto"/>
            </w:tcBorders>
            <w:shd w:val="clear" w:color="auto" w:fill="E0E0E0"/>
          </w:tcPr>
          <w:p>
            <w:pPr>
              <w:spacing w:after="0"/>
              <w:rPr>
                <w:sz w:val="7"/>
                <w:szCs w:val="7"/>
                <w:color w:val="auto"/>
              </w:rPr>
            </w:pPr>
          </w:p>
        </w:tc>
        <w:tc>
          <w:tcPr>
            <w:tcW w:w="2360" w:type="dxa"/>
            <w:vAlign w:val="bottom"/>
            <w:tcBorders>
              <w:right w:val="single" w:sz="8" w:color="auto"/>
            </w:tcBorders>
            <w:shd w:val="clear" w:color="auto" w:fill="E0E0E0"/>
          </w:tcPr>
          <w:p>
            <w:pPr>
              <w:spacing w:after="0"/>
              <w:rPr>
                <w:sz w:val="7"/>
                <w:szCs w:val="7"/>
                <w:color w:val="auto"/>
              </w:rPr>
            </w:pPr>
          </w:p>
        </w:tc>
        <w:tc>
          <w:tcPr>
            <w:tcW w:w="2160" w:type="dxa"/>
            <w:vAlign w:val="bottom"/>
            <w:tcBorders>
              <w:right w:val="single" w:sz="8" w:color="auto"/>
            </w:tcBorders>
            <w:vMerge w:val="continue"/>
            <w:shd w:val="clear" w:color="auto" w:fill="E0E0E0"/>
          </w:tcPr>
          <w:p>
            <w:pPr>
              <w:spacing w:after="0"/>
              <w:rPr>
                <w:sz w:val="7"/>
                <w:szCs w:val="7"/>
                <w:color w:val="auto"/>
              </w:rPr>
            </w:pPr>
          </w:p>
        </w:tc>
        <w:tc>
          <w:tcPr>
            <w:tcW w:w="1720" w:type="dxa"/>
            <w:vAlign w:val="bottom"/>
            <w:tcBorders>
              <w:right w:val="single" w:sz="8" w:color="auto"/>
            </w:tcBorders>
            <w:vMerge w:val="continue"/>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2160" w:type="dxa"/>
            <w:vAlign w:val="bottom"/>
            <w:tcBorders>
              <w:left w:val="single" w:sz="8" w:color="auto"/>
              <w:bottom w:val="single" w:sz="8" w:color="auto"/>
              <w:right w:val="single" w:sz="8" w:color="auto"/>
            </w:tcBorders>
            <w:shd w:val="clear" w:color="auto" w:fill="E0E0E0"/>
          </w:tcPr>
          <w:p>
            <w:pPr>
              <w:spacing w:after="0"/>
              <w:rPr>
                <w:sz w:val="24"/>
                <w:szCs w:val="24"/>
                <w:color w:val="auto"/>
              </w:rPr>
            </w:pPr>
          </w:p>
        </w:tc>
        <w:tc>
          <w:tcPr>
            <w:tcW w:w="1480" w:type="dxa"/>
            <w:vAlign w:val="bottom"/>
            <w:tcBorders>
              <w:bottom w:val="single" w:sz="8" w:color="auto"/>
            </w:tcBorders>
            <w:shd w:val="clear" w:color="auto" w:fill="E0E0E0"/>
          </w:tcPr>
          <w:p>
            <w:pPr>
              <w:spacing w:after="0"/>
              <w:rPr>
                <w:sz w:val="24"/>
                <w:szCs w:val="24"/>
                <w:color w:val="auto"/>
              </w:rPr>
            </w:pPr>
          </w:p>
        </w:tc>
        <w:tc>
          <w:tcPr>
            <w:tcW w:w="200" w:type="dxa"/>
            <w:vAlign w:val="bottom"/>
            <w:tcBorders>
              <w:bottom w:val="single" w:sz="8" w:color="auto"/>
              <w:right w:val="single" w:sz="8" w:color="auto"/>
            </w:tcBorders>
            <w:shd w:val="clear" w:color="auto" w:fill="E0E0E0"/>
          </w:tcPr>
          <w:p>
            <w:pPr>
              <w:spacing w:after="0"/>
              <w:rPr>
                <w:sz w:val="24"/>
                <w:szCs w:val="24"/>
                <w:color w:val="auto"/>
              </w:rPr>
            </w:pPr>
          </w:p>
        </w:tc>
        <w:tc>
          <w:tcPr>
            <w:tcW w:w="2360" w:type="dxa"/>
            <w:vAlign w:val="bottom"/>
            <w:tcBorders>
              <w:bottom w:val="single" w:sz="8" w:color="auto"/>
              <w:right w:val="single" w:sz="8" w:color="auto"/>
            </w:tcBorders>
            <w:shd w:val="clear" w:color="auto" w:fill="E0E0E0"/>
          </w:tcPr>
          <w:p>
            <w:pPr>
              <w:spacing w:after="0"/>
              <w:rPr>
                <w:sz w:val="24"/>
                <w:szCs w:val="24"/>
                <w:color w:val="auto"/>
              </w:rPr>
            </w:pPr>
          </w:p>
        </w:tc>
        <w:tc>
          <w:tcPr>
            <w:tcW w:w="2160" w:type="dxa"/>
            <w:vAlign w:val="bottom"/>
            <w:tcBorders>
              <w:bottom w:val="single" w:sz="8" w:color="auto"/>
              <w:right w:val="single" w:sz="8" w:color="auto"/>
            </w:tcBorders>
            <w:shd w:val="clear" w:color="auto" w:fill="E0E0E0"/>
          </w:tcPr>
          <w:p>
            <w:pPr>
              <w:spacing w:after="0"/>
              <w:rPr>
                <w:sz w:val="24"/>
                <w:szCs w:val="24"/>
                <w:color w:val="auto"/>
              </w:rPr>
            </w:pPr>
          </w:p>
        </w:tc>
        <w:tc>
          <w:tcPr>
            <w:tcW w:w="1720" w:type="dxa"/>
            <w:vAlign w:val="bottom"/>
            <w:tcBorders>
              <w:bottom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2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w w:val="93"/>
              </w:rPr>
              <w:t>Principal Place</w:t>
            </w:r>
          </w:p>
        </w:tc>
        <w:tc>
          <w:tcPr>
            <w:tcW w:w="20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80"/>
              <w:spacing w:after="0" w:line="222" w:lineRule="exact"/>
              <w:rPr>
                <w:sz w:val="20"/>
                <w:szCs w:val="20"/>
                <w:color w:val="auto"/>
              </w:rPr>
            </w:pPr>
            <w:r>
              <w:rPr>
                <w:rFonts w:ascii="Arial" w:cs="Arial" w:eastAsia="Arial" w:hAnsi="Arial"/>
                <w:sz w:val="22"/>
                <w:szCs w:val="22"/>
                <w:color w:val="auto"/>
                <w:w w:val="95"/>
              </w:rPr>
              <w:t>4806 Rixey Road, North</w:t>
            </w:r>
          </w:p>
        </w:tc>
        <w:tc>
          <w:tcPr>
            <w:tcW w:w="216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Little Rock, Arkansas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7"/>
              </w:rPr>
              <w:t>USA (Arkansas), Inc.</w:t>
            </w: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72117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116 Commercial Drive,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spacing w:after="0"/>
              <w:rPr>
                <w:sz w:val="13"/>
                <w:szCs w:val="13"/>
                <w:color w:val="auto"/>
              </w:rPr>
            </w:pPr>
          </w:p>
        </w:tc>
        <w:tc>
          <w:tcPr>
            <w:tcW w:w="148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5"/>
              </w:rPr>
              <w:t>Lowell, Arkansas 72745</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3900 Terra Glen Lane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North Little Rock,</w:t>
            </w:r>
          </w:p>
        </w:tc>
        <w:tc>
          <w:tcPr>
            <w:tcW w:w="21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Arkansas 72117</w:t>
            </w:r>
          </w:p>
        </w:tc>
        <w:tc>
          <w:tcPr>
            <w:tcW w:w="216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Comfort Systems</w:t>
            </w: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w w:val="93"/>
              </w:rPr>
              <w:t>Principal Place</w:t>
            </w: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675 Bering Drive, Suite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(Baltimore),</w:t>
            </w: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48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294 Blevins Blvd.,</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Comfort Systems</w:t>
            </w:r>
          </w:p>
        </w:tc>
        <w:tc>
          <w:tcPr>
            <w:tcW w:w="1480" w:type="dxa"/>
            <w:vAlign w:val="bottom"/>
            <w:vMerge w:val="restart"/>
          </w:tcPr>
          <w:p>
            <w:pPr>
              <w:ind w:left="100"/>
              <w:spacing w:after="0" w:line="243" w:lineRule="exact"/>
              <w:rPr>
                <w:sz w:val="20"/>
                <w:szCs w:val="20"/>
                <w:color w:val="auto"/>
              </w:rPr>
            </w:pPr>
            <w:r>
              <w:rPr>
                <w:rFonts w:ascii="Arial" w:cs="Arial" w:eastAsia="Arial" w:hAnsi="Arial"/>
                <w:sz w:val="22"/>
                <w:szCs w:val="22"/>
                <w:color w:val="auto"/>
                <w:w w:val="93"/>
              </w:rPr>
              <w:t>Principal Place</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Systems USA</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Bristol, Virginia 24203-</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(Bristol), Inc.</w:t>
            </w:r>
          </w:p>
        </w:tc>
        <w:tc>
          <w:tcPr>
            <w:tcW w:w="1480" w:type="dxa"/>
            <w:vAlign w:val="bottom"/>
            <w:vMerge w:val="restart"/>
          </w:tcPr>
          <w:p>
            <w:pPr>
              <w:ind w:left="100"/>
              <w:spacing w:after="0" w:line="243" w:lineRule="exact"/>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New River</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0757</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(Bristol)</w:t>
            </w: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811 Pocahontas Ave</w:t>
            </w:r>
          </w:p>
        </w:tc>
        <w:tc>
          <w:tcPr>
            <w:tcW w:w="21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6450 Merriman Road,</w:t>
            </w: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60" w:type="dxa"/>
            <w:vAlign w:val="bottom"/>
            <w:tcBorders>
              <w:left w:val="single" w:sz="8" w:color="auto"/>
              <w:right w:val="single" w:sz="8" w:color="auto"/>
            </w:tcBorders>
          </w:tcPr>
          <w:p>
            <w:pPr>
              <w:spacing w:after="0"/>
              <w:rPr>
                <w:sz w:val="23"/>
                <w:szCs w:val="23"/>
                <w:color w:val="auto"/>
              </w:rPr>
            </w:pP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3"/>
                <w:szCs w:val="23"/>
                <w:color w:val="auto"/>
              </w:rPr>
            </w:pPr>
          </w:p>
        </w:tc>
        <w:tc>
          <w:tcPr>
            <w:tcW w:w="23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NW</w:t>
            </w:r>
          </w:p>
        </w:tc>
        <w:tc>
          <w:tcPr>
            <w:tcW w:w="21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Ste E</w:t>
            </w:r>
          </w:p>
        </w:tc>
        <w:tc>
          <w:tcPr>
            <w:tcW w:w="17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spacing w:after="0"/>
              <w:rPr>
                <w:sz w:val="13"/>
                <w:szCs w:val="13"/>
                <w:color w:val="auto"/>
              </w:rPr>
            </w:pPr>
          </w:p>
        </w:tc>
        <w:tc>
          <w:tcPr>
            <w:tcW w:w="148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Roanoke, Virginia</w:t>
            </w:r>
          </w:p>
        </w:tc>
        <w:tc>
          <w:tcPr>
            <w:tcW w:w="21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Roanoke, Virginia</w:t>
            </w: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216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24012</w:t>
            </w:r>
          </w:p>
        </w:tc>
        <w:tc>
          <w:tcPr>
            <w:tcW w:w="2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24018</w:t>
            </w: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Comfort Systems</w:t>
            </w: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w w:val="93"/>
              </w:rPr>
              <w:t>Principal Place</w:t>
            </w: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675 Bering Drive, Suite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(Carolinas),</w:t>
            </w: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48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2655 Fortune Circle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restart"/>
          </w:tcPr>
          <w:p>
            <w:pPr>
              <w:ind w:left="100"/>
              <w:spacing w:after="0" w:line="243" w:lineRule="exact"/>
              <w:rPr>
                <w:sz w:val="20"/>
                <w:szCs w:val="20"/>
                <w:color w:val="auto"/>
              </w:rPr>
            </w:pPr>
            <w:r>
              <w:rPr>
                <w:rFonts w:ascii="Arial" w:cs="Arial" w:eastAsia="Arial" w:hAnsi="Arial"/>
                <w:sz w:val="22"/>
                <w:szCs w:val="22"/>
                <w:color w:val="auto"/>
                <w:w w:val="93"/>
              </w:rPr>
              <w:t>Principal Place</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West, Suite E,</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Energy</w:t>
            </w: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restart"/>
          </w:tcPr>
          <w:p>
            <w:pPr>
              <w:ind w:left="100"/>
              <w:spacing w:after="0" w:line="243" w:lineRule="exact"/>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Indianapolis, Indiana</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Services, Inc.</w:t>
            </w: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46241</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One Financial Centre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Bldg.</w:t>
            </w:r>
          </w:p>
        </w:tc>
        <w:tc>
          <w:tcPr>
            <w:tcW w:w="21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650 S. Shackleford</w:t>
            </w:r>
          </w:p>
        </w:tc>
        <w:tc>
          <w:tcPr>
            <w:tcW w:w="21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5"/>
              </w:rPr>
              <w:t>Road, #224, Little Rock,</w:t>
            </w:r>
          </w:p>
        </w:tc>
        <w:tc>
          <w:tcPr>
            <w:tcW w:w="21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Arkansas 72211</w:t>
            </w:r>
          </w:p>
        </w:tc>
        <w:tc>
          <w:tcPr>
            <w:tcW w:w="216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w w:val="93"/>
              </w:rPr>
              <w:t>Principal Place</w:t>
            </w: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9"/>
              </w:rPr>
              <w:t>675 Bering Drive, Suite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USA G.P., Inc.</w:t>
            </w:r>
          </w:p>
        </w:tc>
        <w:tc>
          <w:tcPr>
            <w:tcW w:w="148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2701 Fortune Circle</w:t>
            </w:r>
          </w:p>
        </w:tc>
        <w:tc>
          <w:tcPr>
            <w:tcW w:w="216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Comfort Systems</w:t>
            </w:r>
          </w:p>
        </w:tc>
        <w:tc>
          <w:tcPr>
            <w:tcW w:w="1480" w:type="dxa"/>
            <w:vAlign w:val="bottom"/>
          </w:tcPr>
          <w:p>
            <w:pPr>
              <w:ind w:left="100"/>
              <w:spacing w:after="0" w:line="243" w:lineRule="exact"/>
              <w:rPr>
                <w:sz w:val="20"/>
                <w:szCs w:val="20"/>
                <w:color w:val="auto"/>
              </w:rPr>
            </w:pPr>
            <w:r>
              <w:rPr>
                <w:rFonts w:ascii="Arial" w:cs="Arial" w:eastAsia="Arial" w:hAnsi="Arial"/>
                <w:sz w:val="22"/>
                <w:szCs w:val="22"/>
                <w:color w:val="auto"/>
                <w:w w:val="93"/>
              </w:rPr>
              <w:t>Principal Place</w:t>
            </w:r>
          </w:p>
        </w:tc>
        <w:tc>
          <w:tcPr>
            <w:tcW w:w="2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East, Suites F &amp; G,</w:t>
            </w:r>
          </w:p>
        </w:tc>
        <w:tc>
          <w:tcPr>
            <w:tcW w:w="21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USA (Indiana), LLC</w:t>
            </w:r>
          </w:p>
        </w:tc>
        <w:tc>
          <w:tcPr>
            <w:tcW w:w="1480" w:type="dxa"/>
            <w:vAlign w:val="bottom"/>
          </w:tcPr>
          <w:p>
            <w:pPr>
              <w:ind w:left="100"/>
              <w:spacing w:after="0" w:line="243" w:lineRule="exact"/>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Indianapolis, Indiana</w:t>
            </w:r>
          </w:p>
        </w:tc>
        <w:tc>
          <w:tcPr>
            <w:tcW w:w="21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46241</w:t>
            </w:r>
          </w:p>
        </w:tc>
        <w:tc>
          <w:tcPr>
            <w:tcW w:w="216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2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720" w:type="dxa"/>
            <w:vAlign w:val="bottom"/>
            <w:gridSpan w:val="3"/>
          </w:tcPr>
          <w:p>
            <w:pPr>
              <w:ind w:left="100"/>
              <w:spacing w:after="0"/>
              <w:rPr>
                <w:sz w:val="20"/>
                <w:szCs w:val="20"/>
                <w:color w:val="auto"/>
              </w:rPr>
            </w:pPr>
            <w:r>
              <w:rPr>
                <w:rFonts w:ascii="Arial" w:cs="Arial" w:eastAsia="Arial" w:hAnsi="Arial"/>
                <w:sz w:val="18"/>
                <w:szCs w:val="18"/>
                <w:color w:val="auto"/>
              </w:rPr>
              <w:t>Section 5.13 of Schedule 5 – Page 4</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2" w:name="page153"/>
    <w:bookmarkEnd w:id="1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26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440" w:type="dxa"/>
            <w:vAlign w:val="bottom"/>
            <w:tcBorders>
              <w:top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w:t>
            </w:r>
          </w:p>
        </w:tc>
        <w:tc>
          <w:tcPr>
            <w:tcW w:w="180" w:type="dxa"/>
            <w:vAlign w:val="bottom"/>
            <w:tcBorders>
              <w:top w:val="single" w:sz="8" w:color="auto"/>
              <w:right w:val="single" w:sz="8" w:color="auto"/>
            </w:tcBorders>
            <w:shd w:val="clear" w:color="auto" w:fill="E0E0E0"/>
          </w:tcPr>
          <w:p>
            <w:pPr>
              <w:spacing w:after="0"/>
              <w:rPr>
                <w:sz w:val="23"/>
                <w:szCs w:val="23"/>
                <w:color w:val="auto"/>
              </w:rPr>
            </w:pPr>
          </w:p>
        </w:tc>
        <w:tc>
          <w:tcPr>
            <w:tcW w:w="2260" w:type="dxa"/>
            <w:vAlign w:val="bottom"/>
            <w:tcBorders>
              <w:top w:val="single" w:sz="8" w:color="auto"/>
              <w:right w:val="single" w:sz="8" w:color="auto"/>
            </w:tcBorders>
            <w:shd w:val="clear" w:color="auto" w:fill="E0E0E0"/>
          </w:tcPr>
          <w:p>
            <w:pPr>
              <w:spacing w:after="0"/>
              <w:rPr>
                <w:sz w:val="23"/>
                <w:szCs w:val="23"/>
                <w:color w:val="auto"/>
              </w:rPr>
            </w:pPr>
          </w:p>
        </w:tc>
        <w:tc>
          <w:tcPr>
            <w:tcW w:w="210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1840" w:type="dxa"/>
            <w:vAlign w:val="bottom"/>
            <w:tcBorders>
              <w:top w:val="single" w:sz="8" w:color="auto"/>
              <w:right w:val="single" w:sz="8" w:color="auto"/>
            </w:tcBorders>
            <w:shd w:val="clear" w:color="auto" w:fill="E0E0E0"/>
          </w:tcPr>
          <w:p>
            <w:pPr>
              <w:ind w:left="8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440" w:type="dxa"/>
            <w:vAlign w:val="bottom"/>
            <w:vMerge w:val="continue"/>
            <w:shd w:val="clear" w:color="auto" w:fill="E0E0E0"/>
          </w:tcPr>
          <w:p>
            <w:pPr>
              <w:spacing w:after="0"/>
              <w:rPr>
                <w:sz w:val="10"/>
                <w:szCs w:val="10"/>
                <w:color w:val="auto"/>
              </w:rPr>
            </w:pPr>
          </w:p>
        </w:tc>
        <w:tc>
          <w:tcPr>
            <w:tcW w:w="180" w:type="dxa"/>
            <w:vAlign w:val="bottom"/>
            <w:tcBorders>
              <w:right w:val="single" w:sz="8" w:color="auto"/>
            </w:tcBorders>
            <w:shd w:val="clear" w:color="auto" w:fill="E0E0E0"/>
          </w:tcPr>
          <w:p>
            <w:pPr>
              <w:spacing w:after="0"/>
              <w:rPr>
                <w:sz w:val="10"/>
                <w:szCs w:val="10"/>
                <w:color w:val="auto"/>
              </w:rPr>
            </w:pPr>
          </w:p>
        </w:tc>
        <w:tc>
          <w:tcPr>
            <w:tcW w:w="2260" w:type="dxa"/>
            <w:vAlign w:val="bottom"/>
            <w:tcBorders>
              <w:right w:val="single" w:sz="8" w:color="auto"/>
            </w:tcBorders>
            <w:vMerge w:val="restart"/>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ADDRESS</w:t>
            </w:r>
          </w:p>
        </w:tc>
        <w:tc>
          <w:tcPr>
            <w:tcW w:w="2100" w:type="dxa"/>
            <w:vAlign w:val="bottom"/>
            <w:tcBorders>
              <w:right w:val="single" w:sz="8" w:color="auto"/>
            </w:tcBorders>
            <w:vMerge w:val="continue"/>
            <w:shd w:val="clear" w:color="auto" w:fill="E0E0E0"/>
          </w:tcPr>
          <w:p>
            <w:pPr>
              <w:spacing w:after="0"/>
              <w:rPr>
                <w:sz w:val="10"/>
                <w:szCs w:val="10"/>
                <w:color w:val="auto"/>
              </w:rPr>
            </w:pPr>
          </w:p>
        </w:tc>
        <w:tc>
          <w:tcPr>
            <w:tcW w:w="1840" w:type="dxa"/>
            <w:vAlign w:val="bottom"/>
            <w:tcBorders>
              <w:right w:val="single" w:sz="8" w:color="auto"/>
            </w:tcBorders>
            <w:vMerge w:val="restart"/>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440" w:type="dxa"/>
            <w:vAlign w:val="bottom"/>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TYPE</w:t>
            </w:r>
          </w:p>
        </w:tc>
        <w:tc>
          <w:tcPr>
            <w:tcW w:w="180" w:type="dxa"/>
            <w:vAlign w:val="bottom"/>
            <w:tcBorders>
              <w:right w:val="single" w:sz="8" w:color="auto"/>
            </w:tcBorders>
            <w:shd w:val="clear" w:color="auto" w:fill="E0E0E0"/>
          </w:tcPr>
          <w:p>
            <w:pPr>
              <w:spacing w:after="0"/>
              <w:rPr>
                <w:sz w:val="10"/>
                <w:szCs w:val="10"/>
                <w:color w:val="auto"/>
              </w:rPr>
            </w:pPr>
          </w:p>
        </w:tc>
        <w:tc>
          <w:tcPr>
            <w:tcW w:w="2260" w:type="dxa"/>
            <w:vAlign w:val="bottom"/>
            <w:tcBorders>
              <w:right w:val="single" w:sz="8" w:color="auto"/>
            </w:tcBorders>
            <w:vMerge w:val="continue"/>
            <w:shd w:val="clear" w:color="auto" w:fill="E0E0E0"/>
          </w:tcPr>
          <w:p>
            <w:pPr>
              <w:spacing w:after="0"/>
              <w:rPr>
                <w:sz w:val="10"/>
                <w:szCs w:val="10"/>
                <w:color w:val="auto"/>
              </w:rPr>
            </w:pPr>
          </w:p>
        </w:tc>
        <w:tc>
          <w:tcPr>
            <w:tcW w:w="210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ADDRESSES</w:t>
            </w:r>
          </w:p>
        </w:tc>
        <w:tc>
          <w:tcPr>
            <w:tcW w:w="184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shd w:val="clear" w:color="auto" w:fill="E0E0E0"/>
          </w:tcPr>
          <w:p>
            <w:pPr>
              <w:spacing w:after="0"/>
              <w:rPr>
                <w:sz w:val="13"/>
                <w:szCs w:val="13"/>
                <w:color w:val="auto"/>
              </w:rPr>
            </w:pPr>
          </w:p>
        </w:tc>
        <w:tc>
          <w:tcPr>
            <w:tcW w:w="1440" w:type="dxa"/>
            <w:vAlign w:val="bottom"/>
            <w:vMerge w:val="continue"/>
            <w:shd w:val="clear" w:color="auto" w:fill="E0E0E0"/>
          </w:tcPr>
          <w:p>
            <w:pPr>
              <w:spacing w:after="0"/>
              <w:rPr>
                <w:sz w:val="13"/>
                <w:szCs w:val="13"/>
                <w:color w:val="auto"/>
              </w:rPr>
            </w:pPr>
          </w:p>
        </w:tc>
        <w:tc>
          <w:tcPr>
            <w:tcW w:w="180" w:type="dxa"/>
            <w:vAlign w:val="bottom"/>
            <w:tcBorders>
              <w:right w:val="single" w:sz="8" w:color="auto"/>
            </w:tcBorders>
            <w:shd w:val="clear" w:color="auto" w:fill="E0E0E0"/>
          </w:tcPr>
          <w:p>
            <w:pPr>
              <w:spacing w:after="0"/>
              <w:rPr>
                <w:sz w:val="13"/>
                <w:szCs w:val="13"/>
                <w:color w:val="auto"/>
              </w:rPr>
            </w:pPr>
          </w:p>
        </w:tc>
        <w:tc>
          <w:tcPr>
            <w:tcW w:w="2260" w:type="dxa"/>
            <w:vAlign w:val="bottom"/>
            <w:tcBorders>
              <w:right w:val="single" w:sz="8" w:color="auto"/>
            </w:tcBorders>
            <w:shd w:val="clear" w:color="auto" w:fill="E0E0E0"/>
          </w:tcPr>
          <w:p>
            <w:pPr>
              <w:spacing w:after="0"/>
              <w:rPr>
                <w:sz w:val="13"/>
                <w:szCs w:val="13"/>
                <w:color w:val="auto"/>
              </w:rPr>
            </w:pPr>
          </w:p>
        </w:tc>
        <w:tc>
          <w:tcPr>
            <w:tcW w:w="2100" w:type="dxa"/>
            <w:vAlign w:val="bottom"/>
            <w:tcBorders>
              <w:right w:val="single" w:sz="8" w:color="auto"/>
            </w:tcBorders>
            <w:vMerge w:val="continue"/>
            <w:shd w:val="clear" w:color="auto" w:fill="E0E0E0"/>
          </w:tcPr>
          <w:p>
            <w:pPr>
              <w:spacing w:after="0"/>
              <w:rPr>
                <w:sz w:val="13"/>
                <w:szCs w:val="13"/>
                <w:color w:val="auto"/>
              </w:rPr>
            </w:pPr>
          </w:p>
        </w:tc>
        <w:tc>
          <w:tcPr>
            <w:tcW w:w="184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26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440" w:type="dxa"/>
            <w:vAlign w:val="bottom"/>
            <w:tcBorders>
              <w:bottom w:val="single" w:sz="8" w:color="auto"/>
            </w:tcBorders>
            <w:shd w:val="clear" w:color="auto" w:fill="E0E0E0"/>
          </w:tcPr>
          <w:p>
            <w:pPr>
              <w:spacing w:after="0"/>
              <w:rPr>
                <w:sz w:val="11"/>
                <w:szCs w:val="11"/>
                <w:color w:val="auto"/>
              </w:rPr>
            </w:pPr>
          </w:p>
        </w:tc>
        <w:tc>
          <w:tcPr>
            <w:tcW w:w="180" w:type="dxa"/>
            <w:vAlign w:val="bottom"/>
            <w:tcBorders>
              <w:bottom w:val="single" w:sz="8" w:color="auto"/>
              <w:right w:val="single" w:sz="8" w:color="auto"/>
            </w:tcBorders>
            <w:shd w:val="clear" w:color="auto" w:fill="E0E0E0"/>
          </w:tcPr>
          <w:p>
            <w:pPr>
              <w:spacing w:after="0"/>
              <w:rPr>
                <w:sz w:val="11"/>
                <w:szCs w:val="11"/>
                <w:color w:val="auto"/>
              </w:rPr>
            </w:pPr>
          </w:p>
        </w:tc>
        <w:tc>
          <w:tcPr>
            <w:tcW w:w="2260" w:type="dxa"/>
            <w:vAlign w:val="bottom"/>
            <w:tcBorders>
              <w:bottom w:val="single" w:sz="8" w:color="auto"/>
              <w:right w:val="single" w:sz="8" w:color="auto"/>
            </w:tcBorders>
            <w:shd w:val="clear" w:color="auto" w:fill="E0E0E0"/>
          </w:tcPr>
          <w:p>
            <w:pPr>
              <w:spacing w:after="0"/>
              <w:rPr>
                <w:sz w:val="11"/>
                <w:szCs w:val="11"/>
                <w:color w:val="auto"/>
              </w:rPr>
            </w:pPr>
          </w:p>
        </w:tc>
        <w:tc>
          <w:tcPr>
            <w:tcW w:w="2100" w:type="dxa"/>
            <w:vAlign w:val="bottom"/>
            <w:tcBorders>
              <w:bottom w:val="single" w:sz="8" w:color="auto"/>
              <w:right w:val="single" w:sz="8" w:color="auto"/>
            </w:tcBorders>
            <w:shd w:val="clear" w:color="auto" w:fill="E0E0E0"/>
          </w:tcPr>
          <w:p>
            <w:pPr>
              <w:spacing w:after="0"/>
              <w:rPr>
                <w:sz w:val="11"/>
                <w:szCs w:val="11"/>
                <w:color w:val="auto"/>
              </w:rPr>
            </w:pPr>
          </w:p>
        </w:tc>
        <w:tc>
          <w:tcPr>
            <w:tcW w:w="184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260" w:type="dxa"/>
            <w:vAlign w:val="bottom"/>
            <w:tcBorders>
              <w:left w:val="single" w:sz="8" w:color="auto"/>
              <w:right w:val="single" w:sz="8" w:color="auto"/>
            </w:tcBorders>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2035 S. Milestone</w:t>
            </w:r>
          </w:p>
        </w:tc>
        <w:tc>
          <w:tcPr>
            <w:tcW w:w="210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9"/>
              </w:rPr>
              <w:t>Contract Services</w:t>
            </w:r>
          </w:p>
        </w:tc>
        <w:tc>
          <w:tcPr>
            <w:tcW w:w="0" w:type="dxa"/>
            <w:vAlign w:val="bottom"/>
          </w:tcPr>
          <w:p>
            <w:pPr>
              <w:spacing w:after="0"/>
              <w:rPr>
                <w:sz w:val="1"/>
                <w:szCs w:val="1"/>
                <w:color w:val="auto"/>
              </w:rPr>
            </w:pPr>
          </w:p>
        </w:tc>
      </w:tr>
      <w:tr>
        <w:trPr>
          <w:trHeight w:val="123"/>
        </w:trPr>
        <w:tc>
          <w:tcPr>
            <w:tcW w:w="2260" w:type="dxa"/>
            <w:vAlign w:val="bottom"/>
            <w:tcBorders>
              <w:left w:val="single" w:sz="8" w:color="auto"/>
              <w:right w:val="single" w:sz="8" w:color="auto"/>
            </w:tcBorders>
            <w:vMerge w:val="restart"/>
          </w:tcPr>
          <w:p>
            <w:pPr>
              <w:ind w:left="120"/>
              <w:spacing w:after="0" w:line="244" w:lineRule="exact"/>
              <w:rPr>
                <w:sz w:val="20"/>
                <w:szCs w:val="20"/>
                <w:color w:val="auto"/>
              </w:rPr>
            </w:pPr>
            <w:r>
              <w:rPr>
                <w:rFonts w:ascii="Arial" w:cs="Arial" w:eastAsia="Arial" w:hAnsi="Arial"/>
                <w:sz w:val="22"/>
                <w:szCs w:val="22"/>
                <w:color w:val="auto"/>
                <w:w w:val="95"/>
              </w:rPr>
              <w:t>Comfort Systems USA</w:t>
            </w:r>
          </w:p>
        </w:tc>
        <w:tc>
          <w:tcPr>
            <w:tcW w:w="1440" w:type="dxa"/>
            <w:vAlign w:val="bottom"/>
            <w:vMerge w:val="restart"/>
          </w:tcPr>
          <w:p>
            <w:pPr>
              <w:ind w:left="80"/>
              <w:spacing w:after="0" w:line="244" w:lineRule="exact"/>
              <w:rPr>
                <w:sz w:val="20"/>
                <w:szCs w:val="20"/>
                <w:color w:val="auto"/>
              </w:rPr>
            </w:pPr>
            <w:r>
              <w:rPr>
                <w:rFonts w:ascii="Arial" w:cs="Arial" w:eastAsia="Arial" w:hAnsi="Arial"/>
                <w:sz w:val="22"/>
                <w:szCs w:val="22"/>
                <w:color w:val="auto"/>
                <w:w w:val="92"/>
              </w:rPr>
              <w:t>Principal Place</w:t>
            </w: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80"/>
              <w:spacing w:after="0" w:line="244" w:lineRule="exact"/>
              <w:rPr>
                <w:sz w:val="20"/>
                <w:szCs w:val="20"/>
                <w:color w:val="auto"/>
              </w:rPr>
            </w:pPr>
            <w:r>
              <w:rPr>
                <w:rFonts w:ascii="Arial" w:cs="Arial" w:eastAsia="Arial" w:hAnsi="Arial"/>
                <w:sz w:val="22"/>
                <w:szCs w:val="22"/>
                <w:color w:val="auto"/>
              </w:rPr>
              <w:t>Martin Heating &amp;</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Drive, Salt Lake City,</w:t>
            </w: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(Intermountain), Inc.</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rPr>
              <w:t>of Business</w:t>
            </w: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Cooling</w:t>
            </w: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Utah 84104</w:t>
            </w:r>
          </w:p>
        </w:tc>
        <w:tc>
          <w:tcPr>
            <w:tcW w:w="21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Cox Precision Air</w:t>
            </w:r>
          </w:p>
        </w:tc>
        <w:tc>
          <w:tcPr>
            <w:tcW w:w="0" w:type="dxa"/>
            <w:vAlign w:val="bottom"/>
          </w:tcPr>
          <w:p>
            <w:pPr>
              <w:spacing w:after="0"/>
              <w:rPr>
                <w:sz w:val="1"/>
                <w:szCs w:val="1"/>
                <w:color w:val="auto"/>
              </w:rPr>
            </w:pPr>
          </w:p>
        </w:tc>
      </w:tr>
      <w:tr>
        <w:trPr>
          <w:trHeight w:val="166"/>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right w:val="single" w:sz="8" w:color="auto"/>
            </w:tcBorders>
          </w:tcPr>
          <w:p>
            <w:pPr>
              <w:spacing w:after="0"/>
              <w:rPr>
                <w:sz w:val="14"/>
                <w:szCs w:val="14"/>
                <w:color w:val="auto"/>
              </w:rPr>
            </w:pPr>
          </w:p>
        </w:tc>
        <w:tc>
          <w:tcPr>
            <w:tcW w:w="210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1107 East 770 North</w:t>
            </w: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rPr>
              <w:t>Satellite</w:t>
            </w:r>
          </w:p>
        </w:tc>
        <w:tc>
          <w:tcPr>
            <w:tcW w:w="18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Ste 7</w:t>
            </w:r>
          </w:p>
        </w:tc>
        <w:tc>
          <w:tcPr>
            <w:tcW w:w="21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spacing w:after="0"/>
              <w:rPr>
                <w:sz w:val="13"/>
                <w:szCs w:val="13"/>
                <w:color w:val="auto"/>
              </w:rPr>
            </w:pPr>
          </w:p>
        </w:tc>
        <w:tc>
          <w:tcPr>
            <w:tcW w:w="14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Saint George, Utah</w:t>
            </w:r>
          </w:p>
        </w:tc>
        <w:tc>
          <w:tcPr>
            <w:tcW w:w="21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60" w:type="dxa"/>
            <w:vAlign w:val="bottom"/>
            <w:tcBorders>
              <w:left w:val="single" w:sz="8" w:color="auto"/>
              <w:right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84790</w:t>
            </w:r>
          </w:p>
        </w:tc>
        <w:tc>
          <w:tcPr>
            <w:tcW w:w="21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5"/>
              </w:rPr>
              <w:t>Comfort Systems USA</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w w:val="92"/>
              </w:rPr>
              <w:t>Principal Place</w:t>
            </w: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3405 Robards Court,</w:t>
            </w: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MELCO</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Louisville, Kentucky</w:t>
            </w: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(Kentucky), Inc.</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rPr>
              <w:t>of Business</w:t>
            </w: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Industries, Inc.</w:t>
            </w: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40218</w:t>
            </w:r>
          </w:p>
        </w:tc>
        <w:tc>
          <w:tcPr>
            <w:tcW w:w="21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vMerge w:val="continue"/>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5"/>
              </w:rPr>
              <w:t>Comfort Systems USA</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w w:val="92"/>
              </w:rPr>
              <w:t>Principal Place</w:t>
            </w: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1057 Bill Tuck</w:t>
            </w: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Highway, So Boston,</w:t>
            </w: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(MidAtlantic), LLC</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rPr>
              <w:t>of Business</w:t>
            </w: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Virginia 24592</w:t>
            </w:r>
          </w:p>
        </w:tc>
        <w:tc>
          <w:tcPr>
            <w:tcW w:w="21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vMerge w:val="continue"/>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5"/>
              </w:rPr>
              <w:t>Comfort Systems USA</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w w:val="92"/>
              </w:rPr>
              <w:t>Principal Place</w:t>
            </w: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8"/>
              </w:rPr>
              <w:t>2181 231</w:t>
            </w:r>
            <w:r>
              <w:rPr>
                <w:rFonts w:ascii="Arial" w:cs="Arial" w:eastAsia="Arial" w:hAnsi="Arial"/>
                <w:sz w:val="10"/>
                <w:szCs w:val="10"/>
                <w:color w:val="auto"/>
                <w:w w:val="98"/>
              </w:rPr>
              <w:t>st</w:t>
            </w:r>
            <w:r>
              <w:rPr>
                <w:rFonts w:ascii="Arial" w:cs="Arial" w:eastAsia="Arial" w:hAnsi="Arial"/>
                <w:sz w:val="22"/>
                <w:szCs w:val="22"/>
                <w:color w:val="auto"/>
                <w:w w:val="98"/>
              </w:rPr>
              <w:t xml:space="preserve"> Lane, Suite</w:t>
            </w: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1</w:t>
            </w: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(Midwest), LLC</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rPr>
              <w:t>of Business</w:t>
            </w: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Ames, Iowa 50014</w:t>
            </w:r>
          </w:p>
        </w:tc>
        <w:tc>
          <w:tcPr>
            <w:tcW w:w="21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vMerge w:val="continue"/>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The Capital</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44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Refrigeration</w:t>
            </w:r>
          </w:p>
        </w:tc>
        <w:tc>
          <w:tcPr>
            <w:tcW w:w="0" w:type="dxa"/>
            <w:vAlign w:val="bottom"/>
          </w:tcPr>
          <w:p>
            <w:pPr>
              <w:spacing w:after="0"/>
              <w:rPr>
                <w:sz w:val="1"/>
                <w:szCs w:val="1"/>
                <w:color w:val="auto"/>
              </w:rPr>
            </w:pPr>
          </w:p>
        </w:tc>
      </w:tr>
      <w:tr>
        <w:trPr>
          <w:trHeight w:val="275"/>
        </w:trPr>
        <w:tc>
          <w:tcPr>
            <w:tcW w:w="2260" w:type="dxa"/>
            <w:vAlign w:val="bottom"/>
            <w:tcBorders>
              <w:left w:val="single" w:sz="8" w:color="auto"/>
              <w:right w:val="single" w:sz="8" w:color="auto"/>
            </w:tcBorders>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3100 Richard</w:t>
            </w:r>
          </w:p>
        </w:tc>
        <w:tc>
          <w:tcPr>
            <w:tcW w:w="210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171"/>
        </w:trPr>
        <w:tc>
          <w:tcPr>
            <w:tcW w:w="2260" w:type="dxa"/>
            <w:vAlign w:val="bottom"/>
            <w:tcBorders>
              <w:left w:val="single" w:sz="8" w:color="auto"/>
              <w:right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vMerge w:val="continue"/>
          </w:tcPr>
          <w:p>
            <w:pPr>
              <w:spacing w:after="0"/>
              <w:rPr>
                <w:sz w:val="14"/>
                <w:szCs w:val="14"/>
                <w:color w:val="auto"/>
              </w:rPr>
            </w:pPr>
          </w:p>
        </w:tc>
        <w:tc>
          <w:tcPr>
            <w:tcW w:w="21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MidSouth</w:t>
            </w:r>
          </w:p>
        </w:tc>
        <w:tc>
          <w:tcPr>
            <w:tcW w:w="0" w:type="dxa"/>
            <w:vAlign w:val="bottom"/>
          </w:tcPr>
          <w:p>
            <w:pPr>
              <w:spacing w:after="0"/>
              <w:rPr>
                <w:sz w:val="1"/>
                <w:szCs w:val="1"/>
                <w:color w:val="auto"/>
              </w:rPr>
            </w:pPr>
          </w:p>
        </w:tc>
      </w:tr>
      <w:tr>
        <w:trPr>
          <w:trHeight w:val="95"/>
        </w:trPr>
        <w:tc>
          <w:tcPr>
            <w:tcW w:w="2260" w:type="dxa"/>
            <w:vAlign w:val="bottom"/>
            <w:tcBorders>
              <w:left w:val="single" w:sz="8" w:color="auto"/>
              <w:right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Arrington Jr. Blvd.</w:t>
            </w:r>
          </w:p>
        </w:tc>
        <w:tc>
          <w:tcPr>
            <w:tcW w:w="21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5"/>
              </w:rPr>
              <w:t>Comfort Systems USA</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w w:val="92"/>
              </w:rPr>
              <w:t>Principal Place</w:t>
            </w:r>
          </w:p>
        </w:tc>
        <w:tc>
          <w:tcPr>
            <w:tcW w:w="18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Controls LLC</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North</w:t>
            </w: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(Mid South), Inc.</w:t>
            </w: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rPr>
              <w:t>of Business</w:t>
            </w: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Huntsville</w:t>
            </w: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98"/>
              </w:rPr>
              <w:t>Birmingham, Alabama</w:t>
            </w:r>
          </w:p>
        </w:tc>
        <w:tc>
          <w:tcPr>
            <w:tcW w:w="21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60" w:type="dxa"/>
            <w:vAlign w:val="bottom"/>
            <w:tcBorders>
              <w:left w:val="single" w:sz="8" w:color="auto"/>
              <w:right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1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Refrigeration</w:t>
            </w: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35203</w:t>
            </w:r>
          </w:p>
        </w:tc>
        <w:tc>
          <w:tcPr>
            <w:tcW w:w="21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Service</w:t>
            </w: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2260" w:type="dxa"/>
            <w:vAlign w:val="bottom"/>
            <w:tcBorders>
              <w:left w:val="single" w:sz="8" w:color="auto"/>
              <w:right w:val="single" w:sz="8" w:color="auto"/>
            </w:tcBorders>
          </w:tcPr>
          <w:p>
            <w:pPr>
              <w:spacing w:after="0"/>
              <w:rPr>
                <w:sz w:val="23"/>
                <w:szCs w:val="23"/>
                <w:color w:val="auto"/>
              </w:rPr>
            </w:pPr>
          </w:p>
        </w:tc>
        <w:tc>
          <w:tcPr>
            <w:tcW w:w="1440" w:type="dxa"/>
            <w:vAlign w:val="bottom"/>
          </w:tcPr>
          <w:p>
            <w:pPr>
              <w:spacing w:after="0"/>
              <w:rPr>
                <w:sz w:val="23"/>
                <w:szCs w:val="23"/>
                <w:color w:val="auto"/>
              </w:rPr>
            </w:pPr>
          </w:p>
        </w:tc>
        <w:tc>
          <w:tcPr>
            <w:tcW w:w="18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spacing w:after="0"/>
              <w:rPr>
                <w:sz w:val="23"/>
                <w:szCs w:val="23"/>
                <w:color w:val="auto"/>
              </w:rPr>
            </w:pPr>
          </w:p>
        </w:tc>
        <w:tc>
          <w:tcPr>
            <w:tcW w:w="2100" w:type="dxa"/>
            <w:vAlign w:val="bottom"/>
            <w:tcBorders>
              <w:right w:val="single" w:sz="8" w:color="auto"/>
            </w:tcBorders>
          </w:tcPr>
          <w:p>
            <w:pPr>
              <w:spacing w:after="0"/>
              <w:rPr>
                <w:sz w:val="23"/>
                <w:szCs w:val="23"/>
                <w:color w:val="auto"/>
              </w:rPr>
            </w:pP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H &amp; M</w:t>
            </w: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Mechanical, Inc.</w:t>
            </w: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619 E. Jefferson Street</w:t>
            </w: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440" w:type="dxa"/>
            <w:vAlign w:val="bottom"/>
          </w:tcPr>
          <w:p>
            <w:pPr>
              <w:ind w:left="80"/>
              <w:spacing w:after="0" w:line="243" w:lineRule="exact"/>
              <w:rPr>
                <w:sz w:val="20"/>
                <w:szCs w:val="20"/>
                <w:color w:val="auto"/>
              </w:rPr>
            </w:pPr>
            <w:r>
              <w:rPr>
                <w:rFonts w:ascii="Arial" w:cs="Arial" w:eastAsia="Arial" w:hAnsi="Arial"/>
                <w:sz w:val="22"/>
                <w:szCs w:val="22"/>
                <w:color w:val="auto"/>
              </w:rPr>
              <w:t>Satellite</w:t>
            </w:r>
          </w:p>
        </w:tc>
        <w:tc>
          <w:tcPr>
            <w:tcW w:w="18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6"/>
              </w:rPr>
              <w:t>Montgomery, Alabama</w:t>
            </w:r>
          </w:p>
        </w:tc>
        <w:tc>
          <w:tcPr>
            <w:tcW w:w="21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36104</w:t>
            </w:r>
          </w:p>
        </w:tc>
        <w:tc>
          <w:tcPr>
            <w:tcW w:w="21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7"/>
              </w:rPr>
              <w:t>480 North Dean Road,</w:t>
            </w: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440" w:type="dxa"/>
            <w:vAlign w:val="bottom"/>
            <w:vMerge w:val="restart"/>
          </w:tcPr>
          <w:p>
            <w:pPr>
              <w:ind w:left="80"/>
              <w:spacing w:after="0"/>
              <w:rPr>
                <w:sz w:val="20"/>
                <w:szCs w:val="20"/>
                <w:color w:val="auto"/>
              </w:rPr>
            </w:pPr>
            <w:r>
              <w:rPr>
                <w:rFonts w:ascii="Arial" w:cs="Arial" w:eastAsia="Arial" w:hAnsi="Arial"/>
                <w:sz w:val="22"/>
                <w:szCs w:val="22"/>
                <w:color w:val="auto"/>
              </w:rPr>
              <w:t>Satellite</w:t>
            </w:r>
          </w:p>
        </w:tc>
        <w:tc>
          <w:tcPr>
            <w:tcW w:w="18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Unit G-3</w:t>
            </w:r>
          </w:p>
        </w:tc>
        <w:tc>
          <w:tcPr>
            <w:tcW w:w="21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260" w:type="dxa"/>
            <w:vAlign w:val="bottom"/>
            <w:tcBorders>
              <w:left w:val="single" w:sz="8" w:color="auto"/>
              <w:right w:val="single" w:sz="8" w:color="auto"/>
            </w:tcBorders>
          </w:tcPr>
          <w:p>
            <w:pPr>
              <w:spacing w:after="0"/>
              <w:rPr>
                <w:sz w:val="13"/>
                <w:szCs w:val="13"/>
                <w:color w:val="auto"/>
              </w:rPr>
            </w:pPr>
          </w:p>
        </w:tc>
        <w:tc>
          <w:tcPr>
            <w:tcW w:w="1440" w:type="dxa"/>
            <w:vAlign w:val="bottom"/>
            <w:vMerge w:val="continue"/>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Auburn, Alabama</w:t>
            </w:r>
          </w:p>
        </w:tc>
        <w:tc>
          <w:tcPr>
            <w:tcW w:w="210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260" w:type="dxa"/>
            <w:vAlign w:val="bottom"/>
            <w:tcBorders>
              <w:left w:val="single" w:sz="8" w:color="auto"/>
              <w:right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210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36830</w:t>
            </w:r>
          </w:p>
        </w:tc>
        <w:tc>
          <w:tcPr>
            <w:tcW w:w="21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144 Hall Bryant Circle</w:t>
            </w:r>
          </w:p>
        </w:tc>
        <w:tc>
          <w:tcPr>
            <w:tcW w:w="2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Southblunt Parkway</w:t>
            </w: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tcPr>
          <w:p>
            <w:pPr>
              <w:spacing w:after="0"/>
              <w:rPr>
                <w:sz w:val="10"/>
                <w:szCs w:val="10"/>
                <w:color w:val="auto"/>
              </w:rPr>
            </w:pPr>
          </w:p>
        </w:tc>
        <w:tc>
          <w:tcPr>
            <w:tcW w:w="1440" w:type="dxa"/>
            <w:vAlign w:val="bottom"/>
            <w:vMerge w:val="restart"/>
          </w:tcPr>
          <w:p>
            <w:pPr>
              <w:ind w:left="80"/>
              <w:spacing w:after="0" w:line="243" w:lineRule="exact"/>
              <w:rPr>
                <w:sz w:val="20"/>
                <w:szCs w:val="20"/>
                <w:color w:val="auto"/>
              </w:rPr>
            </w:pPr>
            <w:r>
              <w:rPr>
                <w:rFonts w:ascii="Arial" w:cs="Arial" w:eastAsia="Arial" w:hAnsi="Arial"/>
                <w:sz w:val="22"/>
                <w:szCs w:val="22"/>
                <w:color w:val="auto"/>
              </w:rPr>
              <w:t>Satellite</w:t>
            </w: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Huntsville, Alabama</w:t>
            </w:r>
          </w:p>
        </w:tc>
        <w:tc>
          <w:tcPr>
            <w:tcW w:w="2100" w:type="dxa"/>
            <w:vAlign w:val="bottom"/>
            <w:tcBorders>
              <w:right w:val="single" w:sz="8" w:color="auto"/>
            </w:tcBorders>
            <w:vMerge w:val="continue"/>
          </w:tcPr>
          <w:p>
            <w:pPr>
              <w:spacing w:after="0"/>
              <w:rPr>
                <w:sz w:val="10"/>
                <w:szCs w:val="10"/>
                <w:color w:val="auto"/>
              </w:rPr>
            </w:pP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260" w:type="dxa"/>
            <w:vAlign w:val="bottom"/>
            <w:tcBorders>
              <w:left w:val="single" w:sz="8" w:color="auto"/>
              <w:right w:val="single" w:sz="8" w:color="auto"/>
            </w:tcBorders>
          </w:tcPr>
          <w:p>
            <w:pPr>
              <w:spacing w:after="0"/>
              <w:rPr>
                <w:sz w:val="10"/>
                <w:szCs w:val="10"/>
                <w:color w:val="auto"/>
              </w:rPr>
            </w:pPr>
          </w:p>
        </w:tc>
        <w:tc>
          <w:tcPr>
            <w:tcW w:w="144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Trafford, Alabama</w:t>
            </w:r>
          </w:p>
        </w:tc>
        <w:tc>
          <w:tcPr>
            <w:tcW w:w="1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35806</w:t>
            </w:r>
          </w:p>
        </w:tc>
        <w:tc>
          <w:tcPr>
            <w:tcW w:w="2100" w:type="dxa"/>
            <w:vAlign w:val="bottom"/>
            <w:tcBorders>
              <w:right w:val="single" w:sz="8" w:color="auto"/>
            </w:tcBorders>
            <w:vMerge w:val="continue"/>
          </w:tcPr>
          <w:p>
            <w:pPr>
              <w:spacing w:after="0"/>
              <w:rPr>
                <w:sz w:val="15"/>
                <w:szCs w:val="15"/>
                <w:color w:val="auto"/>
              </w:rPr>
            </w:pPr>
          </w:p>
        </w:tc>
        <w:tc>
          <w:tcPr>
            <w:tcW w:w="1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260" w:type="dxa"/>
            <w:vAlign w:val="bottom"/>
            <w:tcBorders>
              <w:left w:val="single" w:sz="8" w:color="auto"/>
              <w:bottom w:val="single" w:sz="8" w:color="auto"/>
              <w:right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2260" w:type="dxa"/>
            <w:vAlign w:val="bottom"/>
            <w:tcBorders>
              <w:bottom w:val="single" w:sz="8" w:color="auto"/>
              <w:right w:val="single" w:sz="8" w:color="auto"/>
            </w:tcBorders>
            <w:vMerge w:val="continue"/>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18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18702 North Creek</w:t>
            </w:r>
          </w:p>
        </w:tc>
        <w:tc>
          <w:tcPr>
            <w:tcW w:w="210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w w:val="95"/>
              </w:rPr>
              <w:t>Comfort Systems USA</w:t>
            </w:r>
          </w:p>
        </w:tc>
        <w:tc>
          <w:tcPr>
            <w:tcW w:w="1440" w:type="dxa"/>
            <w:vAlign w:val="bottom"/>
          </w:tcPr>
          <w:p>
            <w:pPr>
              <w:ind w:left="80"/>
              <w:spacing w:after="0" w:line="243" w:lineRule="exact"/>
              <w:rPr>
                <w:sz w:val="20"/>
                <w:szCs w:val="20"/>
                <w:color w:val="auto"/>
              </w:rPr>
            </w:pPr>
            <w:r>
              <w:rPr>
                <w:rFonts w:ascii="Arial" w:cs="Arial" w:eastAsia="Arial" w:hAnsi="Arial"/>
                <w:sz w:val="22"/>
                <w:szCs w:val="22"/>
                <w:color w:val="auto"/>
                <w:w w:val="92"/>
              </w:rPr>
              <w:t>Principal Place</w:t>
            </w:r>
          </w:p>
        </w:tc>
        <w:tc>
          <w:tcPr>
            <w:tcW w:w="18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Parkway, Suite 110,</w:t>
            </w:r>
          </w:p>
        </w:tc>
        <w:tc>
          <w:tcPr>
            <w:tcW w:w="21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9"/>
              </w:rPr>
              <w:t>Merit Mechanical,</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(Northwest), Inc.</w:t>
            </w:r>
          </w:p>
        </w:tc>
        <w:tc>
          <w:tcPr>
            <w:tcW w:w="1440" w:type="dxa"/>
            <w:vAlign w:val="bottom"/>
          </w:tcPr>
          <w:p>
            <w:pPr>
              <w:ind w:left="80"/>
              <w:spacing w:after="0" w:line="243" w:lineRule="exact"/>
              <w:rPr>
                <w:sz w:val="20"/>
                <w:szCs w:val="20"/>
                <w:color w:val="auto"/>
              </w:rPr>
            </w:pPr>
            <w:r>
              <w:rPr>
                <w:rFonts w:ascii="Arial" w:cs="Arial" w:eastAsia="Arial" w:hAnsi="Arial"/>
                <w:sz w:val="22"/>
                <w:szCs w:val="22"/>
                <w:color w:val="auto"/>
              </w:rPr>
              <w:t>of Business</w:t>
            </w:r>
          </w:p>
        </w:tc>
        <w:tc>
          <w:tcPr>
            <w:tcW w:w="18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Bothell, Washington</w:t>
            </w:r>
          </w:p>
        </w:tc>
        <w:tc>
          <w:tcPr>
            <w:tcW w:w="2100" w:type="dxa"/>
            <w:vAlign w:val="bottom"/>
            <w:tcBorders>
              <w:right w:val="single" w:sz="8" w:color="auto"/>
            </w:tcBorders>
          </w:tcPr>
          <w:p>
            <w:pPr>
              <w:spacing w:after="0"/>
              <w:rPr>
                <w:sz w:val="21"/>
                <w:szCs w:val="21"/>
                <w:color w:val="auto"/>
              </w:rPr>
            </w:pPr>
          </w:p>
        </w:tc>
        <w:tc>
          <w:tcPr>
            <w:tcW w:w="18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8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98011</w:t>
            </w:r>
          </w:p>
        </w:tc>
        <w:tc>
          <w:tcPr>
            <w:tcW w:w="2100" w:type="dxa"/>
            <w:vAlign w:val="bottom"/>
            <w:tcBorders>
              <w:bottom w:val="single" w:sz="8" w:color="auto"/>
              <w:right w:val="single" w:sz="8" w:color="auto"/>
            </w:tcBorders>
          </w:tcPr>
          <w:p>
            <w:pPr>
              <w:spacing w:after="0"/>
              <w:rPr>
                <w:sz w:val="23"/>
                <w:szCs w:val="23"/>
                <w:color w:val="auto"/>
              </w:rPr>
            </w:pPr>
          </w:p>
        </w:tc>
        <w:tc>
          <w:tcPr>
            <w:tcW w:w="18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6"/>
        </w:trPr>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540" w:type="dxa"/>
            <w:vAlign w:val="bottom"/>
            <w:gridSpan w:val="3"/>
          </w:tcPr>
          <w:p>
            <w:pPr>
              <w:ind w:left="40"/>
              <w:spacing w:after="0"/>
              <w:rPr>
                <w:sz w:val="20"/>
                <w:szCs w:val="20"/>
                <w:color w:val="auto"/>
              </w:rPr>
            </w:pPr>
            <w:r>
              <w:rPr>
                <w:rFonts w:ascii="Arial" w:cs="Arial" w:eastAsia="Arial" w:hAnsi="Arial"/>
                <w:sz w:val="18"/>
                <w:szCs w:val="18"/>
                <w:color w:val="auto"/>
              </w:rPr>
              <w:t>Section 5.13 of Schedule 5 – Page 5</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3" w:name="page154"/>
    <w:bookmarkEnd w:id="1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0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520" w:type="dxa"/>
            <w:vAlign w:val="bottom"/>
            <w:tcBorders>
              <w:top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140" w:type="dxa"/>
            <w:vAlign w:val="bottom"/>
            <w:tcBorders>
              <w:top w:val="single" w:sz="8" w:color="auto"/>
              <w:right w:val="single" w:sz="8" w:color="auto"/>
            </w:tcBorders>
            <w:shd w:val="clear" w:color="auto" w:fill="E0E0E0"/>
          </w:tcPr>
          <w:p>
            <w:pPr>
              <w:spacing w:after="0"/>
              <w:rPr>
                <w:sz w:val="23"/>
                <w:szCs w:val="23"/>
                <w:color w:val="auto"/>
              </w:rPr>
            </w:pPr>
          </w:p>
        </w:tc>
        <w:tc>
          <w:tcPr>
            <w:tcW w:w="2340" w:type="dxa"/>
            <w:vAlign w:val="bottom"/>
            <w:tcBorders>
              <w:top w:val="single" w:sz="8" w:color="auto"/>
              <w:right w:val="single" w:sz="8" w:color="auto"/>
            </w:tcBorders>
            <w:shd w:val="clear" w:color="auto" w:fill="E0E0E0"/>
          </w:tcPr>
          <w:p>
            <w:pPr>
              <w:spacing w:after="0"/>
              <w:rPr>
                <w:sz w:val="23"/>
                <w:szCs w:val="23"/>
                <w:color w:val="auto"/>
              </w:rPr>
            </w:pPr>
          </w:p>
        </w:tc>
        <w:tc>
          <w:tcPr>
            <w:tcW w:w="216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182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520" w:type="dxa"/>
            <w:vAlign w:val="bottom"/>
            <w:vMerge w:val="continue"/>
            <w:shd w:val="clear" w:color="auto" w:fill="E0E0E0"/>
          </w:tcPr>
          <w:p>
            <w:pPr>
              <w:spacing w:after="0"/>
              <w:rPr>
                <w:sz w:val="10"/>
                <w:szCs w:val="10"/>
                <w:color w:val="auto"/>
              </w:rPr>
            </w:pPr>
          </w:p>
        </w:tc>
        <w:tc>
          <w:tcPr>
            <w:tcW w:w="140" w:type="dxa"/>
            <w:vAlign w:val="bottom"/>
            <w:tcBorders>
              <w:right w:val="single" w:sz="8" w:color="auto"/>
            </w:tcBorders>
            <w:shd w:val="clear" w:color="auto" w:fill="E0E0E0"/>
          </w:tcPr>
          <w:p>
            <w:pPr>
              <w:spacing w:after="0"/>
              <w:rPr>
                <w:sz w:val="10"/>
                <w:szCs w:val="10"/>
                <w:color w:val="auto"/>
              </w:rPr>
            </w:pPr>
          </w:p>
        </w:tc>
        <w:tc>
          <w:tcPr>
            <w:tcW w:w="234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160" w:type="dxa"/>
            <w:vAlign w:val="bottom"/>
            <w:tcBorders>
              <w:right w:val="single" w:sz="8" w:color="auto"/>
            </w:tcBorders>
            <w:vMerge w:val="continue"/>
            <w:shd w:val="clear" w:color="auto" w:fill="E0E0E0"/>
          </w:tcPr>
          <w:p>
            <w:pPr>
              <w:spacing w:after="0"/>
              <w:rPr>
                <w:sz w:val="10"/>
                <w:szCs w:val="10"/>
                <w:color w:val="auto"/>
              </w:rPr>
            </w:pPr>
          </w:p>
        </w:tc>
        <w:tc>
          <w:tcPr>
            <w:tcW w:w="182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520" w:type="dxa"/>
            <w:vAlign w:val="bottom"/>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140" w:type="dxa"/>
            <w:vAlign w:val="bottom"/>
            <w:tcBorders>
              <w:right w:val="single" w:sz="8" w:color="auto"/>
            </w:tcBorders>
            <w:shd w:val="clear" w:color="auto" w:fill="E0E0E0"/>
          </w:tcPr>
          <w:p>
            <w:pPr>
              <w:spacing w:after="0"/>
              <w:rPr>
                <w:sz w:val="10"/>
                <w:szCs w:val="10"/>
                <w:color w:val="auto"/>
              </w:rPr>
            </w:pPr>
          </w:p>
        </w:tc>
        <w:tc>
          <w:tcPr>
            <w:tcW w:w="2340" w:type="dxa"/>
            <w:vAlign w:val="bottom"/>
            <w:tcBorders>
              <w:right w:val="single" w:sz="8" w:color="auto"/>
            </w:tcBorders>
            <w:vMerge w:val="continue"/>
            <w:shd w:val="clear" w:color="auto" w:fill="E0E0E0"/>
          </w:tcPr>
          <w:p>
            <w:pPr>
              <w:spacing w:after="0"/>
              <w:rPr>
                <w:sz w:val="10"/>
                <w:szCs w:val="10"/>
                <w:color w:val="auto"/>
              </w:rPr>
            </w:pPr>
          </w:p>
        </w:tc>
        <w:tc>
          <w:tcPr>
            <w:tcW w:w="216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ADDRESSES</w:t>
            </w:r>
          </w:p>
        </w:tc>
        <w:tc>
          <w:tcPr>
            <w:tcW w:w="182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00" w:type="dxa"/>
            <w:vAlign w:val="bottom"/>
            <w:tcBorders>
              <w:left w:val="single" w:sz="8" w:color="auto"/>
              <w:right w:val="single" w:sz="8" w:color="auto"/>
            </w:tcBorders>
            <w:shd w:val="clear" w:color="auto" w:fill="E0E0E0"/>
          </w:tcPr>
          <w:p>
            <w:pPr>
              <w:spacing w:after="0"/>
              <w:rPr>
                <w:sz w:val="13"/>
                <w:szCs w:val="13"/>
                <w:color w:val="auto"/>
              </w:rPr>
            </w:pPr>
          </w:p>
        </w:tc>
        <w:tc>
          <w:tcPr>
            <w:tcW w:w="1520" w:type="dxa"/>
            <w:vAlign w:val="bottom"/>
            <w:vMerge w:val="continue"/>
            <w:shd w:val="clear" w:color="auto" w:fill="E0E0E0"/>
          </w:tcPr>
          <w:p>
            <w:pPr>
              <w:spacing w:after="0"/>
              <w:rPr>
                <w:sz w:val="13"/>
                <w:szCs w:val="13"/>
                <w:color w:val="auto"/>
              </w:rPr>
            </w:pPr>
          </w:p>
        </w:tc>
        <w:tc>
          <w:tcPr>
            <w:tcW w:w="140" w:type="dxa"/>
            <w:vAlign w:val="bottom"/>
            <w:tcBorders>
              <w:right w:val="single" w:sz="8" w:color="auto"/>
            </w:tcBorders>
            <w:shd w:val="clear" w:color="auto" w:fill="E0E0E0"/>
          </w:tcPr>
          <w:p>
            <w:pPr>
              <w:spacing w:after="0"/>
              <w:rPr>
                <w:sz w:val="13"/>
                <w:szCs w:val="13"/>
                <w:color w:val="auto"/>
              </w:rPr>
            </w:pPr>
          </w:p>
        </w:tc>
        <w:tc>
          <w:tcPr>
            <w:tcW w:w="2340" w:type="dxa"/>
            <w:vAlign w:val="bottom"/>
            <w:tcBorders>
              <w:right w:val="single" w:sz="8" w:color="auto"/>
            </w:tcBorders>
            <w:shd w:val="clear" w:color="auto" w:fill="E0E0E0"/>
          </w:tcPr>
          <w:p>
            <w:pPr>
              <w:spacing w:after="0"/>
              <w:rPr>
                <w:sz w:val="13"/>
                <w:szCs w:val="13"/>
                <w:color w:val="auto"/>
              </w:rPr>
            </w:pPr>
          </w:p>
        </w:tc>
        <w:tc>
          <w:tcPr>
            <w:tcW w:w="2160" w:type="dxa"/>
            <w:vAlign w:val="bottom"/>
            <w:tcBorders>
              <w:right w:val="single" w:sz="8" w:color="auto"/>
            </w:tcBorders>
            <w:vMerge w:val="continue"/>
            <w:shd w:val="clear" w:color="auto" w:fill="E0E0E0"/>
          </w:tcPr>
          <w:p>
            <w:pPr>
              <w:spacing w:after="0"/>
              <w:rPr>
                <w:sz w:val="13"/>
                <w:szCs w:val="13"/>
                <w:color w:val="auto"/>
              </w:rPr>
            </w:pPr>
          </w:p>
        </w:tc>
        <w:tc>
          <w:tcPr>
            <w:tcW w:w="182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520" w:type="dxa"/>
            <w:vAlign w:val="bottom"/>
            <w:tcBorders>
              <w:bottom w:val="single" w:sz="8" w:color="auto"/>
            </w:tcBorders>
            <w:shd w:val="clear" w:color="auto" w:fill="E0E0E0"/>
          </w:tcPr>
          <w:p>
            <w:pPr>
              <w:spacing w:after="0"/>
              <w:rPr>
                <w:sz w:val="11"/>
                <w:szCs w:val="11"/>
                <w:color w:val="auto"/>
              </w:rPr>
            </w:pPr>
          </w:p>
        </w:tc>
        <w:tc>
          <w:tcPr>
            <w:tcW w:w="140" w:type="dxa"/>
            <w:vAlign w:val="bottom"/>
            <w:tcBorders>
              <w:bottom w:val="single" w:sz="8" w:color="auto"/>
              <w:right w:val="single" w:sz="8" w:color="auto"/>
            </w:tcBorders>
            <w:shd w:val="clear" w:color="auto" w:fill="E0E0E0"/>
          </w:tcPr>
          <w:p>
            <w:pPr>
              <w:spacing w:after="0"/>
              <w:rPr>
                <w:sz w:val="11"/>
                <w:szCs w:val="11"/>
                <w:color w:val="auto"/>
              </w:rPr>
            </w:pPr>
          </w:p>
        </w:tc>
        <w:tc>
          <w:tcPr>
            <w:tcW w:w="2340" w:type="dxa"/>
            <w:vAlign w:val="bottom"/>
            <w:tcBorders>
              <w:bottom w:val="single" w:sz="8" w:color="auto"/>
              <w:right w:val="single" w:sz="8" w:color="auto"/>
            </w:tcBorders>
            <w:shd w:val="clear" w:color="auto" w:fill="E0E0E0"/>
          </w:tcPr>
          <w:p>
            <w:pPr>
              <w:spacing w:after="0"/>
              <w:rPr>
                <w:sz w:val="11"/>
                <w:szCs w:val="11"/>
                <w:color w:val="auto"/>
              </w:rPr>
            </w:pPr>
          </w:p>
        </w:tc>
        <w:tc>
          <w:tcPr>
            <w:tcW w:w="2160" w:type="dxa"/>
            <w:vAlign w:val="bottom"/>
            <w:tcBorders>
              <w:bottom w:val="single" w:sz="8" w:color="auto"/>
              <w:right w:val="single" w:sz="8" w:color="auto"/>
            </w:tcBorders>
            <w:shd w:val="clear" w:color="auto" w:fill="E0E0E0"/>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w w:val="96"/>
              </w:rPr>
              <w:t>Principal Place</w:t>
            </w:r>
          </w:p>
        </w:tc>
        <w:tc>
          <w:tcPr>
            <w:tcW w:w="14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7401 First Place,</w:t>
            </w:r>
          </w:p>
        </w:tc>
        <w:tc>
          <w:tcPr>
            <w:tcW w:w="21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5"/>
              </w:rPr>
              <w:t>Innovative Energy</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w w:val="98"/>
              </w:rPr>
              <w:t>Oakwood Village, Ohio</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USA (Ohio), Inc.</w:t>
            </w: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Solutions, LLC</w:t>
            </w: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44146</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bottom w:val="single" w:sz="8" w:color="auto"/>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3080 South Tech Blvd,</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152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4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Miamisburg, Ohio</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45342</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690 Lakeview Plaza</w:t>
            </w:r>
          </w:p>
        </w:tc>
        <w:tc>
          <w:tcPr>
            <w:tcW w:w="21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690 A Lakeview</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Plaza Blvd.,</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520" w:type="dxa"/>
            <w:vAlign w:val="bottom"/>
            <w:vMerge w:val="restart"/>
          </w:tcPr>
          <w:p>
            <w:pPr>
              <w:ind w:left="100"/>
              <w:spacing w:after="0" w:line="243" w:lineRule="exact"/>
              <w:rPr>
                <w:sz w:val="20"/>
                <w:szCs w:val="20"/>
                <w:color w:val="auto"/>
              </w:rPr>
            </w:pPr>
            <w:r>
              <w:rPr>
                <w:rFonts w:ascii="Arial" w:cs="Arial" w:eastAsia="Arial" w:hAnsi="Arial"/>
                <w:sz w:val="22"/>
                <w:szCs w:val="22"/>
                <w:color w:val="auto"/>
              </w:rPr>
              <w:t>Satellite</w:t>
            </w: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Blvd., Suites D-F,</w:t>
            </w: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5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Worthington, Oh</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6"/>
              </w:rPr>
              <w:t>Worthington, Oh 43085</w:t>
            </w: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43085</w:t>
            </w: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bottom w:val="single" w:sz="8" w:color="auto"/>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2160" w:type="dxa"/>
            <w:vAlign w:val="bottom"/>
            <w:tcBorders>
              <w:bottom w:val="single" w:sz="8" w:color="auto"/>
              <w:right w:val="single" w:sz="8" w:color="auto"/>
            </w:tcBorders>
            <w:vMerge w:val="continue"/>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3680 Symmes Road</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tcPr>
          <w:p>
            <w:pPr>
              <w:spacing w:after="0"/>
              <w:rPr>
                <w:sz w:val="13"/>
                <w:szCs w:val="13"/>
                <w:color w:val="auto"/>
              </w:rPr>
            </w:pPr>
          </w:p>
        </w:tc>
        <w:tc>
          <w:tcPr>
            <w:tcW w:w="15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Hamilton, Ohio 45015</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bottom w:val="single" w:sz="8" w:color="auto"/>
              <w:right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Comfort Systems</w:t>
            </w: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w w:val="96"/>
              </w:rPr>
              <w:t>Principal Place</w:t>
            </w:r>
          </w:p>
        </w:tc>
        <w:tc>
          <w:tcPr>
            <w:tcW w:w="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675 Bering Drive, Suite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(Pasadena),</w:t>
            </w:r>
          </w:p>
        </w:tc>
        <w:tc>
          <w:tcPr>
            <w:tcW w:w="15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5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P.O. Box 4956 Ste</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1134, Caguas, Puerto</w:t>
            </w: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w w:val="96"/>
              </w:rPr>
              <w:t>Principal Place</w:t>
            </w:r>
          </w:p>
        </w:tc>
        <w:tc>
          <w:tcPr>
            <w:tcW w:w="140" w:type="dxa"/>
            <w:vAlign w:val="bottom"/>
            <w:tcBorders>
              <w:right w:val="single" w:sz="8" w:color="auto"/>
            </w:tcBorders>
          </w:tcPr>
          <w:p>
            <w:pPr>
              <w:spacing w:after="0"/>
              <w:rPr>
                <w:sz w:val="23"/>
                <w:szCs w:val="23"/>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7"/>
              </w:rPr>
              <w:t>675 Bering Drive, Suite</w:t>
            </w:r>
          </w:p>
        </w:tc>
        <w:tc>
          <w:tcPr>
            <w:tcW w:w="216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Rico 00726-4956</w:t>
            </w:r>
          </w:p>
        </w:tc>
        <w:tc>
          <w:tcPr>
            <w:tcW w:w="1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line="239" w:lineRule="exact"/>
              <w:rPr>
                <w:sz w:val="20"/>
                <w:szCs w:val="20"/>
                <w:color w:val="auto"/>
              </w:rPr>
            </w:pPr>
            <w:r>
              <w:rPr>
                <w:rFonts w:ascii="Arial" w:cs="Arial" w:eastAsia="Arial" w:hAnsi="Arial"/>
                <w:sz w:val="22"/>
                <w:szCs w:val="22"/>
                <w:color w:val="auto"/>
              </w:rPr>
              <w:t>Road #1, KM 27.5;</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Puerto Rico,</w:t>
            </w:r>
          </w:p>
        </w:tc>
        <w:tc>
          <w:tcPr>
            <w:tcW w:w="15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Int. Sector El</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5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Barranco; B. Rio</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00" w:type="dxa"/>
            <w:vAlign w:val="bottom"/>
            <w:tcBorders>
              <w:left w:val="single" w:sz="8" w:color="auto"/>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Canas; Caguas,</w:t>
            </w: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Puerto Rico 00725</w:t>
            </w: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Comfort Systems</w:t>
            </w: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w w:val="96"/>
              </w:rPr>
              <w:t>Principal Place</w:t>
            </w:r>
          </w:p>
        </w:tc>
        <w:tc>
          <w:tcPr>
            <w:tcW w:w="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9745 Bent Oak Drive,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Atlas Comfort</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USA (South</w:t>
            </w:r>
          </w:p>
        </w:tc>
        <w:tc>
          <w:tcPr>
            <w:tcW w:w="15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Systems USA</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9"/>
              </w:rPr>
              <w:t>Houston, Texas 77040</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Central), Inc.</w:t>
            </w:r>
          </w:p>
        </w:tc>
        <w:tc>
          <w:tcPr>
            <w:tcW w:w="15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vMerge w:val="continue"/>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340" w:type="dxa"/>
            <w:vAlign w:val="bottom"/>
            <w:tcBorders>
              <w:bottom w:val="single" w:sz="8" w:color="auto"/>
              <w:right w:val="single" w:sz="8" w:color="auto"/>
            </w:tcBorders>
          </w:tcPr>
          <w:p>
            <w:pPr>
              <w:spacing w:after="0"/>
              <w:rPr>
                <w:sz w:val="11"/>
                <w:szCs w:val="11"/>
                <w:color w:val="auto"/>
              </w:rPr>
            </w:pPr>
          </w:p>
        </w:tc>
        <w:tc>
          <w:tcPr>
            <w:tcW w:w="2160" w:type="dxa"/>
            <w:vAlign w:val="bottom"/>
            <w:tcBorders>
              <w:bottom w:val="single" w:sz="8" w:color="auto"/>
              <w:right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right w:val="single" w:sz="8" w:color="auto"/>
            </w:tcBorders>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Batchelor’s</w:t>
            </w: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Comfort Systems</w:t>
            </w: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w w:val="96"/>
              </w:rPr>
              <w:t>Principal Place</w:t>
            </w:r>
          </w:p>
        </w:tc>
        <w:tc>
          <w:tcPr>
            <w:tcW w:w="14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435 Corday Street,</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USA (Southeast),</w:t>
            </w:r>
          </w:p>
        </w:tc>
        <w:tc>
          <w:tcPr>
            <w:tcW w:w="152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Pensacola, Florida</w:t>
            </w:r>
          </w:p>
        </w:tc>
        <w:tc>
          <w:tcPr>
            <w:tcW w:w="21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Contractors</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5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32503</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5"/>
              </w:rPr>
              <w:t>Control Concepts,</w:t>
            </w:r>
          </w:p>
        </w:tc>
        <w:tc>
          <w:tcPr>
            <w:tcW w:w="0" w:type="dxa"/>
            <w:vAlign w:val="bottom"/>
          </w:tcPr>
          <w:p>
            <w:pPr>
              <w:spacing w:after="0"/>
              <w:rPr>
                <w:sz w:val="1"/>
                <w:szCs w:val="1"/>
                <w:color w:val="auto"/>
              </w:rPr>
            </w:pPr>
          </w:p>
        </w:tc>
      </w:tr>
      <w:tr>
        <w:trPr>
          <w:trHeight w:val="117"/>
        </w:trPr>
        <w:tc>
          <w:tcPr>
            <w:tcW w:w="2100" w:type="dxa"/>
            <w:vAlign w:val="bottom"/>
            <w:tcBorders>
              <w:left w:val="single" w:sz="8" w:color="auto"/>
              <w:right w:val="single" w:sz="8" w:color="auto"/>
            </w:tcBorders>
            <w:vMerge w:val="continue"/>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250 Commercial Drive,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152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4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Thomasville, Georgia</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100" w:type="dxa"/>
            <w:vAlign w:val="bottom"/>
            <w:tcBorders>
              <w:left w:val="single" w:sz="8" w:color="auto"/>
              <w:right w:val="single" w:sz="8" w:color="auto"/>
            </w:tcBorders>
          </w:tcPr>
          <w:p>
            <w:pPr>
              <w:spacing w:after="0"/>
              <w:rPr>
                <w:sz w:val="15"/>
                <w:szCs w:val="15"/>
                <w:color w:val="auto"/>
              </w:rPr>
            </w:pPr>
          </w:p>
        </w:tc>
        <w:tc>
          <w:tcPr>
            <w:tcW w:w="1520" w:type="dxa"/>
            <w:vAlign w:val="bottom"/>
            <w:vMerge w:val="continue"/>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31757</w:t>
            </w:r>
          </w:p>
        </w:tc>
        <w:tc>
          <w:tcPr>
            <w:tcW w:w="216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100" w:type="dxa"/>
            <w:vAlign w:val="bottom"/>
            <w:tcBorders>
              <w:left w:val="single" w:sz="8" w:color="auto"/>
              <w:bottom w:val="single" w:sz="8" w:color="auto"/>
              <w:right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2340" w:type="dxa"/>
            <w:vAlign w:val="bottom"/>
            <w:tcBorders>
              <w:bottom w:val="single" w:sz="8" w:color="auto"/>
              <w:right w:val="single" w:sz="8" w:color="auto"/>
            </w:tcBorders>
            <w:vMerge w:val="continue"/>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8"/>
        </w:trPr>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40" w:type="dxa"/>
            <w:vAlign w:val="bottom"/>
            <w:gridSpan w:val="3"/>
          </w:tcPr>
          <w:p>
            <w:pPr>
              <w:ind w:left="120"/>
              <w:spacing w:after="0"/>
              <w:rPr>
                <w:sz w:val="20"/>
                <w:szCs w:val="20"/>
                <w:color w:val="auto"/>
              </w:rPr>
            </w:pPr>
            <w:r>
              <w:rPr>
                <w:rFonts w:ascii="Arial" w:cs="Arial" w:eastAsia="Arial" w:hAnsi="Arial"/>
                <w:sz w:val="18"/>
                <w:szCs w:val="18"/>
                <w:color w:val="auto"/>
              </w:rPr>
              <w:t>Section 5.13 of Schedule 5 – Page 6</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4" w:name="page155"/>
    <w:bookmarkEnd w:id="1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4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500" w:type="dxa"/>
            <w:vAlign w:val="bottom"/>
            <w:tcBorders>
              <w:top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160" w:type="dxa"/>
            <w:vAlign w:val="bottom"/>
            <w:tcBorders>
              <w:top w:val="single" w:sz="8" w:color="auto"/>
              <w:right w:val="single" w:sz="8" w:color="auto"/>
            </w:tcBorders>
            <w:shd w:val="clear" w:color="auto" w:fill="E0E0E0"/>
          </w:tcPr>
          <w:p>
            <w:pPr>
              <w:spacing w:after="0"/>
              <w:rPr>
                <w:sz w:val="23"/>
                <w:szCs w:val="23"/>
                <w:color w:val="auto"/>
              </w:rPr>
            </w:pPr>
          </w:p>
        </w:tc>
        <w:tc>
          <w:tcPr>
            <w:tcW w:w="2260" w:type="dxa"/>
            <w:vAlign w:val="bottom"/>
            <w:tcBorders>
              <w:top w:val="single" w:sz="8" w:color="auto"/>
              <w:right w:val="single" w:sz="8" w:color="auto"/>
            </w:tcBorders>
            <w:shd w:val="clear" w:color="auto" w:fill="E0E0E0"/>
          </w:tcPr>
          <w:p>
            <w:pPr>
              <w:spacing w:after="0"/>
              <w:rPr>
                <w:sz w:val="23"/>
                <w:szCs w:val="23"/>
                <w:color w:val="auto"/>
              </w:rPr>
            </w:pPr>
          </w:p>
        </w:tc>
        <w:tc>
          <w:tcPr>
            <w:tcW w:w="214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188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500" w:type="dxa"/>
            <w:vAlign w:val="bottom"/>
            <w:vMerge w:val="continue"/>
            <w:shd w:val="clear" w:color="auto" w:fill="E0E0E0"/>
          </w:tcPr>
          <w:p>
            <w:pPr>
              <w:spacing w:after="0"/>
              <w:rPr>
                <w:sz w:val="10"/>
                <w:szCs w:val="10"/>
                <w:color w:val="auto"/>
              </w:rPr>
            </w:pPr>
          </w:p>
        </w:tc>
        <w:tc>
          <w:tcPr>
            <w:tcW w:w="160" w:type="dxa"/>
            <w:vAlign w:val="bottom"/>
            <w:tcBorders>
              <w:right w:val="single" w:sz="8" w:color="auto"/>
            </w:tcBorders>
            <w:shd w:val="clear" w:color="auto" w:fill="E0E0E0"/>
          </w:tcPr>
          <w:p>
            <w:pPr>
              <w:spacing w:after="0"/>
              <w:rPr>
                <w:sz w:val="10"/>
                <w:szCs w:val="10"/>
                <w:color w:val="auto"/>
              </w:rPr>
            </w:pPr>
          </w:p>
        </w:tc>
        <w:tc>
          <w:tcPr>
            <w:tcW w:w="2260" w:type="dxa"/>
            <w:vAlign w:val="bottom"/>
            <w:tcBorders>
              <w:right w:val="single" w:sz="8" w:color="auto"/>
            </w:tcBorders>
            <w:vMerge w:val="restart"/>
            <w:shd w:val="clear" w:color="auto" w:fill="E0E0E0"/>
          </w:tcPr>
          <w:p>
            <w:pPr>
              <w:ind w:left="80"/>
              <w:spacing w:after="0" w:line="243" w:lineRule="exact"/>
              <w:rPr>
                <w:sz w:val="20"/>
                <w:szCs w:val="20"/>
                <w:color w:val="auto"/>
              </w:rPr>
            </w:pPr>
            <w:r>
              <w:rPr>
                <w:rFonts w:ascii="Arial" w:cs="Arial" w:eastAsia="Arial" w:hAnsi="Arial"/>
                <w:sz w:val="22"/>
                <w:szCs w:val="22"/>
                <w:b w:val="1"/>
                <w:bCs w:val="1"/>
                <w:color w:val="auto"/>
              </w:rPr>
              <w:t>ADDRESS</w:t>
            </w:r>
          </w:p>
        </w:tc>
        <w:tc>
          <w:tcPr>
            <w:tcW w:w="2140" w:type="dxa"/>
            <w:vAlign w:val="bottom"/>
            <w:tcBorders>
              <w:right w:val="single" w:sz="8" w:color="auto"/>
            </w:tcBorders>
            <w:vMerge w:val="continue"/>
            <w:shd w:val="clear" w:color="auto" w:fill="E0E0E0"/>
          </w:tcPr>
          <w:p>
            <w:pPr>
              <w:spacing w:after="0"/>
              <w:rPr>
                <w:sz w:val="10"/>
                <w:szCs w:val="10"/>
                <w:color w:val="auto"/>
              </w:rPr>
            </w:pPr>
          </w:p>
        </w:tc>
        <w:tc>
          <w:tcPr>
            <w:tcW w:w="188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500" w:type="dxa"/>
            <w:vAlign w:val="bottom"/>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160" w:type="dxa"/>
            <w:vAlign w:val="bottom"/>
            <w:tcBorders>
              <w:right w:val="single" w:sz="8" w:color="auto"/>
            </w:tcBorders>
            <w:shd w:val="clear" w:color="auto" w:fill="E0E0E0"/>
          </w:tcPr>
          <w:p>
            <w:pPr>
              <w:spacing w:after="0"/>
              <w:rPr>
                <w:sz w:val="10"/>
                <w:szCs w:val="10"/>
                <w:color w:val="auto"/>
              </w:rPr>
            </w:pPr>
          </w:p>
        </w:tc>
        <w:tc>
          <w:tcPr>
            <w:tcW w:w="2260" w:type="dxa"/>
            <w:vAlign w:val="bottom"/>
            <w:tcBorders>
              <w:right w:val="single" w:sz="8" w:color="auto"/>
            </w:tcBorders>
            <w:vMerge w:val="continue"/>
            <w:shd w:val="clear" w:color="auto" w:fill="E0E0E0"/>
          </w:tcPr>
          <w:p>
            <w:pPr>
              <w:spacing w:after="0"/>
              <w:rPr>
                <w:sz w:val="10"/>
                <w:szCs w:val="10"/>
                <w:color w:val="auto"/>
              </w:rPr>
            </w:pPr>
          </w:p>
        </w:tc>
        <w:tc>
          <w:tcPr>
            <w:tcW w:w="214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ADDRESSES</w:t>
            </w:r>
          </w:p>
        </w:tc>
        <w:tc>
          <w:tcPr>
            <w:tcW w:w="188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40" w:type="dxa"/>
            <w:vAlign w:val="bottom"/>
            <w:tcBorders>
              <w:left w:val="single" w:sz="8" w:color="auto"/>
              <w:right w:val="single" w:sz="8" w:color="auto"/>
            </w:tcBorders>
            <w:shd w:val="clear" w:color="auto" w:fill="E0E0E0"/>
          </w:tcPr>
          <w:p>
            <w:pPr>
              <w:spacing w:after="0"/>
              <w:rPr>
                <w:sz w:val="13"/>
                <w:szCs w:val="13"/>
                <w:color w:val="auto"/>
              </w:rPr>
            </w:pPr>
          </w:p>
        </w:tc>
        <w:tc>
          <w:tcPr>
            <w:tcW w:w="1500" w:type="dxa"/>
            <w:vAlign w:val="bottom"/>
            <w:vMerge w:val="continue"/>
            <w:shd w:val="clear" w:color="auto" w:fill="E0E0E0"/>
          </w:tcPr>
          <w:p>
            <w:pPr>
              <w:spacing w:after="0"/>
              <w:rPr>
                <w:sz w:val="13"/>
                <w:szCs w:val="13"/>
                <w:color w:val="auto"/>
              </w:rPr>
            </w:pPr>
          </w:p>
        </w:tc>
        <w:tc>
          <w:tcPr>
            <w:tcW w:w="160" w:type="dxa"/>
            <w:vAlign w:val="bottom"/>
            <w:tcBorders>
              <w:right w:val="single" w:sz="8" w:color="auto"/>
            </w:tcBorders>
            <w:shd w:val="clear" w:color="auto" w:fill="E0E0E0"/>
          </w:tcPr>
          <w:p>
            <w:pPr>
              <w:spacing w:after="0"/>
              <w:rPr>
                <w:sz w:val="13"/>
                <w:szCs w:val="13"/>
                <w:color w:val="auto"/>
              </w:rPr>
            </w:pPr>
          </w:p>
        </w:tc>
        <w:tc>
          <w:tcPr>
            <w:tcW w:w="2260" w:type="dxa"/>
            <w:vAlign w:val="bottom"/>
            <w:tcBorders>
              <w:right w:val="single" w:sz="8" w:color="auto"/>
            </w:tcBorders>
            <w:shd w:val="clear" w:color="auto" w:fill="E0E0E0"/>
          </w:tcPr>
          <w:p>
            <w:pPr>
              <w:spacing w:after="0"/>
              <w:rPr>
                <w:sz w:val="13"/>
                <w:szCs w:val="13"/>
                <w:color w:val="auto"/>
              </w:rPr>
            </w:pPr>
          </w:p>
        </w:tc>
        <w:tc>
          <w:tcPr>
            <w:tcW w:w="2140" w:type="dxa"/>
            <w:vAlign w:val="bottom"/>
            <w:tcBorders>
              <w:right w:val="single" w:sz="8" w:color="auto"/>
            </w:tcBorders>
            <w:vMerge w:val="continue"/>
            <w:shd w:val="clear" w:color="auto" w:fill="E0E0E0"/>
          </w:tcPr>
          <w:p>
            <w:pPr>
              <w:spacing w:after="0"/>
              <w:rPr>
                <w:sz w:val="13"/>
                <w:szCs w:val="13"/>
                <w:color w:val="auto"/>
              </w:rPr>
            </w:pPr>
          </w:p>
        </w:tc>
        <w:tc>
          <w:tcPr>
            <w:tcW w:w="188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4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500" w:type="dxa"/>
            <w:vAlign w:val="bottom"/>
            <w:tcBorders>
              <w:bottom w:val="single" w:sz="8" w:color="auto"/>
            </w:tcBorders>
            <w:shd w:val="clear" w:color="auto" w:fill="E0E0E0"/>
          </w:tcPr>
          <w:p>
            <w:pPr>
              <w:spacing w:after="0"/>
              <w:rPr>
                <w:sz w:val="11"/>
                <w:szCs w:val="11"/>
                <w:color w:val="auto"/>
              </w:rPr>
            </w:pPr>
          </w:p>
        </w:tc>
        <w:tc>
          <w:tcPr>
            <w:tcW w:w="160" w:type="dxa"/>
            <w:vAlign w:val="bottom"/>
            <w:tcBorders>
              <w:bottom w:val="single" w:sz="8" w:color="auto"/>
              <w:right w:val="single" w:sz="8" w:color="auto"/>
            </w:tcBorders>
            <w:shd w:val="clear" w:color="auto" w:fill="E0E0E0"/>
          </w:tcPr>
          <w:p>
            <w:pPr>
              <w:spacing w:after="0"/>
              <w:rPr>
                <w:sz w:val="11"/>
                <w:szCs w:val="11"/>
                <w:color w:val="auto"/>
              </w:rPr>
            </w:pPr>
          </w:p>
        </w:tc>
        <w:tc>
          <w:tcPr>
            <w:tcW w:w="2260" w:type="dxa"/>
            <w:vAlign w:val="bottom"/>
            <w:tcBorders>
              <w:bottom w:val="single" w:sz="8" w:color="auto"/>
              <w:right w:val="single" w:sz="8" w:color="auto"/>
            </w:tcBorders>
            <w:shd w:val="clear" w:color="auto" w:fill="E0E0E0"/>
          </w:tcPr>
          <w:p>
            <w:pPr>
              <w:spacing w:after="0"/>
              <w:rPr>
                <w:sz w:val="11"/>
                <w:szCs w:val="11"/>
                <w:color w:val="auto"/>
              </w:rPr>
            </w:pPr>
          </w:p>
        </w:tc>
        <w:tc>
          <w:tcPr>
            <w:tcW w:w="2140" w:type="dxa"/>
            <w:vAlign w:val="bottom"/>
            <w:tcBorders>
              <w:bottom w:val="single" w:sz="8" w:color="auto"/>
              <w:right w:val="single" w:sz="8" w:color="auto"/>
            </w:tcBorders>
            <w:shd w:val="clear" w:color="auto" w:fill="E0E0E0"/>
          </w:tcPr>
          <w:p>
            <w:pPr>
              <w:spacing w:after="0"/>
              <w:rPr>
                <w:sz w:val="11"/>
                <w:szCs w:val="11"/>
                <w:color w:val="auto"/>
              </w:rPr>
            </w:pPr>
          </w:p>
        </w:tc>
        <w:tc>
          <w:tcPr>
            <w:tcW w:w="188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auto"/>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ind w:left="80"/>
              <w:spacing w:after="0" w:line="222" w:lineRule="exact"/>
              <w:rPr>
                <w:sz w:val="20"/>
                <w:szCs w:val="20"/>
                <w:color w:val="auto"/>
              </w:rPr>
            </w:pPr>
            <w:r>
              <w:rPr>
                <w:rFonts w:ascii="Arial" w:cs="Arial" w:eastAsia="Arial" w:hAnsi="Arial"/>
                <w:sz w:val="22"/>
                <w:szCs w:val="22"/>
                <w:color w:val="auto"/>
                <w:w w:val="98"/>
              </w:rPr>
              <w:t>13040 W. US Hwy 84,</w:t>
            </w:r>
          </w:p>
        </w:tc>
        <w:tc>
          <w:tcPr>
            <w:tcW w:w="2140" w:type="dxa"/>
            <w:vAlign w:val="bottom"/>
            <w:tcBorders>
              <w:right w:val="single" w:sz="8" w:color="auto"/>
            </w:tcBorders>
          </w:tcPr>
          <w:p>
            <w:pPr>
              <w:spacing w:after="0"/>
              <w:rPr>
                <w:sz w:val="19"/>
                <w:szCs w:val="19"/>
                <w:color w:val="auto"/>
              </w:rPr>
            </w:pPr>
          </w:p>
        </w:tc>
        <w:tc>
          <w:tcPr>
            <w:tcW w:w="1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Newton, Alabama</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36352</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3779 Abigail Drive</w:t>
            </w: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3835 Gordon John</w:t>
            </w: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Theodore, Alabama</w:t>
            </w: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Drive, Mobile,</w:t>
            </w: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36582</w:t>
            </w: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Alabama 36693</w:t>
            </w: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4518 Val North Drive,</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Valdosta, Georgia</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31602</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2140" w:type="dxa"/>
            <w:vAlign w:val="bottom"/>
            <w:tcBorders>
              <w:left w:val="single" w:sz="8" w:color="auto"/>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1965 Vaughn Road,</w:t>
            </w:r>
          </w:p>
        </w:tc>
        <w:tc>
          <w:tcPr>
            <w:tcW w:w="21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Suite B</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Kennesaw, Georgia</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30144</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7826 McElvey Road,</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Panama City Beach,</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Florida 32408</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6074 Business Park</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Drive, Suite G,</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tcPr>
          <w:p>
            <w:pPr>
              <w:spacing w:after="0"/>
              <w:rPr>
                <w:sz w:val="13"/>
                <w:szCs w:val="13"/>
                <w:color w:val="auto"/>
              </w:rPr>
            </w:pPr>
          </w:p>
        </w:tc>
        <w:tc>
          <w:tcPr>
            <w:tcW w:w="15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Columbus, Georgia</w:t>
            </w:r>
          </w:p>
        </w:tc>
        <w:tc>
          <w:tcPr>
            <w:tcW w:w="21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40" w:type="dxa"/>
            <w:vAlign w:val="bottom"/>
            <w:tcBorders>
              <w:left w:val="single" w:sz="8" w:color="auto"/>
              <w:right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31909</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309 James E.</w:t>
            </w: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177 Woodfield Dr.</w:t>
            </w: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Williams Dr., #1,</w:t>
            </w: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tcPr>
          <w:p>
            <w:pPr>
              <w:spacing w:after="0"/>
              <w:rPr>
                <w:sz w:val="13"/>
                <w:szCs w:val="13"/>
                <w:color w:val="auto"/>
              </w:rPr>
            </w:pPr>
          </w:p>
        </w:tc>
        <w:tc>
          <w:tcPr>
            <w:tcW w:w="15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w w:val="95"/>
              </w:rPr>
              <w:t>Macon, Georgia 31210</w:t>
            </w:r>
          </w:p>
        </w:tc>
        <w:tc>
          <w:tcPr>
            <w:tcW w:w="21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Byron, Georgia</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40" w:type="dxa"/>
            <w:vAlign w:val="bottom"/>
            <w:tcBorders>
              <w:left w:val="single" w:sz="8" w:color="auto"/>
              <w:right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vMerge w:val="continue"/>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31008</w:t>
            </w: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5616 Joe Elliot Way</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Pensacola, Florida</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32503</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507 CDP Industrial</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Blvd. No. 10</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tcPr>
          <w:p>
            <w:pPr>
              <w:spacing w:after="0"/>
              <w:rPr>
                <w:sz w:val="13"/>
                <w:szCs w:val="13"/>
                <w:color w:val="auto"/>
              </w:rPr>
            </w:pPr>
          </w:p>
        </w:tc>
        <w:tc>
          <w:tcPr>
            <w:tcW w:w="15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Grovetown, Georgia</w:t>
            </w:r>
          </w:p>
        </w:tc>
        <w:tc>
          <w:tcPr>
            <w:tcW w:w="21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40" w:type="dxa"/>
            <w:vAlign w:val="bottom"/>
            <w:tcBorders>
              <w:left w:val="single" w:sz="8" w:color="auto"/>
              <w:right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continue"/>
          </w:tcPr>
          <w:p>
            <w:pPr>
              <w:spacing w:after="0"/>
              <w:rPr>
                <w:sz w:val="7"/>
                <w:szCs w:val="7"/>
                <w:color w:val="auto"/>
              </w:rPr>
            </w:pPr>
          </w:p>
        </w:tc>
        <w:tc>
          <w:tcPr>
            <w:tcW w:w="214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30813</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tcPr>
          <w:p>
            <w:pPr>
              <w:spacing w:after="0"/>
              <w:rPr>
                <w:sz w:val="23"/>
                <w:szCs w:val="23"/>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1018 W Highway 80</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2305 Rowland Ave</w:t>
            </w: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6"/>
        </w:trPr>
        <w:tc>
          <w:tcPr>
            <w:tcW w:w="2140" w:type="dxa"/>
            <w:vAlign w:val="bottom"/>
            <w:tcBorders>
              <w:left w:val="single" w:sz="8" w:color="auto"/>
              <w:right w:val="single" w:sz="8" w:color="auto"/>
            </w:tcBorders>
          </w:tcPr>
          <w:p>
            <w:pPr>
              <w:spacing w:after="0"/>
              <w:rPr>
                <w:sz w:val="8"/>
                <w:szCs w:val="8"/>
                <w:color w:val="auto"/>
              </w:rPr>
            </w:pPr>
          </w:p>
        </w:tc>
        <w:tc>
          <w:tcPr>
            <w:tcW w:w="1500" w:type="dxa"/>
            <w:vAlign w:val="bottom"/>
            <w:vMerge w:val="continue"/>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vMerge w:val="restart"/>
          </w:tcPr>
          <w:p>
            <w:pPr>
              <w:ind w:left="100"/>
              <w:spacing w:after="0" w:line="244" w:lineRule="exact"/>
              <w:rPr>
                <w:sz w:val="20"/>
                <w:szCs w:val="20"/>
                <w:color w:val="auto"/>
              </w:rPr>
            </w:pPr>
            <w:r>
              <w:rPr>
                <w:rFonts w:ascii="Arial" w:cs="Arial" w:eastAsia="Arial" w:hAnsi="Arial"/>
                <w:sz w:val="22"/>
                <w:szCs w:val="22"/>
                <w:color w:val="auto"/>
              </w:rPr>
              <w:t>Savannah, Georgia</w:t>
            </w:r>
          </w:p>
        </w:tc>
        <w:tc>
          <w:tcPr>
            <w:tcW w:w="1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tcBorders>
              <w:left w:val="single" w:sz="8" w:color="auto"/>
              <w:right w:val="single" w:sz="8" w:color="auto"/>
            </w:tcBorders>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6"/>
              </w:rPr>
              <w:t>Pooler, Georgia 31322</w:t>
            </w:r>
          </w:p>
        </w:tc>
        <w:tc>
          <w:tcPr>
            <w:tcW w:w="214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40" w:type="dxa"/>
            <w:vAlign w:val="bottom"/>
            <w:tcBorders>
              <w:left w:val="single" w:sz="8" w:color="auto"/>
              <w:right w:val="single" w:sz="8" w:color="auto"/>
            </w:tcBorders>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31404</w:t>
            </w: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40" w:type="dxa"/>
            <w:vAlign w:val="bottom"/>
            <w:tcBorders>
              <w:left w:val="single" w:sz="8" w:color="auto"/>
              <w:bottom w:val="single" w:sz="8" w:color="auto"/>
              <w:right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2260" w:type="dxa"/>
            <w:vAlign w:val="bottom"/>
            <w:tcBorders>
              <w:bottom w:val="single" w:sz="8" w:color="auto"/>
              <w:right w:val="single" w:sz="8" w:color="auto"/>
            </w:tcBorders>
          </w:tcPr>
          <w:p>
            <w:pPr>
              <w:spacing w:after="0"/>
              <w:rPr>
                <w:sz w:val="12"/>
                <w:szCs w:val="12"/>
                <w:color w:val="auto"/>
              </w:rPr>
            </w:pPr>
          </w:p>
        </w:tc>
        <w:tc>
          <w:tcPr>
            <w:tcW w:w="2140" w:type="dxa"/>
            <w:vAlign w:val="bottom"/>
            <w:tcBorders>
              <w:bottom w:val="single" w:sz="8" w:color="auto"/>
              <w:right w:val="single" w:sz="8" w:color="auto"/>
            </w:tcBorders>
            <w:vMerge w:val="continue"/>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1903 Ledo Rd, Ste C</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tcPr>
          <w:p>
            <w:pPr>
              <w:spacing w:after="0"/>
              <w:rPr>
                <w:sz w:val="13"/>
                <w:szCs w:val="13"/>
                <w:color w:val="auto"/>
              </w:rPr>
            </w:pPr>
          </w:p>
        </w:tc>
        <w:tc>
          <w:tcPr>
            <w:tcW w:w="15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5"/>
              </w:rPr>
              <w:t>Albany, Georgia 31707</w:t>
            </w:r>
          </w:p>
        </w:tc>
        <w:tc>
          <w:tcPr>
            <w:tcW w:w="21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40" w:type="dxa"/>
            <w:vAlign w:val="bottom"/>
            <w:tcBorders>
              <w:left w:val="single" w:sz="8" w:color="auto"/>
              <w:bottom w:val="single" w:sz="8" w:color="auto"/>
              <w:right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vMerge w:val="continue"/>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Tri-City</w:t>
            </w:r>
          </w:p>
        </w:tc>
        <w:tc>
          <w:tcPr>
            <w:tcW w:w="0" w:type="dxa"/>
            <w:vAlign w:val="bottom"/>
          </w:tcPr>
          <w:p>
            <w:pPr>
              <w:spacing w:after="0"/>
              <w:rPr>
                <w:sz w:val="1"/>
                <w:szCs w:val="1"/>
                <w:color w:val="auto"/>
              </w:rPr>
            </w:pPr>
          </w:p>
        </w:tc>
      </w:tr>
      <w:tr>
        <w:trPr>
          <w:trHeight w:val="275"/>
        </w:trPr>
        <w:tc>
          <w:tcPr>
            <w:tcW w:w="2140" w:type="dxa"/>
            <w:vAlign w:val="bottom"/>
            <w:tcBorders>
              <w:left w:val="single" w:sz="8" w:color="auto"/>
              <w:right w:val="single" w:sz="8" w:color="auto"/>
            </w:tcBorders>
          </w:tcPr>
          <w:p>
            <w:pPr>
              <w:spacing w:after="0"/>
              <w:rPr>
                <w:sz w:val="23"/>
                <w:szCs w:val="23"/>
                <w:color w:val="auto"/>
              </w:rPr>
            </w:pPr>
          </w:p>
        </w:tc>
        <w:tc>
          <w:tcPr>
            <w:tcW w:w="150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Mechanical, Inc.</w:t>
            </w:r>
          </w:p>
        </w:tc>
        <w:tc>
          <w:tcPr>
            <w:tcW w:w="0" w:type="dxa"/>
            <w:vAlign w:val="bottom"/>
          </w:tcPr>
          <w:p>
            <w:pPr>
              <w:spacing w:after="0"/>
              <w:rPr>
                <w:sz w:val="1"/>
                <w:szCs w:val="1"/>
                <w:color w:val="auto"/>
              </w:rPr>
            </w:pPr>
          </w:p>
        </w:tc>
      </w:tr>
      <w:tr>
        <w:trPr>
          <w:trHeight w:val="266"/>
        </w:trPr>
        <w:tc>
          <w:tcPr>
            <w:tcW w:w="21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Comfort Systems</w:t>
            </w: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w w:val="94"/>
              </w:rPr>
              <w:t>Principal Place</w:t>
            </w:r>
          </w:p>
        </w:tc>
        <w:tc>
          <w:tcPr>
            <w:tcW w:w="160" w:type="dxa"/>
            <w:vAlign w:val="bottom"/>
            <w:tcBorders>
              <w:right w:val="single" w:sz="8" w:color="auto"/>
            </w:tcBorders>
          </w:tcPr>
          <w:p>
            <w:pPr>
              <w:spacing w:after="0"/>
              <w:rPr>
                <w:sz w:val="23"/>
                <w:szCs w:val="23"/>
                <w:color w:val="auto"/>
              </w:rPr>
            </w:pP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6875 W. Galveston,</w:t>
            </w:r>
          </w:p>
        </w:tc>
        <w:tc>
          <w:tcPr>
            <w:tcW w:w="214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Air Management</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(Southwest),</w:t>
            </w:r>
          </w:p>
        </w:tc>
        <w:tc>
          <w:tcPr>
            <w:tcW w:w="150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Chandler, Arizona</w:t>
            </w:r>
          </w:p>
        </w:tc>
        <w:tc>
          <w:tcPr>
            <w:tcW w:w="21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Services, Inc.</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tcPr>
          <w:p>
            <w:pPr>
              <w:spacing w:after="0"/>
              <w:rPr>
                <w:sz w:val="10"/>
                <w:szCs w:val="10"/>
                <w:color w:val="auto"/>
              </w:rPr>
            </w:pPr>
          </w:p>
        </w:tc>
        <w:tc>
          <w:tcPr>
            <w:tcW w:w="150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50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2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85226</w:t>
            </w:r>
          </w:p>
        </w:tc>
        <w:tc>
          <w:tcPr>
            <w:tcW w:w="21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Commercial</w:t>
            </w:r>
          </w:p>
        </w:tc>
        <w:tc>
          <w:tcPr>
            <w:tcW w:w="0" w:type="dxa"/>
            <w:vAlign w:val="bottom"/>
          </w:tcPr>
          <w:p>
            <w:pPr>
              <w:spacing w:after="0"/>
              <w:rPr>
                <w:sz w:val="1"/>
                <w:szCs w:val="1"/>
                <w:color w:val="auto"/>
              </w:rPr>
            </w:pPr>
          </w:p>
        </w:tc>
      </w:tr>
      <w:tr>
        <w:trPr>
          <w:trHeight w:val="144"/>
        </w:trPr>
        <w:tc>
          <w:tcPr>
            <w:tcW w:w="2140" w:type="dxa"/>
            <w:vAlign w:val="bottom"/>
            <w:tcBorders>
              <w:left w:val="single" w:sz="8" w:color="auto"/>
              <w:right w:val="single" w:sz="8" w:color="auto"/>
            </w:tcBorders>
            <w:vMerge w:val="continue"/>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vMerge w:val="continue"/>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Service, Inc.</w:t>
            </w:r>
          </w:p>
        </w:tc>
        <w:tc>
          <w:tcPr>
            <w:tcW w:w="0" w:type="dxa"/>
            <w:vAlign w:val="bottom"/>
          </w:tcPr>
          <w:p>
            <w:pPr>
              <w:spacing w:after="0"/>
              <w:rPr>
                <w:sz w:val="1"/>
                <w:szCs w:val="1"/>
                <w:color w:val="auto"/>
              </w:rPr>
            </w:pPr>
          </w:p>
        </w:tc>
      </w:tr>
      <w:tr>
        <w:trPr>
          <w:trHeight w:val="858"/>
        </w:trPr>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Section 5.13 of Schedule 5 – Page 7</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5" w:name="page156"/>
    <w:bookmarkEnd w:id="1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08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66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w:t>
            </w:r>
          </w:p>
        </w:tc>
        <w:tc>
          <w:tcPr>
            <w:tcW w:w="2360" w:type="dxa"/>
            <w:vAlign w:val="bottom"/>
            <w:tcBorders>
              <w:top w:val="single" w:sz="8" w:color="auto"/>
              <w:right w:val="single" w:sz="8" w:color="auto"/>
            </w:tcBorders>
            <w:shd w:val="clear" w:color="auto" w:fill="E0E0E0"/>
          </w:tcPr>
          <w:p>
            <w:pPr>
              <w:spacing w:after="0"/>
              <w:rPr>
                <w:sz w:val="23"/>
                <w:szCs w:val="23"/>
                <w:color w:val="auto"/>
              </w:rPr>
            </w:pPr>
          </w:p>
        </w:tc>
        <w:tc>
          <w:tcPr>
            <w:tcW w:w="216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182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660" w:type="dxa"/>
            <w:vAlign w:val="bottom"/>
            <w:tcBorders>
              <w:right w:val="single" w:sz="8" w:color="auto"/>
            </w:tcBorders>
            <w:vMerge w:val="continue"/>
            <w:shd w:val="clear" w:color="auto" w:fill="E0E0E0"/>
          </w:tcPr>
          <w:p>
            <w:pPr>
              <w:spacing w:after="0"/>
              <w:rPr>
                <w:sz w:val="10"/>
                <w:szCs w:val="10"/>
                <w:color w:val="auto"/>
              </w:rPr>
            </w:pPr>
          </w:p>
        </w:tc>
        <w:tc>
          <w:tcPr>
            <w:tcW w:w="236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160" w:type="dxa"/>
            <w:vAlign w:val="bottom"/>
            <w:tcBorders>
              <w:right w:val="single" w:sz="8" w:color="auto"/>
            </w:tcBorders>
            <w:vMerge w:val="continue"/>
            <w:shd w:val="clear" w:color="auto" w:fill="E0E0E0"/>
          </w:tcPr>
          <w:p>
            <w:pPr>
              <w:spacing w:after="0"/>
              <w:rPr>
                <w:sz w:val="10"/>
                <w:szCs w:val="10"/>
                <w:color w:val="auto"/>
              </w:rPr>
            </w:pPr>
          </w:p>
        </w:tc>
        <w:tc>
          <w:tcPr>
            <w:tcW w:w="182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66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TYPE</w:t>
            </w:r>
          </w:p>
        </w:tc>
        <w:tc>
          <w:tcPr>
            <w:tcW w:w="2360" w:type="dxa"/>
            <w:vAlign w:val="bottom"/>
            <w:tcBorders>
              <w:right w:val="single" w:sz="8" w:color="auto"/>
            </w:tcBorders>
            <w:vMerge w:val="continue"/>
            <w:shd w:val="clear" w:color="auto" w:fill="E0E0E0"/>
          </w:tcPr>
          <w:p>
            <w:pPr>
              <w:spacing w:after="0"/>
              <w:rPr>
                <w:sz w:val="10"/>
                <w:szCs w:val="10"/>
                <w:color w:val="auto"/>
              </w:rPr>
            </w:pPr>
          </w:p>
        </w:tc>
        <w:tc>
          <w:tcPr>
            <w:tcW w:w="216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ADDRESSES</w:t>
            </w:r>
          </w:p>
        </w:tc>
        <w:tc>
          <w:tcPr>
            <w:tcW w:w="182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right w:val="single" w:sz="8" w:color="auto"/>
            </w:tcBorders>
            <w:shd w:val="clear" w:color="auto" w:fill="E0E0E0"/>
          </w:tcPr>
          <w:p>
            <w:pPr>
              <w:spacing w:after="0"/>
              <w:rPr>
                <w:sz w:val="13"/>
                <w:szCs w:val="13"/>
                <w:color w:val="auto"/>
              </w:rPr>
            </w:pPr>
          </w:p>
        </w:tc>
        <w:tc>
          <w:tcPr>
            <w:tcW w:w="1660" w:type="dxa"/>
            <w:vAlign w:val="bottom"/>
            <w:tcBorders>
              <w:right w:val="single" w:sz="8" w:color="auto"/>
            </w:tcBorders>
            <w:vMerge w:val="continue"/>
            <w:shd w:val="clear" w:color="auto" w:fill="E0E0E0"/>
          </w:tcPr>
          <w:p>
            <w:pPr>
              <w:spacing w:after="0"/>
              <w:rPr>
                <w:sz w:val="13"/>
                <w:szCs w:val="13"/>
                <w:color w:val="auto"/>
              </w:rPr>
            </w:pPr>
          </w:p>
        </w:tc>
        <w:tc>
          <w:tcPr>
            <w:tcW w:w="2360" w:type="dxa"/>
            <w:vAlign w:val="bottom"/>
            <w:tcBorders>
              <w:right w:val="single" w:sz="8" w:color="auto"/>
            </w:tcBorders>
            <w:shd w:val="clear" w:color="auto" w:fill="E0E0E0"/>
          </w:tcPr>
          <w:p>
            <w:pPr>
              <w:spacing w:after="0"/>
              <w:rPr>
                <w:sz w:val="13"/>
                <w:szCs w:val="13"/>
                <w:color w:val="auto"/>
              </w:rPr>
            </w:pPr>
          </w:p>
        </w:tc>
        <w:tc>
          <w:tcPr>
            <w:tcW w:w="2160" w:type="dxa"/>
            <w:vAlign w:val="bottom"/>
            <w:tcBorders>
              <w:right w:val="single" w:sz="8" w:color="auto"/>
            </w:tcBorders>
            <w:vMerge w:val="continue"/>
            <w:shd w:val="clear" w:color="auto" w:fill="E0E0E0"/>
          </w:tcPr>
          <w:p>
            <w:pPr>
              <w:spacing w:after="0"/>
              <w:rPr>
                <w:sz w:val="13"/>
                <w:szCs w:val="13"/>
                <w:color w:val="auto"/>
              </w:rPr>
            </w:pPr>
          </w:p>
        </w:tc>
        <w:tc>
          <w:tcPr>
            <w:tcW w:w="182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08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660" w:type="dxa"/>
            <w:vAlign w:val="bottom"/>
            <w:tcBorders>
              <w:bottom w:val="single" w:sz="8" w:color="auto"/>
              <w:right w:val="single" w:sz="8" w:color="auto"/>
            </w:tcBorders>
            <w:shd w:val="clear" w:color="auto" w:fill="E0E0E0"/>
          </w:tcPr>
          <w:p>
            <w:pPr>
              <w:spacing w:after="0"/>
              <w:rPr>
                <w:sz w:val="11"/>
                <w:szCs w:val="11"/>
                <w:color w:val="auto"/>
              </w:rPr>
            </w:pPr>
          </w:p>
        </w:tc>
        <w:tc>
          <w:tcPr>
            <w:tcW w:w="2360" w:type="dxa"/>
            <w:vAlign w:val="bottom"/>
            <w:tcBorders>
              <w:bottom w:val="single" w:sz="8" w:color="auto"/>
              <w:right w:val="single" w:sz="8" w:color="auto"/>
            </w:tcBorders>
            <w:shd w:val="clear" w:color="auto" w:fill="E0E0E0"/>
          </w:tcPr>
          <w:p>
            <w:pPr>
              <w:spacing w:after="0"/>
              <w:rPr>
                <w:sz w:val="11"/>
                <w:szCs w:val="11"/>
                <w:color w:val="auto"/>
              </w:rPr>
            </w:pPr>
          </w:p>
        </w:tc>
        <w:tc>
          <w:tcPr>
            <w:tcW w:w="2160" w:type="dxa"/>
            <w:vAlign w:val="bottom"/>
            <w:tcBorders>
              <w:bottom w:val="single" w:sz="8" w:color="auto"/>
              <w:right w:val="single" w:sz="8" w:color="auto"/>
            </w:tcBorders>
            <w:shd w:val="clear" w:color="auto" w:fill="E0E0E0"/>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08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2010 N. Forbes Blvd,</w:t>
            </w:r>
          </w:p>
        </w:tc>
        <w:tc>
          <w:tcPr>
            <w:tcW w:w="216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1830 W. Copper St.,</w:t>
            </w: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Ste 103</w:t>
            </w:r>
          </w:p>
        </w:tc>
        <w:tc>
          <w:tcPr>
            <w:tcW w:w="21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Tucson, Arizona</w:t>
            </w: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8"/>
              </w:rPr>
              <w:t>Tucson, Arizona 85745</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85745</w:t>
            </w: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8920 Adams NE, Ste A</w:t>
            </w: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4516 Anaheim NE</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Albuquerque, New</w:t>
            </w: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8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Albuquerque, New</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Mexico 87113</w:t>
            </w:r>
          </w:p>
        </w:tc>
        <w:tc>
          <w:tcPr>
            <w:tcW w:w="216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Mexico 85226</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2655 Fortune Circle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9"/>
              </w:rPr>
              <w:t>Comfort Systems</w:t>
            </w: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West, Suite E,</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Strategic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USA National</w:t>
            </w: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Indianapolis, Indiana</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Accounts, LLC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Accounts, LLC</w:t>
            </w:r>
          </w:p>
        </w:tc>
        <w:tc>
          <w:tcPr>
            <w:tcW w:w="0" w:type="dxa"/>
            <w:vAlign w:val="bottom"/>
          </w:tcPr>
          <w:p>
            <w:pPr>
              <w:spacing w:after="0"/>
              <w:rPr>
                <w:sz w:val="1"/>
                <w:szCs w:val="1"/>
                <w:color w:val="auto"/>
              </w:rPr>
            </w:pPr>
          </w:p>
        </w:tc>
      </w:tr>
      <w:tr>
        <w:trPr>
          <w:trHeight w:val="153"/>
        </w:trPr>
        <w:tc>
          <w:tcPr>
            <w:tcW w:w="20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46241</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Armani Plumbing</w:t>
            </w:r>
          </w:p>
        </w:tc>
        <w:tc>
          <w:tcPr>
            <w:tcW w:w="0" w:type="dxa"/>
            <w:vAlign w:val="bottom"/>
          </w:tcPr>
          <w:p>
            <w:pPr>
              <w:spacing w:after="0"/>
              <w:rPr>
                <w:sz w:val="1"/>
                <w:szCs w:val="1"/>
                <w:color w:val="auto"/>
              </w:rPr>
            </w:pPr>
          </w:p>
        </w:tc>
      </w:tr>
      <w:tr>
        <w:trPr>
          <w:trHeight w:val="275"/>
        </w:trPr>
        <w:tc>
          <w:tcPr>
            <w:tcW w:w="2080" w:type="dxa"/>
            <w:vAlign w:val="bottom"/>
            <w:tcBorders>
              <w:left w:val="single" w:sz="8" w:color="auto"/>
              <w:right w:val="single" w:sz="8" w:color="auto"/>
            </w:tcBorders>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236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&amp; Mechanical</w:t>
            </w:r>
          </w:p>
        </w:tc>
        <w:tc>
          <w:tcPr>
            <w:tcW w:w="0" w:type="dxa"/>
            <w:vAlign w:val="bottom"/>
          </w:tcPr>
          <w:p>
            <w:pPr>
              <w:spacing w:after="0"/>
              <w:rPr>
                <w:sz w:val="1"/>
                <w:szCs w:val="1"/>
                <w:color w:val="auto"/>
              </w:rPr>
            </w:pPr>
          </w:p>
        </w:tc>
      </w:tr>
      <w:tr>
        <w:trPr>
          <w:trHeight w:val="266"/>
        </w:trPr>
        <w:tc>
          <w:tcPr>
            <w:tcW w:w="2080" w:type="dxa"/>
            <w:vAlign w:val="bottom"/>
            <w:tcBorders>
              <w:left w:val="single" w:sz="8" w:color="auto"/>
              <w:right w:val="single" w:sz="8" w:color="auto"/>
            </w:tcBorders>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236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ABJ Fire</w:t>
            </w: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6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3"/>
              </w:rPr>
              <w:t>6500 New Venture Gear</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Protection</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continue"/>
          </w:tcPr>
          <w:p>
            <w:pPr>
              <w:spacing w:after="0"/>
              <w:rPr>
                <w:sz w:val="12"/>
                <w:szCs w:val="12"/>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USA (Syracuse),</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Drive, East Syracuse,</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Woodcock &amp;</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660" w:type="dxa"/>
            <w:vAlign w:val="bottom"/>
            <w:tcBorders>
              <w:right w:val="single" w:sz="8" w:color="auto"/>
            </w:tcBorders>
            <w:vMerge w:val="continue"/>
          </w:tcPr>
          <w:p>
            <w:pPr>
              <w:spacing w:after="0"/>
              <w:rPr>
                <w:sz w:val="12"/>
                <w:szCs w:val="12"/>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New York 13057</w:t>
            </w:r>
          </w:p>
        </w:tc>
        <w:tc>
          <w:tcPr>
            <w:tcW w:w="21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Armani</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2080" w:type="dxa"/>
            <w:vAlign w:val="bottom"/>
            <w:tcBorders>
              <w:left w:val="single" w:sz="8" w:color="auto"/>
              <w:right w:val="single" w:sz="8" w:color="auto"/>
            </w:tcBorders>
          </w:tcPr>
          <w:p>
            <w:pPr>
              <w:spacing w:after="0"/>
              <w:rPr>
                <w:sz w:val="23"/>
                <w:szCs w:val="23"/>
                <w:color w:val="auto"/>
              </w:rPr>
            </w:pPr>
          </w:p>
        </w:tc>
        <w:tc>
          <w:tcPr>
            <w:tcW w:w="1660" w:type="dxa"/>
            <w:vAlign w:val="bottom"/>
            <w:tcBorders>
              <w:right w:val="single" w:sz="8" w:color="auto"/>
            </w:tcBorders>
          </w:tcPr>
          <w:p>
            <w:pPr>
              <w:spacing w:after="0"/>
              <w:rPr>
                <w:sz w:val="23"/>
                <w:szCs w:val="23"/>
                <w:color w:val="auto"/>
              </w:rPr>
            </w:pPr>
          </w:p>
        </w:tc>
        <w:tc>
          <w:tcPr>
            <w:tcW w:w="2360" w:type="dxa"/>
            <w:vAlign w:val="bottom"/>
            <w:tcBorders>
              <w:right w:val="single" w:sz="8" w:color="auto"/>
            </w:tcBorders>
          </w:tcPr>
          <w:p>
            <w:pPr>
              <w:spacing w:after="0"/>
              <w:rPr>
                <w:sz w:val="23"/>
                <w:szCs w:val="23"/>
                <w:color w:val="auto"/>
              </w:rPr>
            </w:pPr>
          </w:p>
        </w:tc>
        <w:tc>
          <w:tcPr>
            <w:tcW w:w="2160" w:type="dxa"/>
            <w:vAlign w:val="bottom"/>
            <w:tcBorders>
              <w:right w:val="single" w:sz="8" w:color="auto"/>
            </w:tcBorders>
          </w:tcPr>
          <w:p>
            <w:pPr>
              <w:spacing w:after="0"/>
              <w:rPr>
                <w:sz w:val="23"/>
                <w:szCs w:val="23"/>
                <w:color w:val="auto"/>
              </w:rPr>
            </w:pP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Billone</w:t>
            </w: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265"/>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Contractors</w:t>
            </w: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370 Summit Point Dr,</w:t>
            </w: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3543 Winton Place,</w:t>
            </w: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Ste 2</w:t>
            </w:r>
          </w:p>
        </w:tc>
        <w:tc>
          <w:tcPr>
            <w:tcW w:w="216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Suite 6</w:t>
            </w:r>
          </w:p>
        </w:tc>
        <w:tc>
          <w:tcPr>
            <w:tcW w:w="1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Henrietta, New York</w:t>
            </w:r>
          </w:p>
        </w:tc>
        <w:tc>
          <w:tcPr>
            <w:tcW w:w="216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8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7"/>
              </w:rPr>
              <w:t>Rochester, New York</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14467</w:t>
            </w:r>
          </w:p>
        </w:tc>
        <w:tc>
          <w:tcPr>
            <w:tcW w:w="216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14623</w:t>
            </w: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tcPr>
          <w:p>
            <w:pPr>
              <w:spacing w:after="0"/>
              <w:rPr>
                <w:sz w:val="12"/>
                <w:szCs w:val="12"/>
                <w:color w:val="auto"/>
              </w:rPr>
            </w:pPr>
          </w:p>
        </w:tc>
        <w:tc>
          <w:tcPr>
            <w:tcW w:w="1660" w:type="dxa"/>
            <w:vAlign w:val="bottom"/>
            <w:tcBorders>
              <w:right w:val="single" w:sz="8" w:color="auto"/>
            </w:tcBorders>
          </w:tcPr>
          <w:p>
            <w:pPr>
              <w:spacing w:after="0"/>
              <w:rPr>
                <w:sz w:val="12"/>
                <w:szCs w:val="12"/>
                <w:color w:val="auto"/>
              </w:rPr>
            </w:pPr>
          </w:p>
        </w:tc>
        <w:tc>
          <w:tcPr>
            <w:tcW w:w="2360" w:type="dxa"/>
            <w:vAlign w:val="bottom"/>
            <w:tcBorders>
              <w:right w:val="single" w:sz="8" w:color="auto"/>
            </w:tcBorders>
          </w:tcPr>
          <w:p>
            <w:pPr>
              <w:spacing w:after="0"/>
              <w:rPr>
                <w:sz w:val="12"/>
                <w:szCs w:val="12"/>
                <w:color w:val="auto"/>
              </w:rPr>
            </w:pPr>
          </w:p>
        </w:tc>
        <w:tc>
          <w:tcPr>
            <w:tcW w:w="216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80" w:type="dxa"/>
            <w:vAlign w:val="bottom"/>
            <w:tcBorders>
              <w:left w:val="single" w:sz="8" w:color="auto"/>
              <w:bottom w:val="single" w:sz="8" w:color="auto"/>
              <w:right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Comfort Systems</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675 Bering Drive, Suite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400, Houston, Texas</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USA (Texas), L.P.</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80" w:type="dxa"/>
            <w:vAlign w:val="bottom"/>
            <w:tcBorders>
              <w:left w:val="single" w:sz="8" w:color="auto"/>
              <w:right w:val="single" w:sz="8" w:color="auto"/>
            </w:tcBorders>
            <w:vMerge w:val="continue"/>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77057</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80" w:type="dxa"/>
            <w:vAlign w:val="bottom"/>
            <w:tcBorders>
              <w:left w:val="single" w:sz="8" w:color="auto"/>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206 Reece Way Ste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Conserv Building</w:t>
            </w: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1542</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Conserv Building</w:t>
            </w: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Services, LLC</w:t>
            </w: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Casselberry, Florida</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Services, Inc.</w:t>
            </w:r>
          </w:p>
        </w:tc>
        <w:tc>
          <w:tcPr>
            <w:tcW w:w="0" w:type="dxa"/>
            <w:vAlign w:val="bottom"/>
          </w:tcPr>
          <w:p>
            <w:pPr>
              <w:spacing w:after="0"/>
              <w:rPr>
                <w:sz w:val="1"/>
                <w:szCs w:val="1"/>
                <w:color w:val="auto"/>
              </w:rPr>
            </w:pPr>
          </w:p>
        </w:tc>
      </w:tr>
      <w:tr>
        <w:trPr>
          <w:trHeight w:val="265"/>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32707</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5030 NW 109</w:t>
            </w:r>
            <w:r>
              <w:rPr>
                <w:rFonts w:ascii="Arial" w:cs="Arial" w:eastAsia="Arial" w:hAnsi="Arial"/>
                <w:sz w:val="10"/>
                <w:szCs w:val="10"/>
                <w:color w:val="auto"/>
                <w:w w:val="95"/>
              </w:rPr>
              <w:t>th</w:t>
            </w:r>
            <w:r>
              <w:rPr>
                <w:rFonts w:ascii="Arial" w:cs="Arial" w:eastAsia="Arial" w:hAnsi="Arial"/>
                <w:sz w:val="22"/>
                <w:szCs w:val="22"/>
                <w:color w:val="auto"/>
                <w:w w:val="95"/>
              </w:rPr>
              <w:t xml:space="preserve"> Ave, Ste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Sunrise, Florida 33751</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8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5353 Ramona Blvd</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Jacksonville, Florida</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8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32205</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Section 5.13 of Schedule 5 – Page 8</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6" w:name="page157"/>
    <w:bookmarkEnd w:id="1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right w:val="single" w:sz="8" w:color="auto"/>
            </w:tcBorders>
            <w:shd w:val="clear" w:color="auto" w:fill="E0E0E0"/>
          </w:tcPr>
          <w:p>
            <w:pPr>
              <w:spacing w:after="0"/>
              <w:rPr>
                <w:sz w:val="19"/>
                <w:szCs w:val="19"/>
                <w:color w:val="auto"/>
              </w:rPr>
            </w:pPr>
          </w:p>
        </w:tc>
        <w:tc>
          <w:tcPr>
            <w:tcW w:w="168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2360" w:type="dxa"/>
            <w:vAlign w:val="bottom"/>
            <w:tcBorders>
              <w:top w:val="single" w:sz="8" w:color="auto"/>
              <w:right w:val="single" w:sz="8" w:color="auto"/>
            </w:tcBorders>
            <w:shd w:val="clear" w:color="auto" w:fill="E0E0E0"/>
          </w:tcPr>
          <w:p>
            <w:pPr>
              <w:spacing w:after="0"/>
              <w:rPr>
                <w:sz w:val="19"/>
                <w:szCs w:val="19"/>
                <w:color w:val="auto"/>
              </w:rPr>
            </w:pPr>
          </w:p>
        </w:tc>
        <w:tc>
          <w:tcPr>
            <w:tcW w:w="214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PRIOR</w:t>
            </w:r>
          </w:p>
        </w:tc>
        <w:tc>
          <w:tcPr>
            <w:tcW w:w="1820" w:type="dxa"/>
            <w:vAlign w:val="bottom"/>
            <w:tcBorders>
              <w:top w:val="single" w:sz="8" w:color="auto"/>
              <w:right w:val="single" w:sz="8" w:color="auto"/>
            </w:tcBorders>
            <w:shd w:val="clear" w:color="auto" w:fill="E0E0E0"/>
          </w:tcPr>
          <w:p>
            <w:pPr>
              <w:ind w:left="100"/>
              <w:spacing w:after="0" w:line="229" w:lineRule="exact"/>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restart"/>
            <w:shd w:val="clear" w:color="auto" w:fill="E0E0E0"/>
          </w:tcPr>
          <w:p>
            <w:pPr>
              <w:ind w:left="120"/>
              <w:spacing w:after="0" w:line="203" w:lineRule="exact"/>
              <w:rPr>
                <w:sz w:val="20"/>
                <w:szCs w:val="20"/>
                <w:color w:val="auto"/>
              </w:rPr>
            </w:pPr>
            <w:r>
              <w:rPr>
                <w:rFonts w:ascii="Arial" w:cs="Arial" w:eastAsia="Arial" w:hAnsi="Arial"/>
                <w:sz w:val="22"/>
                <w:szCs w:val="22"/>
                <w:b w:val="1"/>
                <w:bCs w:val="1"/>
                <w:color w:val="auto"/>
              </w:rPr>
              <w:t>ENTITY NAME</w:t>
            </w:r>
          </w:p>
        </w:tc>
        <w:tc>
          <w:tcPr>
            <w:tcW w:w="1680" w:type="dxa"/>
            <w:vAlign w:val="bottom"/>
            <w:tcBorders>
              <w:right w:val="single" w:sz="8" w:color="auto"/>
            </w:tcBorders>
            <w:vMerge w:val="continue"/>
            <w:shd w:val="clear" w:color="auto" w:fill="E0E0E0"/>
          </w:tcPr>
          <w:p>
            <w:pPr>
              <w:spacing w:after="0"/>
              <w:rPr>
                <w:sz w:val="8"/>
                <w:szCs w:val="8"/>
                <w:color w:val="auto"/>
              </w:rPr>
            </w:pPr>
          </w:p>
        </w:tc>
        <w:tc>
          <w:tcPr>
            <w:tcW w:w="2360" w:type="dxa"/>
            <w:vAlign w:val="bottom"/>
            <w:tcBorders>
              <w:right w:val="single" w:sz="8" w:color="auto"/>
            </w:tcBorders>
            <w:vMerge w:val="restart"/>
            <w:shd w:val="clear" w:color="auto" w:fill="E0E0E0"/>
          </w:tcPr>
          <w:p>
            <w:pPr>
              <w:ind w:left="80"/>
              <w:spacing w:after="0" w:line="203" w:lineRule="exact"/>
              <w:rPr>
                <w:sz w:val="20"/>
                <w:szCs w:val="20"/>
                <w:color w:val="auto"/>
              </w:rPr>
            </w:pPr>
            <w:r>
              <w:rPr>
                <w:rFonts w:ascii="Arial" w:cs="Arial" w:eastAsia="Arial" w:hAnsi="Arial"/>
                <w:sz w:val="22"/>
                <w:szCs w:val="22"/>
                <w:b w:val="1"/>
                <w:bCs w:val="1"/>
                <w:color w:val="auto"/>
              </w:rPr>
              <w:t>ADDRESS</w:t>
            </w:r>
          </w:p>
        </w:tc>
        <w:tc>
          <w:tcPr>
            <w:tcW w:w="2140" w:type="dxa"/>
            <w:vAlign w:val="bottom"/>
            <w:tcBorders>
              <w:right w:val="single" w:sz="8" w:color="auto"/>
            </w:tcBorders>
            <w:vMerge w:val="continue"/>
            <w:shd w:val="clear" w:color="auto" w:fill="E0E0E0"/>
          </w:tcPr>
          <w:p>
            <w:pPr>
              <w:spacing w:after="0"/>
              <w:rPr>
                <w:sz w:val="8"/>
                <w:szCs w:val="8"/>
                <w:color w:val="auto"/>
              </w:rPr>
            </w:pPr>
          </w:p>
        </w:tc>
        <w:tc>
          <w:tcPr>
            <w:tcW w:w="1820" w:type="dxa"/>
            <w:vAlign w:val="bottom"/>
            <w:tcBorders>
              <w:right w:val="single" w:sz="8" w:color="auto"/>
            </w:tcBorders>
            <w:vMerge w:val="restart"/>
            <w:shd w:val="clear" w:color="auto" w:fill="E0E0E0"/>
          </w:tcPr>
          <w:p>
            <w:pPr>
              <w:ind w:left="100"/>
              <w:spacing w:after="0" w:line="20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shd w:val="clear" w:color="auto" w:fill="E0E0E0"/>
          </w:tcPr>
          <w:p>
            <w:pPr>
              <w:spacing w:after="0"/>
              <w:rPr>
                <w:sz w:val="9"/>
                <w:szCs w:val="9"/>
                <w:color w:val="auto"/>
              </w:rPr>
            </w:pPr>
          </w:p>
        </w:tc>
        <w:tc>
          <w:tcPr>
            <w:tcW w:w="168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2360" w:type="dxa"/>
            <w:vAlign w:val="bottom"/>
            <w:tcBorders>
              <w:right w:val="single" w:sz="8" w:color="auto"/>
            </w:tcBorders>
            <w:vMerge w:val="continue"/>
            <w:shd w:val="clear" w:color="auto" w:fill="E0E0E0"/>
          </w:tcPr>
          <w:p>
            <w:pPr>
              <w:spacing w:after="0"/>
              <w:rPr>
                <w:sz w:val="9"/>
                <w:szCs w:val="9"/>
                <w:color w:val="auto"/>
              </w:rPr>
            </w:pPr>
          </w:p>
        </w:tc>
        <w:tc>
          <w:tcPr>
            <w:tcW w:w="214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ADDRESSES</w:t>
            </w:r>
          </w:p>
        </w:tc>
        <w:tc>
          <w:tcPr>
            <w:tcW w:w="1820" w:type="dxa"/>
            <w:vAlign w:val="bottom"/>
            <w:tcBorders>
              <w:right w:val="single" w:sz="8" w:color="auto"/>
            </w:tcBorders>
            <w:vMerge w:val="continue"/>
            <w:shd w:val="clear" w:color="auto" w:fill="E0E0E0"/>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80" w:type="dxa"/>
            <w:vAlign w:val="bottom"/>
            <w:tcBorders>
              <w:left w:val="single" w:sz="8" w:color="auto"/>
              <w:right w:val="single" w:sz="8" w:color="auto"/>
            </w:tcBorders>
            <w:shd w:val="clear" w:color="auto" w:fill="E0E0E0"/>
          </w:tcPr>
          <w:p>
            <w:pPr>
              <w:spacing w:after="0"/>
              <w:rPr>
                <w:sz w:val="15"/>
                <w:szCs w:val="15"/>
                <w:color w:val="auto"/>
              </w:rPr>
            </w:pPr>
          </w:p>
        </w:tc>
        <w:tc>
          <w:tcPr>
            <w:tcW w:w="1680" w:type="dxa"/>
            <w:vAlign w:val="bottom"/>
            <w:tcBorders>
              <w:right w:val="single" w:sz="8" w:color="auto"/>
            </w:tcBorders>
            <w:vMerge w:val="continue"/>
            <w:shd w:val="clear" w:color="auto" w:fill="E0E0E0"/>
          </w:tcPr>
          <w:p>
            <w:pPr>
              <w:spacing w:after="0"/>
              <w:rPr>
                <w:sz w:val="15"/>
                <w:szCs w:val="15"/>
                <w:color w:val="auto"/>
              </w:rPr>
            </w:pPr>
          </w:p>
        </w:tc>
        <w:tc>
          <w:tcPr>
            <w:tcW w:w="2360" w:type="dxa"/>
            <w:vAlign w:val="bottom"/>
            <w:tcBorders>
              <w:right w:val="single" w:sz="8" w:color="auto"/>
            </w:tcBorders>
            <w:shd w:val="clear" w:color="auto" w:fill="E0E0E0"/>
          </w:tcPr>
          <w:p>
            <w:pPr>
              <w:spacing w:after="0"/>
              <w:rPr>
                <w:sz w:val="15"/>
                <w:szCs w:val="15"/>
                <w:color w:val="auto"/>
              </w:rPr>
            </w:pPr>
          </w:p>
        </w:tc>
        <w:tc>
          <w:tcPr>
            <w:tcW w:w="2140" w:type="dxa"/>
            <w:vAlign w:val="bottom"/>
            <w:tcBorders>
              <w:right w:val="single" w:sz="8" w:color="auto"/>
            </w:tcBorders>
            <w:vMerge w:val="continue"/>
            <w:shd w:val="clear" w:color="auto" w:fill="E0E0E0"/>
          </w:tcPr>
          <w:p>
            <w:pPr>
              <w:spacing w:after="0"/>
              <w:rPr>
                <w:sz w:val="15"/>
                <w:szCs w:val="15"/>
                <w:color w:val="auto"/>
              </w:rPr>
            </w:pPr>
          </w:p>
        </w:tc>
        <w:tc>
          <w:tcPr>
            <w:tcW w:w="182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84"/>
        </w:trPr>
        <w:tc>
          <w:tcPr>
            <w:tcW w:w="2080" w:type="dxa"/>
            <w:vAlign w:val="bottom"/>
            <w:tcBorders>
              <w:left w:val="single" w:sz="8" w:color="auto"/>
              <w:bottom w:val="single" w:sz="8" w:color="auto"/>
              <w:right w:val="single" w:sz="8" w:color="auto"/>
            </w:tcBorders>
            <w:shd w:val="clear" w:color="auto" w:fill="E0E0E0"/>
          </w:tcPr>
          <w:p>
            <w:pPr>
              <w:spacing w:after="0"/>
              <w:rPr>
                <w:sz w:val="7"/>
                <w:szCs w:val="7"/>
                <w:color w:val="auto"/>
              </w:rPr>
            </w:pPr>
          </w:p>
        </w:tc>
        <w:tc>
          <w:tcPr>
            <w:tcW w:w="1680" w:type="dxa"/>
            <w:vAlign w:val="bottom"/>
            <w:tcBorders>
              <w:bottom w:val="single" w:sz="8" w:color="auto"/>
              <w:right w:val="single" w:sz="8" w:color="auto"/>
            </w:tcBorders>
            <w:shd w:val="clear" w:color="auto" w:fill="E0E0E0"/>
          </w:tcPr>
          <w:p>
            <w:pPr>
              <w:spacing w:after="0"/>
              <w:rPr>
                <w:sz w:val="7"/>
                <w:szCs w:val="7"/>
                <w:color w:val="auto"/>
              </w:rPr>
            </w:pPr>
          </w:p>
        </w:tc>
        <w:tc>
          <w:tcPr>
            <w:tcW w:w="2360" w:type="dxa"/>
            <w:vAlign w:val="bottom"/>
            <w:tcBorders>
              <w:bottom w:val="single" w:sz="8" w:color="auto"/>
              <w:right w:val="single" w:sz="8" w:color="auto"/>
            </w:tcBorders>
            <w:shd w:val="clear" w:color="auto" w:fill="E0E0E0"/>
          </w:tcPr>
          <w:p>
            <w:pPr>
              <w:spacing w:after="0"/>
              <w:rPr>
                <w:sz w:val="7"/>
                <w:szCs w:val="7"/>
                <w:color w:val="auto"/>
              </w:rPr>
            </w:pPr>
          </w:p>
        </w:tc>
        <w:tc>
          <w:tcPr>
            <w:tcW w:w="2140" w:type="dxa"/>
            <w:vAlign w:val="bottom"/>
            <w:tcBorders>
              <w:bottom w:val="single" w:sz="8" w:color="auto"/>
              <w:right w:val="single" w:sz="8" w:color="auto"/>
            </w:tcBorders>
            <w:shd w:val="clear" w:color="auto" w:fill="E0E0E0"/>
          </w:tcPr>
          <w:p>
            <w:pPr>
              <w:spacing w:after="0"/>
              <w:rPr>
                <w:sz w:val="7"/>
                <w:szCs w:val="7"/>
                <w:color w:val="auto"/>
              </w:rPr>
            </w:pPr>
          </w:p>
        </w:tc>
        <w:tc>
          <w:tcPr>
            <w:tcW w:w="1820" w:type="dxa"/>
            <w:vAlign w:val="bottom"/>
            <w:tcBorders>
              <w:bottom w:val="single" w:sz="8" w:color="auto"/>
              <w:right w:val="single" w:sz="8" w:color="auto"/>
            </w:tcBorders>
            <w:vMerge w:val="continue"/>
            <w:shd w:val="clear" w:color="auto" w:fill="E0E0E0"/>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5910 Breckenridge</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236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Pkwy Ste C</w:t>
            </w:r>
          </w:p>
        </w:tc>
        <w:tc>
          <w:tcPr>
            <w:tcW w:w="21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color w:val="auto"/>
              </w:rPr>
              <w:t>Tampa, Florida 33610</w:t>
            </w:r>
          </w:p>
        </w:tc>
        <w:tc>
          <w:tcPr>
            <w:tcW w:w="21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Conserv Building</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1025 County Road 6,</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Conserv Building</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22"/>
                <w:szCs w:val="22"/>
                <w:color w:val="auto"/>
              </w:rPr>
              <w:t>Services of</w:t>
            </w: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Piedmont, Alabama</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rPr>
              <w:t>Services of</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restart"/>
          </w:tcPr>
          <w:p>
            <w:pPr>
              <w:ind w:left="120"/>
              <w:spacing w:after="0" w:line="229" w:lineRule="exact"/>
              <w:rPr>
                <w:sz w:val="20"/>
                <w:szCs w:val="20"/>
                <w:color w:val="auto"/>
              </w:rPr>
            </w:pPr>
            <w:r>
              <w:rPr>
                <w:rFonts w:ascii="Arial" w:cs="Arial" w:eastAsia="Arial" w:hAnsi="Arial"/>
                <w:sz w:val="22"/>
                <w:szCs w:val="22"/>
                <w:color w:val="auto"/>
              </w:rPr>
              <w:t>Alabama, LLC</w:t>
            </w: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36272</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vMerge w:val="restart"/>
          </w:tcPr>
          <w:p>
            <w:pPr>
              <w:ind w:left="100"/>
              <w:spacing w:after="0" w:line="229" w:lineRule="exact"/>
              <w:rPr>
                <w:sz w:val="20"/>
                <w:szCs w:val="20"/>
                <w:color w:val="auto"/>
              </w:rPr>
            </w:pPr>
            <w:r>
              <w:rPr>
                <w:rFonts w:ascii="Arial" w:cs="Arial" w:eastAsia="Arial" w:hAnsi="Arial"/>
                <w:sz w:val="22"/>
                <w:szCs w:val="22"/>
                <w:color w:val="auto"/>
              </w:rPr>
              <w:t>Alabama, Inc.</w:t>
            </w: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Conserv Building</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456 Ethan Drive,</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Conserv Building</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22"/>
                <w:szCs w:val="22"/>
                <w:color w:val="auto"/>
                <w:w w:val="96"/>
              </w:rPr>
              <w:t>Services of Georgia,</w:t>
            </w: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Fayetteville, Georgia</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rPr>
              <w:t>Services of</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restart"/>
          </w:tcPr>
          <w:p>
            <w:pPr>
              <w:ind w:left="120"/>
              <w:spacing w:after="0" w:line="229" w:lineRule="exact"/>
              <w:rPr>
                <w:sz w:val="20"/>
                <w:szCs w:val="20"/>
                <w:color w:val="auto"/>
              </w:rPr>
            </w:pPr>
            <w:r>
              <w:rPr>
                <w:rFonts w:ascii="Arial" w:cs="Arial" w:eastAsia="Arial" w:hAnsi="Arial"/>
                <w:sz w:val="22"/>
                <w:szCs w:val="22"/>
                <w:color w:val="auto"/>
              </w:rPr>
              <w:t>LLC</w:t>
            </w: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30214</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vMerge w:val="restart"/>
          </w:tcPr>
          <w:p>
            <w:pPr>
              <w:ind w:left="100"/>
              <w:spacing w:after="0" w:line="229" w:lineRule="exact"/>
              <w:rPr>
                <w:sz w:val="20"/>
                <w:szCs w:val="20"/>
                <w:color w:val="auto"/>
              </w:rPr>
            </w:pPr>
            <w:r>
              <w:rPr>
                <w:rFonts w:ascii="Arial" w:cs="Arial" w:eastAsia="Arial" w:hAnsi="Arial"/>
                <w:sz w:val="22"/>
                <w:szCs w:val="22"/>
                <w:color w:val="auto"/>
              </w:rPr>
              <w:t>Georgia, Inc.</w:t>
            </w: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Conserv Building</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2803 Gray Fox Road,</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Conserv Building</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22"/>
                <w:szCs w:val="22"/>
                <w:color w:val="auto"/>
              </w:rPr>
              <w:t>Services of North</w:t>
            </w: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Indian Trail, North</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w w:val="99"/>
              </w:rPr>
              <w:t>Services of North</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restart"/>
          </w:tcPr>
          <w:p>
            <w:pPr>
              <w:ind w:left="120"/>
              <w:spacing w:after="0" w:line="229" w:lineRule="exact"/>
              <w:rPr>
                <w:sz w:val="20"/>
                <w:szCs w:val="20"/>
                <w:color w:val="auto"/>
              </w:rPr>
            </w:pPr>
            <w:r>
              <w:rPr>
                <w:rFonts w:ascii="Arial" w:cs="Arial" w:eastAsia="Arial" w:hAnsi="Arial"/>
                <w:sz w:val="22"/>
                <w:szCs w:val="22"/>
                <w:color w:val="auto"/>
              </w:rPr>
              <w:t>Carolina, LLC</w:t>
            </w: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Carolina 28079</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vMerge w:val="restart"/>
          </w:tcPr>
          <w:p>
            <w:pPr>
              <w:ind w:left="100"/>
              <w:spacing w:after="0" w:line="229" w:lineRule="exact"/>
              <w:rPr>
                <w:sz w:val="20"/>
                <w:szCs w:val="20"/>
                <w:color w:val="auto"/>
              </w:rPr>
            </w:pPr>
            <w:r>
              <w:rPr>
                <w:rFonts w:ascii="Arial" w:cs="Arial" w:eastAsia="Arial" w:hAnsi="Arial"/>
                <w:sz w:val="22"/>
                <w:szCs w:val="22"/>
                <w:color w:val="auto"/>
              </w:rPr>
              <w:t>Carolina, Inc.</w:t>
            </w: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1628 Ownby Lane</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236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Richmond, Virginia</w:t>
            </w:r>
          </w:p>
        </w:tc>
        <w:tc>
          <w:tcPr>
            <w:tcW w:w="21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color w:val="auto"/>
              </w:rPr>
              <w:t>23230</w:t>
            </w:r>
          </w:p>
        </w:tc>
        <w:tc>
          <w:tcPr>
            <w:tcW w:w="21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Conserv Building</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1330 Murfreesboro Pike</w:t>
            </w:r>
          </w:p>
        </w:tc>
        <w:tc>
          <w:tcPr>
            <w:tcW w:w="214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2845 Logan Street,</w:t>
            </w:r>
          </w:p>
        </w:tc>
        <w:tc>
          <w:tcPr>
            <w:tcW w:w="1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Conserv Building</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22"/>
                <w:szCs w:val="22"/>
                <w:color w:val="auto"/>
              </w:rPr>
              <w:t>Services of</w:t>
            </w: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Nashville, Tennessee</w:t>
            </w:r>
          </w:p>
        </w:tc>
        <w:tc>
          <w:tcPr>
            <w:tcW w:w="214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w w:val="96"/>
              </w:rPr>
              <w:t>Nashville, Tennessee</w:t>
            </w:r>
          </w:p>
        </w:tc>
        <w:tc>
          <w:tcPr>
            <w:tcW w:w="182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rPr>
              <w:t>Services of</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restart"/>
          </w:tcPr>
          <w:p>
            <w:pPr>
              <w:ind w:left="120"/>
              <w:spacing w:after="0" w:line="229" w:lineRule="exact"/>
              <w:rPr>
                <w:sz w:val="20"/>
                <w:szCs w:val="20"/>
                <w:color w:val="auto"/>
              </w:rPr>
            </w:pPr>
            <w:r>
              <w:rPr>
                <w:rFonts w:ascii="Arial" w:cs="Arial" w:eastAsia="Arial" w:hAnsi="Arial"/>
                <w:sz w:val="22"/>
                <w:szCs w:val="22"/>
                <w:color w:val="auto"/>
              </w:rPr>
              <w:t>Tennessee, LLC</w:t>
            </w: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37217</w:t>
            </w:r>
          </w:p>
        </w:tc>
        <w:tc>
          <w:tcPr>
            <w:tcW w:w="214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37211</w:t>
            </w:r>
          </w:p>
        </w:tc>
        <w:tc>
          <w:tcPr>
            <w:tcW w:w="1820" w:type="dxa"/>
            <w:vAlign w:val="bottom"/>
            <w:tcBorders>
              <w:right w:val="single" w:sz="8" w:color="auto"/>
            </w:tcBorders>
            <w:vMerge w:val="restart"/>
          </w:tcPr>
          <w:p>
            <w:pPr>
              <w:ind w:left="100"/>
              <w:spacing w:after="0" w:line="229" w:lineRule="exact"/>
              <w:rPr>
                <w:sz w:val="20"/>
                <w:szCs w:val="20"/>
                <w:color w:val="auto"/>
              </w:rPr>
            </w:pPr>
            <w:r>
              <w:rPr>
                <w:rFonts w:ascii="Arial" w:cs="Arial" w:eastAsia="Arial" w:hAnsi="Arial"/>
                <w:sz w:val="22"/>
                <w:szCs w:val="22"/>
                <w:color w:val="auto"/>
              </w:rPr>
              <w:t>Tennessee, Inc.</w:t>
            </w: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vMerge w:val="continue"/>
          </w:tcPr>
          <w:p>
            <w:pPr>
              <w:spacing w:after="0"/>
              <w:rPr>
                <w:sz w:val="5"/>
                <w:szCs w:val="5"/>
                <w:color w:val="auto"/>
              </w:rPr>
            </w:pPr>
          </w:p>
        </w:tc>
        <w:tc>
          <w:tcPr>
            <w:tcW w:w="18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ind w:left="120"/>
              <w:spacing w:after="0" w:line="169" w:lineRule="exact"/>
              <w:rPr>
                <w:sz w:val="20"/>
                <w:szCs w:val="20"/>
                <w:color w:val="auto"/>
              </w:rPr>
            </w:pPr>
            <w:r>
              <w:rPr>
                <w:rFonts w:ascii="Arial" w:cs="Arial" w:eastAsia="Arial" w:hAnsi="Arial"/>
                <w:sz w:val="19"/>
                <w:szCs w:val="19"/>
                <w:color w:val="auto"/>
              </w:rPr>
              <w:t>Conserv Building</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5301 Big Six Street,</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ind w:left="100"/>
              <w:spacing w:after="0" w:line="169" w:lineRule="exact"/>
              <w:rPr>
                <w:sz w:val="20"/>
                <w:szCs w:val="20"/>
                <w:color w:val="auto"/>
              </w:rPr>
            </w:pPr>
            <w:r>
              <w:rPr>
                <w:rFonts w:ascii="Arial" w:cs="Arial" w:eastAsia="Arial" w:hAnsi="Arial"/>
                <w:sz w:val="19"/>
                <w:szCs w:val="19"/>
                <w:color w:val="auto"/>
              </w:rPr>
              <w:t>Conserv Building</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22"/>
                <w:szCs w:val="22"/>
                <w:color w:val="auto"/>
              </w:rPr>
              <w:t>Services of Texas,</w:t>
            </w: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continue"/>
          </w:tcPr>
          <w:p>
            <w:pPr>
              <w:spacing w:after="0"/>
              <w:rPr>
                <w:sz w:val="8"/>
                <w:szCs w:val="8"/>
                <w:color w:val="auto"/>
              </w:rPr>
            </w:pP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w w:val="92"/>
              </w:rPr>
              <w:t>Services of Texas,</w:t>
            </w: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8"/>
              </w:rPr>
              <w:t>Alvarado, Texas 76009</w:t>
            </w: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restart"/>
          </w:tcPr>
          <w:p>
            <w:pPr>
              <w:ind w:left="120"/>
              <w:spacing w:after="0" w:line="229" w:lineRule="exact"/>
              <w:rPr>
                <w:sz w:val="20"/>
                <w:szCs w:val="20"/>
                <w:color w:val="auto"/>
              </w:rPr>
            </w:pPr>
            <w:r>
              <w:rPr>
                <w:rFonts w:ascii="Arial" w:cs="Arial" w:eastAsia="Arial" w:hAnsi="Arial"/>
                <w:sz w:val="22"/>
                <w:szCs w:val="22"/>
                <w:color w:val="auto"/>
              </w:rPr>
              <w:t>LLC</w:t>
            </w: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continue"/>
          </w:tcPr>
          <w:p>
            <w:pPr>
              <w:spacing w:after="0"/>
              <w:rPr>
                <w:sz w:val="14"/>
                <w:szCs w:val="14"/>
                <w:color w:val="auto"/>
              </w:rPr>
            </w:pP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vMerge w:val="restart"/>
          </w:tcPr>
          <w:p>
            <w:pPr>
              <w:ind w:left="100"/>
              <w:spacing w:after="0" w:line="229" w:lineRule="exact"/>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1918 Antoine Dr</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8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Houston, Texas 77055</w:t>
            </w:r>
          </w:p>
        </w:tc>
        <w:tc>
          <w:tcPr>
            <w:tcW w:w="214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80" w:type="dxa"/>
            <w:vAlign w:val="bottom"/>
            <w:tcBorders>
              <w:left w:val="single" w:sz="8" w:color="auto"/>
              <w:bottom w:val="single" w:sz="8" w:color="auto"/>
              <w:right w:val="single" w:sz="8" w:color="auto"/>
            </w:tcBorders>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vMerge w:val="continue"/>
          </w:tcPr>
          <w:p>
            <w:pPr>
              <w:spacing w:after="0"/>
              <w:rPr>
                <w:sz w:val="6"/>
                <w:szCs w:val="6"/>
                <w:color w:val="auto"/>
              </w:rPr>
            </w:pPr>
          </w:p>
        </w:tc>
        <w:tc>
          <w:tcPr>
            <w:tcW w:w="21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Control Concepts,</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3550 North Parkway,</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5"/>
              </w:rPr>
              <w:t>Control Concepts,</w:t>
            </w: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tcBorders>
              <w:right w:val="single" w:sz="8" w:color="auto"/>
            </w:tcBorders>
            <w:vMerge w:val="continue"/>
          </w:tcPr>
          <w:p>
            <w:pPr>
              <w:spacing w:after="0"/>
              <w:rPr>
                <w:sz w:val="17"/>
                <w:szCs w:val="17"/>
                <w:color w:val="auto"/>
              </w:rPr>
            </w:pPr>
          </w:p>
        </w:tc>
        <w:tc>
          <w:tcPr>
            <w:tcW w:w="236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Suite 100</w:t>
            </w:r>
          </w:p>
        </w:tc>
        <w:tc>
          <w:tcPr>
            <w:tcW w:w="21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auto"/>
              <w:right w:val="single" w:sz="8" w:color="auto"/>
            </w:tcBorders>
          </w:tcPr>
          <w:p>
            <w:pPr>
              <w:ind w:left="120"/>
              <w:spacing w:after="0" w:line="203" w:lineRule="exact"/>
              <w:rPr>
                <w:sz w:val="20"/>
                <w:szCs w:val="20"/>
                <w:color w:val="auto"/>
              </w:rPr>
            </w:pPr>
            <w:r>
              <w:rPr>
                <w:rFonts w:ascii="Arial" w:cs="Arial" w:eastAsia="Arial" w:hAnsi="Arial"/>
                <w:sz w:val="22"/>
                <w:szCs w:val="22"/>
                <w:color w:val="auto"/>
              </w:rPr>
              <w:t>LLC</w:t>
            </w:r>
          </w:p>
        </w:tc>
        <w:tc>
          <w:tcPr>
            <w:tcW w:w="168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tcPr>
          <w:p>
            <w:pPr>
              <w:ind w:left="80"/>
              <w:spacing w:after="0" w:line="203" w:lineRule="exact"/>
              <w:rPr>
                <w:sz w:val="20"/>
                <w:szCs w:val="20"/>
                <w:color w:val="auto"/>
              </w:rPr>
            </w:pPr>
            <w:r>
              <w:rPr>
                <w:rFonts w:ascii="Arial" w:cs="Arial" w:eastAsia="Arial" w:hAnsi="Arial"/>
                <w:sz w:val="22"/>
                <w:szCs w:val="22"/>
                <w:color w:val="auto"/>
              </w:rPr>
              <w:t>Cumming, Georgia</w:t>
            </w:r>
          </w:p>
        </w:tc>
        <w:tc>
          <w:tcPr>
            <w:tcW w:w="214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ind w:left="100"/>
              <w:spacing w:after="0" w:line="203" w:lineRule="exact"/>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230"/>
        </w:trPr>
        <w:tc>
          <w:tcPr>
            <w:tcW w:w="2080" w:type="dxa"/>
            <w:vAlign w:val="bottom"/>
            <w:tcBorders>
              <w:left w:val="single" w:sz="8" w:color="auto"/>
              <w:bottom w:val="single" w:sz="8" w:color="auto"/>
              <w:right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2360" w:type="dxa"/>
            <w:vAlign w:val="bottom"/>
            <w:tcBorders>
              <w:bottom w:val="single" w:sz="8" w:color="auto"/>
              <w:right w:val="single" w:sz="8" w:color="auto"/>
            </w:tcBorders>
          </w:tcPr>
          <w:p>
            <w:pPr>
              <w:ind w:left="80"/>
              <w:spacing w:after="0" w:line="229" w:lineRule="exact"/>
              <w:rPr>
                <w:sz w:val="20"/>
                <w:szCs w:val="20"/>
                <w:color w:val="auto"/>
              </w:rPr>
            </w:pPr>
            <w:r>
              <w:rPr>
                <w:rFonts w:ascii="Arial" w:cs="Arial" w:eastAsia="Arial" w:hAnsi="Arial"/>
                <w:sz w:val="22"/>
                <w:szCs w:val="22"/>
                <w:color w:val="auto"/>
              </w:rPr>
              <w:t>30040</w:t>
            </w:r>
          </w:p>
        </w:tc>
        <w:tc>
          <w:tcPr>
            <w:tcW w:w="214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Control Concepts</w:t>
            </w:r>
          </w:p>
        </w:tc>
        <w:tc>
          <w:tcPr>
            <w:tcW w:w="168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3550 North Parkway,</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8"/>
              </w:rPr>
              <w:t>Control Concepts</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Suite 100</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22"/>
                <w:szCs w:val="22"/>
                <w:color w:val="auto"/>
              </w:rPr>
              <w:t>Mechanical</w:t>
            </w:r>
          </w:p>
        </w:tc>
        <w:tc>
          <w:tcPr>
            <w:tcW w:w="168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Borders>
              <w:right w:val="single" w:sz="8" w:color="auto"/>
            </w:tcBorders>
            <w:vMerge w:val="restart"/>
          </w:tcPr>
          <w:p>
            <w:pPr>
              <w:ind w:left="100"/>
              <w:spacing w:after="0" w:line="203" w:lineRule="exact"/>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Cumming, Georgia</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Services, LLC</w:t>
            </w:r>
          </w:p>
        </w:tc>
        <w:tc>
          <w:tcPr>
            <w:tcW w:w="1680" w:type="dxa"/>
            <w:vAlign w:val="bottom"/>
            <w:tcBorders>
              <w:right w:val="single" w:sz="8" w:color="auto"/>
            </w:tcBorders>
            <w:vMerge w:val="continue"/>
          </w:tcPr>
          <w:p>
            <w:pPr>
              <w:spacing w:after="0"/>
              <w:rPr>
                <w:sz w:val="9"/>
                <w:szCs w:val="9"/>
                <w:color w:val="auto"/>
              </w:rPr>
            </w:pP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Services, Inc.</w:t>
            </w: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continue"/>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30040</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CS53 Acquisition</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675 Bering Drive, Suite</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400, Houston, Texas</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Corp.</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77057</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675 Bering Drive, Suite</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restart"/>
          </w:tcPr>
          <w:p>
            <w:pPr>
              <w:ind w:left="120"/>
              <w:spacing w:after="0" w:line="203" w:lineRule="exact"/>
              <w:rPr>
                <w:sz w:val="20"/>
                <w:szCs w:val="20"/>
                <w:color w:val="auto"/>
              </w:rPr>
            </w:pPr>
            <w:r>
              <w:rPr>
                <w:rFonts w:ascii="Arial" w:cs="Arial" w:eastAsia="Arial" w:hAnsi="Arial"/>
                <w:sz w:val="22"/>
                <w:szCs w:val="22"/>
                <w:color w:val="auto"/>
              </w:rPr>
              <w:t>CSUSA (10), LLC</w:t>
            </w: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400, Houston, Texas</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continue"/>
          </w:tcPr>
          <w:p>
            <w:pPr>
              <w:spacing w:after="0"/>
              <w:rPr>
                <w:sz w:val="9"/>
                <w:szCs w:val="9"/>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77057</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8"/>
              </w:rPr>
              <w:t>Delcard Associates,</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9"/>
                <w:szCs w:val="19"/>
                <w:color w:val="auto"/>
              </w:rPr>
              <w:t>675 Bering Drive, Suite</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8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ind w:left="80"/>
              <w:spacing w:after="0" w:line="203" w:lineRule="exact"/>
              <w:rPr>
                <w:sz w:val="20"/>
                <w:szCs w:val="20"/>
                <w:color w:val="auto"/>
              </w:rPr>
            </w:pPr>
            <w:r>
              <w:rPr>
                <w:rFonts w:ascii="Arial" w:cs="Arial" w:eastAsia="Arial" w:hAnsi="Arial"/>
                <w:sz w:val="22"/>
                <w:szCs w:val="22"/>
                <w:color w:val="auto"/>
              </w:rPr>
              <w:t>400, Houston, Texas</w:t>
            </w:r>
          </w:p>
        </w:tc>
        <w:tc>
          <w:tcPr>
            <w:tcW w:w="21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9"/>
                <w:szCs w:val="9"/>
                <w:color w:val="auto"/>
              </w:rPr>
            </w:pPr>
          </w:p>
        </w:tc>
        <w:tc>
          <w:tcPr>
            <w:tcW w:w="2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080" w:type="dxa"/>
            <w:vAlign w:val="bottom"/>
            <w:tcBorders>
              <w:left w:val="single" w:sz="8" w:color="auto"/>
              <w:right w:val="single" w:sz="8" w:color="auto"/>
            </w:tcBorders>
            <w:vMerge w:val="continue"/>
          </w:tcPr>
          <w:p>
            <w:pPr>
              <w:spacing w:after="0"/>
              <w:rPr>
                <w:sz w:val="14"/>
                <w:szCs w:val="14"/>
                <w:color w:val="auto"/>
              </w:rPr>
            </w:pPr>
          </w:p>
        </w:tc>
        <w:tc>
          <w:tcPr>
            <w:tcW w:w="1680" w:type="dxa"/>
            <w:vAlign w:val="bottom"/>
            <w:tcBorders>
              <w:right w:val="single" w:sz="8" w:color="auto"/>
            </w:tcBorders>
            <w:vMerge w:val="continue"/>
          </w:tcPr>
          <w:p>
            <w:pPr>
              <w:spacing w:after="0"/>
              <w:rPr>
                <w:sz w:val="14"/>
                <w:szCs w:val="14"/>
                <w:color w:val="auto"/>
              </w:rPr>
            </w:pPr>
          </w:p>
        </w:tc>
        <w:tc>
          <w:tcPr>
            <w:tcW w:w="2360" w:type="dxa"/>
            <w:vAlign w:val="bottom"/>
            <w:tcBorders>
              <w:right w:val="single" w:sz="8" w:color="auto"/>
            </w:tcBorders>
            <w:vMerge w:val="restart"/>
          </w:tcPr>
          <w:p>
            <w:pPr>
              <w:ind w:left="80"/>
              <w:spacing w:after="0" w:line="229" w:lineRule="exact"/>
              <w:rPr>
                <w:sz w:val="20"/>
                <w:szCs w:val="20"/>
                <w:color w:val="auto"/>
              </w:rPr>
            </w:pPr>
            <w:r>
              <w:rPr>
                <w:rFonts w:ascii="Arial" w:cs="Arial" w:eastAsia="Arial" w:hAnsi="Arial"/>
                <w:sz w:val="22"/>
                <w:szCs w:val="22"/>
                <w:color w:val="auto"/>
              </w:rPr>
              <w:t>77057</w:t>
            </w:r>
          </w:p>
        </w:tc>
        <w:tc>
          <w:tcPr>
            <w:tcW w:w="2140" w:type="dxa"/>
            <w:vAlign w:val="bottom"/>
            <w:tcBorders>
              <w:right w:val="single" w:sz="8" w:color="auto"/>
            </w:tcBorders>
          </w:tcPr>
          <w:p>
            <w:pPr>
              <w:spacing w:after="0"/>
              <w:rPr>
                <w:sz w:val="14"/>
                <w:szCs w:val="14"/>
                <w:color w:val="auto"/>
              </w:rPr>
            </w:pPr>
          </w:p>
        </w:tc>
        <w:tc>
          <w:tcPr>
            <w:tcW w:w="1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80" w:type="dxa"/>
            <w:vAlign w:val="bottom"/>
            <w:tcBorders>
              <w:left w:val="single" w:sz="8" w:color="auto"/>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vMerge w:val="continue"/>
          </w:tcPr>
          <w:p>
            <w:pPr>
              <w:spacing w:after="0"/>
              <w:rPr>
                <w:sz w:val="5"/>
                <w:szCs w:val="5"/>
                <w:color w:val="auto"/>
              </w:rPr>
            </w:pPr>
          </w:p>
        </w:tc>
        <w:tc>
          <w:tcPr>
            <w:tcW w:w="2140" w:type="dxa"/>
            <w:vAlign w:val="bottom"/>
            <w:tcBorders>
              <w:bottom w:val="single" w:sz="8" w:color="auto"/>
              <w:right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58"/>
        </w:trPr>
        <w:tc>
          <w:tcPr>
            <w:tcW w:w="2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Section 5.13 of Schedule 5 – Page 9</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7" w:name="page158"/>
    <w:bookmarkEnd w:id="1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460" w:type="dxa"/>
            <w:vAlign w:val="bottom"/>
            <w:tcBorders>
              <w:top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160" w:type="dxa"/>
            <w:vAlign w:val="bottom"/>
            <w:tcBorders>
              <w:top w:val="single" w:sz="8" w:color="auto"/>
              <w:right w:val="single" w:sz="8" w:color="auto"/>
            </w:tcBorders>
            <w:shd w:val="clear" w:color="auto" w:fill="E0E0E0"/>
          </w:tcPr>
          <w:p>
            <w:pPr>
              <w:spacing w:after="0"/>
              <w:rPr>
                <w:sz w:val="23"/>
                <w:szCs w:val="23"/>
                <w:color w:val="auto"/>
              </w:rPr>
            </w:pPr>
          </w:p>
        </w:tc>
        <w:tc>
          <w:tcPr>
            <w:tcW w:w="2320" w:type="dxa"/>
            <w:vAlign w:val="bottom"/>
            <w:tcBorders>
              <w:top w:val="single" w:sz="8" w:color="auto"/>
              <w:right w:val="single" w:sz="8" w:color="auto"/>
            </w:tcBorders>
            <w:shd w:val="clear" w:color="auto" w:fill="E0E0E0"/>
          </w:tcPr>
          <w:p>
            <w:pPr>
              <w:spacing w:after="0"/>
              <w:rPr>
                <w:sz w:val="23"/>
                <w:szCs w:val="23"/>
                <w:color w:val="auto"/>
              </w:rPr>
            </w:pPr>
          </w:p>
        </w:tc>
        <w:tc>
          <w:tcPr>
            <w:tcW w:w="210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PRIOR</w:t>
            </w:r>
          </w:p>
        </w:tc>
        <w:tc>
          <w:tcPr>
            <w:tcW w:w="186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460" w:type="dxa"/>
            <w:vAlign w:val="bottom"/>
            <w:vMerge w:val="continue"/>
            <w:shd w:val="clear" w:color="auto" w:fill="E0E0E0"/>
          </w:tcPr>
          <w:p>
            <w:pPr>
              <w:spacing w:after="0"/>
              <w:rPr>
                <w:sz w:val="10"/>
                <w:szCs w:val="10"/>
                <w:color w:val="auto"/>
              </w:rPr>
            </w:pPr>
          </w:p>
        </w:tc>
        <w:tc>
          <w:tcPr>
            <w:tcW w:w="160" w:type="dxa"/>
            <w:vAlign w:val="bottom"/>
            <w:tcBorders>
              <w:right w:val="single" w:sz="8" w:color="auto"/>
            </w:tcBorders>
            <w:shd w:val="clear" w:color="auto" w:fill="E0E0E0"/>
          </w:tcPr>
          <w:p>
            <w:pPr>
              <w:spacing w:after="0"/>
              <w:rPr>
                <w:sz w:val="10"/>
                <w:szCs w:val="10"/>
                <w:color w:val="auto"/>
              </w:rPr>
            </w:pPr>
          </w:p>
        </w:tc>
        <w:tc>
          <w:tcPr>
            <w:tcW w:w="232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100" w:type="dxa"/>
            <w:vAlign w:val="bottom"/>
            <w:tcBorders>
              <w:right w:val="single" w:sz="8" w:color="auto"/>
            </w:tcBorders>
            <w:vMerge w:val="continue"/>
            <w:shd w:val="clear" w:color="auto" w:fill="E0E0E0"/>
          </w:tcPr>
          <w:p>
            <w:pPr>
              <w:spacing w:after="0"/>
              <w:rPr>
                <w:sz w:val="10"/>
                <w:szCs w:val="10"/>
                <w:color w:val="auto"/>
              </w:rPr>
            </w:pPr>
          </w:p>
        </w:tc>
        <w:tc>
          <w:tcPr>
            <w:tcW w:w="186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460" w:type="dxa"/>
            <w:vAlign w:val="bottom"/>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160" w:type="dxa"/>
            <w:vAlign w:val="bottom"/>
            <w:tcBorders>
              <w:right w:val="single" w:sz="8" w:color="auto"/>
            </w:tcBorders>
            <w:shd w:val="clear" w:color="auto" w:fill="E0E0E0"/>
          </w:tcPr>
          <w:p>
            <w:pPr>
              <w:spacing w:after="0"/>
              <w:rPr>
                <w:sz w:val="10"/>
                <w:szCs w:val="10"/>
                <w:color w:val="auto"/>
              </w:rPr>
            </w:pPr>
          </w:p>
        </w:tc>
        <w:tc>
          <w:tcPr>
            <w:tcW w:w="2320" w:type="dxa"/>
            <w:vAlign w:val="bottom"/>
            <w:tcBorders>
              <w:right w:val="single" w:sz="8" w:color="auto"/>
            </w:tcBorders>
            <w:vMerge w:val="continue"/>
            <w:shd w:val="clear" w:color="auto" w:fill="E0E0E0"/>
          </w:tcPr>
          <w:p>
            <w:pPr>
              <w:spacing w:after="0"/>
              <w:rPr>
                <w:sz w:val="10"/>
                <w:szCs w:val="10"/>
                <w:color w:val="auto"/>
              </w:rPr>
            </w:pPr>
          </w:p>
        </w:tc>
        <w:tc>
          <w:tcPr>
            <w:tcW w:w="210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ADDRESSES</w:t>
            </w:r>
          </w:p>
        </w:tc>
        <w:tc>
          <w:tcPr>
            <w:tcW w:w="186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80" w:type="dxa"/>
            <w:vAlign w:val="bottom"/>
            <w:tcBorders>
              <w:left w:val="single" w:sz="8" w:color="auto"/>
              <w:right w:val="single" w:sz="8" w:color="auto"/>
            </w:tcBorders>
            <w:shd w:val="clear" w:color="auto" w:fill="E0E0E0"/>
          </w:tcPr>
          <w:p>
            <w:pPr>
              <w:spacing w:after="0"/>
              <w:rPr>
                <w:sz w:val="13"/>
                <w:szCs w:val="13"/>
                <w:color w:val="auto"/>
              </w:rPr>
            </w:pPr>
          </w:p>
        </w:tc>
        <w:tc>
          <w:tcPr>
            <w:tcW w:w="1460" w:type="dxa"/>
            <w:vAlign w:val="bottom"/>
            <w:vMerge w:val="continue"/>
            <w:shd w:val="clear" w:color="auto" w:fill="E0E0E0"/>
          </w:tcPr>
          <w:p>
            <w:pPr>
              <w:spacing w:after="0"/>
              <w:rPr>
                <w:sz w:val="13"/>
                <w:szCs w:val="13"/>
                <w:color w:val="auto"/>
              </w:rPr>
            </w:pPr>
          </w:p>
        </w:tc>
        <w:tc>
          <w:tcPr>
            <w:tcW w:w="160" w:type="dxa"/>
            <w:vAlign w:val="bottom"/>
            <w:tcBorders>
              <w:right w:val="single" w:sz="8" w:color="auto"/>
            </w:tcBorders>
            <w:shd w:val="clear" w:color="auto" w:fill="E0E0E0"/>
          </w:tcPr>
          <w:p>
            <w:pPr>
              <w:spacing w:after="0"/>
              <w:rPr>
                <w:sz w:val="13"/>
                <w:szCs w:val="13"/>
                <w:color w:val="auto"/>
              </w:rPr>
            </w:pPr>
          </w:p>
        </w:tc>
        <w:tc>
          <w:tcPr>
            <w:tcW w:w="2320" w:type="dxa"/>
            <w:vAlign w:val="bottom"/>
            <w:tcBorders>
              <w:right w:val="single" w:sz="8" w:color="auto"/>
            </w:tcBorders>
            <w:shd w:val="clear" w:color="auto" w:fill="E0E0E0"/>
          </w:tcPr>
          <w:p>
            <w:pPr>
              <w:spacing w:after="0"/>
              <w:rPr>
                <w:sz w:val="13"/>
                <w:szCs w:val="13"/>
                <w:color w:val="auto"/>
              </w:rPr>
            </w:pPr>
          </w:p>
        </w:tc>
        <w:tc>
          <w:tcPr>
            <w:tcW w:w="2100" w:type="dxa"/>
            <w:vAlign w:val="bottom"/>
            <w:tcBorders>
              <w:right w:val="single" w:sz="8" w:color="auto"/>
            </w:tcBorders>
            <w:vMerge w:val="continue"/>
            <w:shd w:val="clear" w:color="auto" w:fill="E0E0E0"/>
          </w:tcPr>
          <w:p>
            <w:pPr>
              <w:spacing w:after="0"/>
              <w:rPr>
                <w:sz w:val="13"/>
                <w:szCs w:val="13"/>
                <w:color w:val="auto"/>
              </w:rPr>
            </w:pPr>
          </w:p>
        </w:tc>
        <w:tc>
          <w:tcPr>
            <w:tcW w:w="186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8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460" w:type="dxa"/>
            <w:vAlign w:val="bottom"/>
            <w:tcBorders>
              <w:bottom w:val="single" w:sz="8" w:color="auto"/>
            </w:tcBorders>
            <w:shd w:val="clear" w:color="auto" w:fill="E0E0E0"/>
          </w:tcPr>
          <w:p>
            <w:pPr>
              <w:spacing w:after="0"/>
              <w:rPr>
                <w:sz w:val="11"/>
                <w:szCs w:val="11"/>
                <w:color w:val="auto"/>
              </w:rPr>
            </w:pPr>
          </w:p>
        </w:tc>
        <w:tc>
          <w:tcPr>
            <w:tcW w:w="160" w:type="dxa"/>
            <w:vAlign w:val="bottom"/>
            <w:tcBorders>
              <w:bottom w:val="single" w:sz="8" w:color="auto"/>
              <w:right w:val="single" w:sz="8" w:color="auto"/>
            </w:tcBorders>
            <w:shd w:val="clear" w:color="auto" w:fill="E0E0E0"/>
          </w:tcPr>
          <w:p>
            <w:pPr>
              <w:spacing w:after="0"/>
              <w:rPr>
                <w:sz w:val="11"/>
                <w:szCs w:val="11"/>
                <w:color w:val="auto"/>
              </w:rPr>
            </w:pPr>
          </w:p>
        </w:tc>
        <w:tc>
          <w:tcPr>
            <w:tcW w:w="2320" w:type="dxa"/>
            <w:vAlign w:val="bottom"/>
            <w:tcBorders>
              <w:bottom w:val="single" w:sz="8" w:color="auto"/>
              <w:right w:val="single" w:sz="8" w:color="auto"/>
            </w:tcBorders>
            <w:shd w:val="clear" w:color="auto" w:fill="E0E0E0"/>
          </w:tcPr>
          <w:p>
            <w:pPr>
              <w:spacing w:after="0"/>
              <w:rPr>
                <w:sz w:val="11"/>
                <w:szCs w:val="11"/>
                <w:color w:val="auto"/>
              </w:rPr>
            </w:pPr>
          </w:p>
        </w:tc>
        <w:tc>
          <w:tcPr>
            <w:tcW w:w="2100" w:type="dxa"/>
            <w:vAlign w:val="bottom"/>
            <w:tcBorders>
              <w:bottom w:val="single" w:sz="8" w:color="auto"/>
              <w:right w:val="single" w:sz="8" w:color="auto"/>
            </w:tcBorders>
            <w:shd w:val="clear" w:color="auto" w:fill="E0E0E0"/>
          </w:tcPr>
          <w:p>
            <w:pPr>
              <w:spacing w:after="0"/>
              <w:rPr>
                <w:sz w:val="11"/>
                <w:szCs w:val="11"/>
                <w:color w:val="auto"/>
              </w:rPr>
            </w:pPr>
          </w:p>
        </w:tc>
        <w:tc>
          <w:tcPr>
            <w:tcW w:w="186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180" w:type="dxa"/>
            <w:vAlign w:val="bottom"/>
            <w:tcBorders>
              <w:left w:val="single" w:sz="8" w:color="auto"/>
              <w:right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320" w:type="dxa"/>
            <w:vAlign w:val="bottom"/>
            <w:tcBorders>
              <w:right w:val="single" w:sz="8" w:color="auto"/>
            </w:tcBorders>
          </w:tcPr>
          <w:p>
            <w:pPr>
              <w:spacing w:after="0"/>
              <w:rPr>
                <w:sz w:val="19"/>
                <w:szCs w:val="19"/>
                <w:color w:val="auto"/>
              </w:rPr>
            </w:pPr>
          </w:p>
        </w:tc>
        <w:tc>
          <w:tcPr>
            <w:tcW w:w="210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Rocky Mountain</w:t>
            </w:r>
          </w:p>
        </w:tc>
        <w:tc>
          <w:tcPr>
            <w:tcW w:w="0" w:type="dxa"/>
            <w:vAlign w:val="bottom"/>
          </w:tcPr>
          <w:p>
            <w:pPr>
              <w:spacing w:after="0"/>
              <w:rPr>
                <w:sz w:val="1"/>
                <w:szCs w:val="1"/>
                <w:color w:val="auto"/>
              </w:rPr>
            </w:pPr>
          </w:p>
        </w:tc>
      </w:tr>
      <w:tr>
        <w:trPr>
          <w:trHeight w:val="243"/>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Design Mechanical</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16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312 CTC Blvd. Suite</w:t>
            </w:r>
          </w:p>
        </w:tc>
        <w:tc>
          <w:tcPr>
            <w:tcW w:w="21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9"/>
              </w:rPr>
              <w:t>168 CTC Blvd. Suite</w:t>
            </w:r>
          </w:p>
        </w:tc>
        <w:tc>
          <w:tcPr>
            <w:tcW w:w="18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9"/>
              </w:rPr>
              <w:t>D, Louisville, Colorado</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D, Louisville,</w:t>
            </w: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Systems, Inc.</w:t>
            </w: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Incorporated</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80027</w:t>
            </w: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Colorado 80027</w:t>
            </w: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Breckenridge</w:t>
            </w:r>
          </w:p>
        </w:tc>
        <w:tc>
          <w:tcPr>
            <w:tcW w:w="0" w:type="dxa"/>
            <w:vAlign w:val="bottom"/>
          </w:tcPr>
          <w:p>
            <w:pPr>
              <w:spacing w:after="0"/>
              <w:rPr>
                <w:sz w:val="1"/>
                <w:szCs w:val="1"/>
                <w:color w:val="auto"/>
              </w:rPr>
            </w:pPr>
          </w:p>
        </w:tc>
      </w:tr>
      <w:tr>
        <w:trPr>
          <w:trHeight w:val="117"/>
        </w:trPr>
        <w:tc>
          <w:tcPr>
            <w:tcW w:w="2180" w:type="dxa"/>
            <w:vAlign w:val="bottom"/>
            <w:tcBorders>
              <w:left w:val="single" w:sz="8" w:color="auto"/>
              <w:right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spacing w:after="0"/>
              <w:rPr>
                <w:sz w:val="23"/>
                <w:szCs w:val="23"/>
                <w:color w:val="auto"/>
              </w:rPr>
            </w:pPr>
          </w:p>
        </w:tc>
        <w:tc>
          <w:tcPr>
            <w:tcW w:w="210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Mechanical, Inc.</w:t>
            </w:r>
          </w:p>
        </w:tc>
        <w:tc>
          <w:tcPr>
            <w:tcW w:w="0" w:type="dxa"/>
            <w:vAlign w:val="bottom"/>
          </w:tcPr>
          <w:p>
            <w:pPr>
              <w:spacing w:after="0"/>
              <w:rPr>
                <w:sz w:val="1"/>
                <w:szCs w:val="1"/>
                <w:color w:val="auto"/>
              </w:rPr>
            </w:pPr>
          </w:p>
        </w:tc>
      </w:tr>
      <w:tr>
        <w:trPr>
          <w:trHeight w:val="458"/>
        </w:trPr>
        <w:tc>
          <w:tcPr>
            <w:tcW w:w="2180" w:type="dxa"/>
            <w:vAlign w:val="bottom"/>
            <w:tcBorders>
              <w:left w:val="single" w:sz="8" w:color="auto"/>
              <w:right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6"/>
              </w:rPr>
              <w:t>0068 Continental Court</w:t>
            </w:r>
          </w:p>
        </w:tc>
        <w:tc>
          <w:tcPr>
            <w:tcW w:w="2100" w:type="dxa"/>
            <w:vAlign w:val="bottom"/>
            <w:tcBorders>
              <w:right w:val="single" w:sz="8" w:color="auto"/>
            </w:tcBorders>
          </w:tcPr>
          <w:p>
            <w:pPr>
              <w:spacing w:after="0"/>
              <w:rPr>
                <w:sz w:val="24"/>
                <w:szCs w:val="24"/>
                <w:color w:val="auto"/>
              </w:rPr>
            </w:pPr>
          </w:p>
        </w:tc>
        <w:tc>
          <w:tcPr>
            <w:tcW w:w="18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80" w:type="dxa"/>
            <w:vAlign w:val="bottom"/>
            <w:tcBorders>
              <w:left w:val="single" w:sz="8" w:color="auto"/>
              <w:right w:val="single" w:sz="8" w:color="auto"/>
            </w:tcBorders>
          </w:tcPr>
          <w:p>
            <w:pPr>
              <w:spacing w:after="0"/>
              <w:rPr>
                <w:sz w:val="21"/>
                <w:szCs w:val="21"/>
                <w:color w:val="auto"/>
              </w:rPr>
            </w:pPr>
          </w:p>
        </w:tc>
        <w:tc>
          <w:tcPr>
            <w:tcW w:w="146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Spaces B-7 and B-8</w:t>
            </w:r>
          </w:p>
        </w:tc>
        <w:tc>
          <w:tcPr>
            <w:tcW w:w="21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Borders>
              <w:left w:val="single" w:sz="8" w:color="auto"/>
              <w:right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Breckenridge, Colorado</w:t>
            </w:r>
          </w:p>
        </w:tc>
        <w:tc>
          <w:tcPr>
            <w:tcW w:w="21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80424</w:t>
            </w:r>
          </w:p>
        </w:tc>
        <w:tc>
          <w:tcPr>
            <w:tcW w:w="210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8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951 Vallejo Street</w:t>
            </w:r>
          </w:p>
        </w:tc>
        <w:tc>
          <w:tcPr>
            <w:tcW w:w="21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tcBorders>
              <w:left w:val="single" w:sz="8" w:color="auto"/>
              <w:right w:val="single" w:sz="8" w:color="auto"/>
            </w:tcBorders>
          </w:tcPr>
          <w:p>
            <w:pPr>
              <w:spacing w:after="0"/>
              <w:rPr>
                <w:sz w:val="21"/>
                <w:szCs w:val="21"/>
                <w:color w:val="auto"/>
              </w:rPr>
            </w:pPr>
          </w:p>
        </w:tc>
        <w:tc>
          <w:tcPr>
            <w:tcW w:w="146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Denver, Colorado</w:t>
            </w:r>
          </w:p>
        </w:tc>
        <w:tc>
          <w:tcPr>
            <w:tcW w:w="21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80204</w:t>
            </w:r>
          </w:p>
        </w:tc>
        <w:tc>
          <w:tcPr>
            <w:tcW w:w="210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Dyna Ten</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1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4375 Diplomacy Road,</w:t>
            </w:r>
          </w:p>
        </w:tc>
        <w:tc>
          <w:tcPr>
            <w:tcW w:w="21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Fort Worth, Texas</w:t>
            </w:r>
          </w:p>
        </w:tc>
        <w:tc>
          <w:tcPr>
            <w:tcW w:w="21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Corporation</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76155</w:t>
            </w:r>
          </w:p>
        </w:tc>
        <w:tc>
          <w:tcPr>
            <w:tcW w:w="210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vMerge w:val="continue"/>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8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3575 Lone Star Circle</w:t>
            </w:r>
          </w:p>
        </w:tc>
        <w:tc>
          <w:tcPr>
            <w:tcW w:w="21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3935 Tarrant Main</w:t>
            </w: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Street</w:t>
            </w: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80" w:type="dxa"/>
            <w:vAlign w:val="bottom"/>
            <w:tcBorders>
              <w:left w:val="single" w:sz="8" w:color="auto"/>
              <w:right w:val="single" w:sz="8" w:color="auto"/>
            </w:tcBorders>
          </w:tcPr>
          <w:p>
            <w:pPr>
              <w:spacing w:after="0"/>
              <w:rPr>
                <w:sz w:val="10"/>
                <w:szCs w:val="10"/>
                <w:color w:val="auto"/>
              </w:rPr>
            </w:pPr>
          </w:p>
        </w:tc>
        <w:tc>
          <w:tcPr>
            <w:tcW w:w="1460" w:type="dxa"/>
            <w:vAlign w:val="bottom"/>
            <w:vMerge w:val="restart"/>
          </w:tcPr>
          <w:p>
            <w:pPr>
              <w:ind w:left="100"/>
              <w:spacing w:after="0" w:line="243" w:lineRule="exact"/>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Fort Worth, Texas</w:t>
            </w:r>
          </w:p>
        </w:tc>
        <w:tc>
          <w:tcPr>
            <w:tcW w:w="210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80" w:type="dxa"/>
            <w:vAlign w:val="bottom"/>
            <w:tcBorders>
              <w:left w:val="single" w:sz="8" w:color="auto"/>
              <w:right w:val="single" w:sz="8" w:color="auto"/>
            </w:tcBorders>
          </w:tcPr>
          <w:p>
            <w:pPr>
              <w:spacing w:after="0"/>
              <w:rPr>
                <w:sz w:val="10"/>
                <w:szCs w:val="10"/>
                <w:color w:val="auto"/>
              </w:rPr>
            </w:pPr>
          </w:p>
        </w:tc>
        <w:tc>
          <w:tcPr>
            <w:tcW w:w="14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Fort Worth, Texas</w:t>
            </w: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80" w:type="dxa"/>
            <w:vAlign w:val="bottom"/>
            <w:tcBorders>
              <w:left w:val="single" w:sz="8" w:color="auto"/>
              <w:right w:val="single" w:sz="8" w:color="auto"/>
            </w:tcBorders>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76177</w:t>
            </w:r>
          </w:p>
        </w:tc>
        <w:tc>
          <w:tcPr>
            <w:tcW w:w="21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80" w:type="dxa"/>
            <w:vAlign w:val="bottom"/>
            <w:tcBorders>
              <w:left w:val="single" w:sz="8" w:color="auto"/>
              <w:right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76040</w:t>
            </w: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80" w:type="dxa"/>
            <w:vAlign w:val="bottom"/>
            <w:tcBorders>
              <w:left w:val="single" w:sz="8" w:color="auto"/>
              <w:bottom w:val="single" w:sz="8" w:color="auto"/>
              <w:right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auto"/>
            </w:tcBorders>
          </w:tcPr>
          <w:p>
            <w:pPr>
              <w:spacing w:after="0"/>
              <w:rPr>
                <w:sz w:val="12"/>
                <w:szCs w:val="12"/>
                <w:color w:val="auto"/>
              </w:rPr>
            </w:pPr>
          </w:p>
        </w:tc>
        <w:tc>
          <w:tcPr>
            <w:tcW w:w="2320" w:type="dxa"/>
            <w:vAlign w:val="bottom"/>
            <w:tcBorders>
              <w:bottom w:val="single" w:sz="8" w:color="auto"/>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vMerge w:val="continue"/>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1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Dyna Ten</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1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4375 Diplomacy Road,</w:t>
            </w:r>
          </w:p>
        </w:tc>
        <w:tc>
          <w:tcPr>
            <w:tcW w:w="21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Maintenance</w:t>
            </w:r>
          </w:p>
        </w:tc>
        <w:tc>
          <w:tcPr>
            <w:tcW w:w="14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Fort Worth, Texas</w:t>
            </w:r>
          </w:p>
        </w:tc>
        <w:tc>
          <w:tcPr>
            <w:tcW w:w="21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Services, LLC</w:t>
            </w:r>
          </w:p>
        </w:tc>
        <w:tc>
          <w:tcPr>
            <w:tcW w:w="146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76155</w:t>
            </w:r>
          </w:p>
        </w:tc>
        <w:tc>
          <w:tcPr>
            <w:tcW w:w="210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vMerge w:val="continue"/>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Eastern Heating &amp;</w:t>
            </w:r>
          </w:p>
        </w:tc>
        <w:tc>
          <w:tcPr>
            <w:tcW w:w="1460" w:type="dxa"/>
            <w:vAlign w:val="bottom"/>
          </w:tcPr>
          <w:p>
            <w:pPr>
              <w:ind w:left="100"/>
              <w:spacing w:after="0" w:line="216" w:lineRule="exact"/>
              <w:rPr>
                <w:sz w:val="20"/>
                <w:szCs w:val="20"/>
                <w:color w:val="auto"/>
              </w:rPr>
            </w:pPr>
            <w:r>
              <w:rPr>
                <w:rFonts w:ascii="Arial" w:cs="Arial" w:eastAsia="Arial" w:hAnsi="Arial"/>
                <w:sz w:val="22"/>
                <w:szCs w:val="22"/>
                <w:color w:val="auto"/>
                <w:w w:val="92"/>
              </w:rPr>
              <w:t>Principal Place</w:t>
            </w:r>
          </w:p>
        </w:tc>
        <w:tc>
          <w:tcPr>
            <w:tcW w:w="1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880 Broadway, Albany,</w:t>
            </w:r>
          </w:p>
        </w:tc>
        <w:tc>
          <w:tcPr>
            <w:tcW w:w="21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Cooling, Inc.</w:t>
            </w: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of Business</w:t>
            </w:r>
          </w:p>
        </w:tc>
        <w:tc>
          <w:tcPr>
            <w:tcW w:w="160" w:type="dxa"/>
            <w:vAlign w:val="bottom"/>
            <w:tcBorders>
              <w:bottom w:val="single" w:sz="8" w:color="auto"/>
              <w:right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9"/>
              </w:rPr>
              <w:t>New York 12207-1316</w:t>
            </w:r>
          </w:p>
        </w:tc>
        <w:tc>
          <w:tcPr>
            <w:tcW w:w="210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8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w w:val="97"/>
              </w:rPr>
              <w:t>Eastern Refrigeration</w:t>
            </w:r>
          </w:p>
        </w:tc>
        <w:tc>
          <w:tcPr>
            <w:tcW w:w="1460" w:type="dxa"/>
            <w:vAlign w:val="bottom"/>
          </w:tcPr>
          <w:p>
            <w:pPr>
              <w:ind w:left="100"/>
              <w:spacing w:after="0" w:line="216" w:lineRule="exact"/>
              <w:rPr>
                <w:sz w:val="20"/>
                <w:szCs w:val="20"/>
                <w:color w:val="auto"/>
              </w:rPr>
            </w:pPr>
            <w:r>
              <w:rPr>
                <w:rFonts w:ascii="Arial" w:cs="Arial" w:eastAsia="Arial" w:hAnsi="Arial"/>
                <w:sz w:val="22"/>
                <w:szCs w:val="22"/>
                <w:color w:val="auto"/>
                <w:w w:val="92"/>
              </w:rPr>
              <w:t>Principal Place</w:t>
            </w:r>
          </w:p>
        </w:tc>
        <w:tc>
          <w:tcPr>
            <w:tcW w:w="1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880 Broadway, Albany,</w:t>
            </w:r>
          </w:p>
        </w:tc>
        <w:tc>
          <w:tcPr>
            <w:tcW w:w="21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 Inc.</w:t>
            </w: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of Business</w:t>
            </w:r>
          </w:p>
        </w:tc>
        <w:tc>
          <w:tcPr>
            <w:tcW w:w="160" w:type="dxa"/>
            <w:vAlign w:val="bottom"/>
            <w:tcBorders>
              <w:bottom w:val="single" w:sz="8" w:color="auto"/>
              <w:right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9"/>
              </w:rPr>
              <w:t>New York 12207-1316</w:t>
            </w:r>
          </w:p>
        </w:tc>
        <w:tc>
          <w:tcPr>
            <w:tcW w:w="210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Environmental Air</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16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521 Banner Avenue</w:t>
            </w:r>
          </w:p>
        </w:tc>
        <w:tc>
          <w:tcPr>
            <w:tcW w:w="21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EAS Holdings,</w:t>
            </w: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Greensboro, North</w:t>
            </w:r>
          </w:p>
        </w:tc>
        <w:tc>
          <w:tcPr>
            <w:tcW w:w="21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Systems, LLC</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160" w:type="dxa"/>
            <w:vAlign w:val="bottom"/>
            <w:tcBorders>
              <w:right w:val="single" w:sz="8" w:color="auto"/>
            </w:tcBorders>
          </w:tcPr>
          <w:p>
            <w:pPr>
              <w:spacing w:after="0"/>
              <w:rPr>
                <w:sz w:val="10"/>
                <w:szCs w:val="10"/>
                <w:color w:val="auto"/>
              </w:rPr>
            </w:pPr>
          </w:p>
        </w:tc>
        <w:tc>
          <w:tcPr>
            <w:tcW w:w="2320" w:type="dxa"/>
            <w:vAlign w:val="bottom"/>
            <w:tcBorders>
              <w:right w:val="single" w:sz="8" w:color="auto"/>
            </w:tcBorders>
            <w:vMerge w:val="continue"/>
          </w:tcPr>
          <w:p>
            <w:pPr>
              <w:spacing w:after="0"/>
              <w:rPr>
                <w:sz w:val="10"/>
                <w:szCs w:val="10"/>
                <w:color w:val="auto"/>
              </w:rPr>
            </w:pPr>
          </w:p>
        </w:tc>
        <w:tc>
          <w:tcPr>
            <w:tcW w:w="210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18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3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Carolina 27401</w:t>
            </w:r>
          </w:p>
        </w:tc>
        <w:tc>
          <w:tcPr>
            <w:tcW w:w="210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8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right w:val="single" w:sz="8" w:color="auto"/>
            </w:tcBorders>
            <w:vMerge w:val="continue"/>
          </w:tcPr>
          <w:p>
            <w:pPr>
              <w:spacing w:after="0"/>
              <w:rPr>
                <w:sz w:val="9"/>
                <w:szCs w:val="9"/>
                <w:color w:val="auto"/>
              </w:rPr>
            </w:pPr>
          </w:p>
        </w:tc>
        <w:tc>
          <w:tcPr>
            <w:tcW w:w="210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180" w:type="dxa"/>
            <w:vAlign w:val="bottom"/>
            <w:tcBorders>
              <w:left w:val="single" w:sz="8" w:color="auto"/>
              <w:right w:val="single" w:sz="8" w:color="auto"/>
            </w:tcBorders>
          </w:tcPr>
          <w:p>
            <w:pPr>
              <w:spacing w:after="0"/>
              <w:rPr>
                <w:sz w:val="23"/>
                <w:szCs w:val="23"/>
                <w:color w:val="auto"/>
              </w:rPr>
            </w:pP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16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531 Banner Avenue</w:t>
            </w:r>
          </w:p>
        </w:tc>
        <w:tc>
          <w:tcPr>
            <w:tcW w:w="2100" w:type="dxa"/>
            <w:vAlign w:val="bottom"/>
            <w:tcBorders>
              <w:right w:val="single" w:sz="8" w:color="auto"/>
            </w:tcBorders>
          </w:tcPr>
          <w:p>
            <w:pPr>
              <w:spacing w:after="0"/>
              <w:rPr>
                <w:sz w:val="23"/>
                <w:szCs w:val="23"/>
                <w:color w:val="auto"/>
              </w:rPr>
            </w:pPr>
          </w:p>
        </w:tc>
        <w:tc>
          <w:tcPr>
            <w:tcW w:w="18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180" w:type="dxa"/>
            <w:vAlign w:val="bottom"/>
            <w:tcBorders>
              <w:left w:val="single" w:sz="8" w:color="auto"/>
              <w:right w:val="single" w:sz="8" w:color="auto"/>
            </w:tcBorders>
          </w:tcPr>
          <w:p>
            <w:pPr>
              <w:spacing w:after="0"/>
              <w:rPr>
                <w:sz w:val="21"/>
                <w:szCs w:val="21"/>
                <w:color w:val="auto"/>
              </w:rPr>
            </w:pPr>
          </w:p>
        </w:tc>
        <w:tc>
          <w:tcPr>
            <w:tcW w:w="1460" w:type="dxa"/>
            <w:vAlign w:val="bottom"/>
            <w:vMerge w:val="continue"/>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232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rPr>
              <w:t>Greensboro, North</w:t>
            </w:r>
          </w:p>
        </w:tc>
        <w:tc>
          <w:tcPr>
            <w:tcW w:w="210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8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Carolina 27401</w:t>
            </w:r>
          </w:p>
        </w:tc>
        <w:tc>
          <w:tcPr>
            <w:tcW w:w="210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2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580" w:type="dxa"/>
            <w:vAlign w:val="bottom"/>
            <w:gridSpan w:val="3"/>
          </w:tcPr>
          <w:p>
            <w:pPr>
              <w:ind w:left="40"/>
              <w:spacing w:after="0"/>
              <w:rPr>
                <w:sz w:val="20"/>
                <w:szCs w:val="20"/>
                <w:color w:val="auto"/>
              </w:rPr>
            </w:pPr>
            <w:r>
              <w:rPr>
                <w:rFonts w:ascii="Arial" w:cs="Arial" w:eastAsia="Arial" w:hAnsi="Arial"/>
                <w:sz w:val="18"/>
                <w:szCs w:val="18"/>
                <w:color w:val="auto"/>
              </w:rPr>
              <w:t>Section 5.13 of Schedule 5 – Page 10</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58" w:name="page159"/>
    <w:bookmarkEnd w:id="1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0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68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2340" w:type="dxa"/>
            <w:vAlign w:val="bottom"/>
            <w:tcBorders>
              <w:top w:val="single" w:sz="8" w:color="auto"/>
              <w:right w:val="single" w:sz="8" w:color="auto"/>
            </w:tcBorders>
            <w:shd w:val="clear" w:color="auto" w:fill="E0E0E0"/>
          </w:tcPr>
          <w:p>
            <w:pPr>
              <w:spacing w:after="0"/>
              <w:rPr>
                <w:sz w:val="23"/>
                <w:szCs w:val="23"/>
                <w:color w:val="auto"/>
              </w:rPr>
            </w:pPr>
          </w:p>
        </w:tc>
        <w:tc>
          <w:tcPr>
            <w:tcW w:w="218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PRIOR</w:t>
            </w:r>
          </w:p>
        </w:tc>
        <w:tc>
          <w:tcPr>
            <w:tcW w:w="178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680" w:type="dxa"/>
            <w:vAlign w:val="bottom"/>
            <w:tcBorders>
              <w:right w:val="single" w:sz="8" w:color="auto"/>
            </w:tcBorders>
            <w:vMerge w:val="continue"/>
            <w:shd w:val="clear" w:color="auto" w:fill="E0E0E0"/>
          </w:tcPr>
          <w:p>
            <w:pPr>
              <w:spacing w:after="0"/>
              <w:rPr>
                <w:sz w:val="10"/>
                <w:szCs w:val="10"/>
                <w:color w:val="auto"/>
              </w:rPr>
            </w:pPr>
          </w:p>
        </w:tc>
        <w:tc>
          <w:tcPr>
            <w:tcW w:w="234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180" w:type="dxa"/>
            <w:vAlign w:val="bottom"/>
            <w:tcBorders>
              <w:right w:val="single" w:sz="8" w:color="auto"/>
            </w:tcBorders>
            <w:vMerge w:val="continue"/>
            <w:shd w:val="clear" w:color="auto" w:fill="E0E0E0"/>
          </w:tcPr>
          <w:p>
            <w:pPr>
              <w:spacing w:after="0"/>
              <w:rPr>
                <w:sz w:val="10"/>
                <w:szCs w:val="10"/>
                <w:color w:val="auto"/>
              </w:rPr>
            </w:pPr>
          </w:p>
        </w:tc>
        <w:tc>
          <w:tcPr>
            <w:tcW w:w="178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68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2340" w:type="dxa"/>
            <w:vAlign w:val="bottom"/>
            <w:tcBorders>
              <w:right w:val="single" w:sz="8" w:color="auto"/>
            </w:tcBorders>
            <w:vMerge w:val="continue"/>
            <w:shd w:val="clear" w:color="auto" w:fill="E0E0E0"/>
          </w:tcPr>
          <w:p>
            <w:pPr>
              <w:spacing w:after="0"/>
              <w:rPr>
                <w:sz w:val="10"/>
                <w:szCs w:val="10"/>
                <w:color w:val="auto"/>
              </w:rPr>
            </w:pPr>
          </w:p>
        </w:tc>
        <w:tc>
          <w:tcPr>
            <w:tcW w:w="218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ADDRESSES</w:t>
            </w:r>
          </w:p>
        </w:tc>
        <w:tc>
          <w:tcPr>
            <w:tcW w:w="178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00" w:type="dxa"/>
            <w:vAlign w:val="bottom"/>
            <w:tcBorders>
              <w:left w:val="single" w:sz="8" w:color="auto"/>
              <w:right w:val="single" w:sz="8" w:color="auto"/>
            </w:tcBorders>
            <w:shd w:val="clear" w:color="auto" w:fill="E0E0E0"/>
          </w:tcPr>
          <w:p>
            <w:pPr>
              <w:spacing w:after="0"/>
              <w:rPr>
                <w:sz w:val="13"/>
                <w:szCs w:val="13"/>
                <w:color w:val="auto"/>
              </w:rPr>
            </w:pPr>
          </w:p>
        </w:tc>
        <w:tc>
          <w:tcPr>
            <w:tcW w:w="1680" w:type="dxa"/>
            <w:vAlign w:val="bottom"/>
            <w:tcBorders>
              <w:right w:val="single" w:sz="8" w:color="auto"/>
            </w:tcBorders>
            <w:vMerge w:val="continue"/>
            <w:shd w:val="clear" w:color="auto" w:fill="E0E0E0"/>
          </w:tcPr>
          <w:p>
            <w:pPr>
              <w:spacing w:after="0"/>
              <w:rPr>
                <w:sz w:val="13"/>
                <w:szCs w:val="13"/>
                <w:color w:val="auto"/>
              </w:rPr>
            </w:pPr>
          </w:p>
        </w:tc>
        <w:tc>
          <w:tcPr>
            <w:tcW w:w="2340" w:type="dxa"/>
            <w:vAlign w:val="bottom"/>
            <w:tcBorders>
              <w:right w:val="single" w:sz="8" w:color="auto"/>
            </w:tcBorders>
            <w:shd w:val="clear" w:color="auto" w:fill="E0E0E0"/>
          </w:tcPr>
          <w:p>
            <w:pPr>
              <w:spacing w:after="0"/>
              <w:rPr>
                <w:sz w:val="13"/>
                <w:szCs w:val="13"/>
                <w:color w:val="auto"/>
              </w:rPr>
            </w:pPr>
          </w:p>
        </w:tc>
        <w:tc>
          <w:tcPr>
            <w:tcW w:w="2180" w:type="dxa"/>
            <w:vAlign w:val="bottom"/>
            <w:tcBorders>
              <w:right w:val="single" w:sz="8" w:color="auto"/>
            </w:tcBorders>
            <w:vMerge w:val="continue"/>
            <w:shd w:val="clear" w:color="auto" w:fill="E0E0E0"/>
          </w:tcPr>
          <w:p>
            <w:pPr>
              <w:spacing w:after="0"/>
              <w:rPr>
                <w:sz w:val="13"/>
                <w:szCs w:val="13"/>
                <w:color w:val="auto"/>
              </w:rPr>
            </w:pPr>
          </w:p>
        </w:tc>
        <w:tc>
          <w:tcPr>
            <w:tcW w:w="178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0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680" w:type="dxa"/>
            <w:vAlign w:val="bottom"/>
            <w:tcBorders>
              <w:bottom w:val="single" w:sz="8" w:color="auto"/>
              <w:right w:val="single" w:sz="8" w:color="auto"/>
            </w:tcBorders>
            <w:shd w:val="clear" w:color="auto" w:fill="E0E0E0"/>
          </w:tcPr>
          <w:p>
            <w:pPr>
              <w:spacing w:after="0"/>
              <w:rPr>
                <w:sz w:val="11"/>
                <w:szCs w:val="11"/>
                <w:color w:val="auto"/>
              </w:rPr>
            </w:pPr>
          </w:p>
        </w:tc>
        <w:tc>
          <w:tcPr>
            <w:tcW w:w="2340" w:type="dxa"/>
            <w:vAlign w:val="bottom"/>
            <w:tcBorders>
              <w:bottom w:val="single" w:sz="8" w:color="auto"/>
              <w:right w:val="single" w:sz="8" w:color="auto"/>
            </w:tcBorders>
            <w:shd w:val="clear" w:color="auto" w:fill="E0E0E0"/>
          </w:tcPr>
          <w:p>
            <w:pPr>
              <w:spacing w:after="0"/>
              <w:rPr>
                <w:sz w:val="11"/>
                <w:szCs w:val="11"/>
                <w:color w:val="auto"/>
              </w:rPr>
            </w:pPr>
          </w:p>
        </w:tc>
        <w:tc>
          <w:tcPr>
            <w:tcW w:w="2180" w:type="dxa"/>
            <w:vAlign w:val="bottom"/>
            <w:tcBorders>
              <w:bottom w:val="single" w:sz="8" w:color="auto"/>
              <w:right w:val="single" w:sz="8" w:color="auto"/>
            </w:tcBorders>
            <w:shd w:val="clear" w:color="auto" w:fill="E0E0E0"/>
          </w:tcPr>
          <w:p>
            <w:pPr>
              <w:spacing w:after="0"/>
              <w:rPr>
                <w:sz w:val="11"/>
                <w:szCs w:val="11"/>
                <w:color w:val="auto"/>
              </w:rPr>
            </w:pPr>
          </w:p>
        </w:tc>
        <w:tc>
          <w:tcPr>
            <w:tcW w:w="178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2100" w:type="dxa"/>
            <w:vAlign w:val="bottom"/>
            <w:tcBorders>
              <w:left w:val="single" w:sz="8" w:color="auto"/>
              <w:right w:val="single" w:sz="8" w:color="auto"/>
            </w:tcBorders>
          </w:tcPr>
          <w:p>
            <w:pPr>
              <w:spacing w:after="0"/>
              <w:rPr>
                <w:sz w:val="23"/>
                <w:szCs w:val="23"/>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8307 Triad Drive</w:t>
            </w:r>
          </w:p>
        </w:tc>
        <w:tc>
          <w:tcPr>
            <w:tcW w:w="218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tcPr>
          <w:p>
            <w:pPr>
              <w:spacing w:after="0"/>
              <w:rPr>
                <w:sz w:val="21"/>
                <w:szCs w:val="21"/>
                <w:color w:val="auto"/>
              </w:rPr>
            </w:pPr>
          </w:p>
        </w:tc>
        <w:tc>
          <w:tcPr>
            <w:tcW w:w="1680" w:type="dxa"/>
            <w:vAlign w:val="bottom"/>
            <w:tcBorders>
              <w:right w:val="single" w:sz="8" w:color="auto"/>
            </w:tcBorders>
            <w:vMerge w:val="continue"/>
          </w:tcPr>
          <w:p>
            <w:pPr>
              <w:spacing w:after="0"/>
              <w:rPr>
                <w:sz w:val="21"/>
                <w:szCs w:val="21"/>
                <w:color w:val="auto"/>
              </w:rPr>
            </w:pPr>
          </w:p>
        </w:tc>
        <w:tc>
          <w:tcPr>
            <w:tcW w:w="234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rPr>
              <w:t>Greensboro, North</w:t>
            </w:r>
          </w:p>
        </w:tc>
        <w:tc>
          <w:tcPr>
            <w:tcW w:w="21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Carolina 27409</w:t>
            </w:r>
          </w:p>
        </w:tc>
        <w:tc>
          <w:tcPr>
            <w:tcW w:w="218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5"/>
              </w:rPr>
              <w:t>623 McWay Drive West</w:t>
            </w:r>
          </w:p>
        </w:tc>
        <w:tc>
          <w:tcPr>
            <w:tcW w:w="218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tcPr>
          <w:p>
            <w:pPr>
              <w:spacing w:after="0"/>
              <w:rPr>
                <w:sz w:val="21"/>
                <w:szCs w:val="21"/>
                <w:color w:val="auto"/>
              </w:rPr>
            </w:pPr>
          </w:p>
        </w:tc>
        <w:tc>
          <w:tcPr>
            <w:tcW w:w="1680" w:type="dxa"/>
            <w:vAlign w:val="bottom"/>
            <w:tcBorders>
              <w:right w:val="single" w:sz="8" w:color="auto"/>
            </w:tcBorders>
            <w:vMerge w:val="continue"/>
          </w:tcPr>
          <w:p>
            <w:pPr>
              <w:spacing w:after="0"/>
              <w:rPr>
                <w:sz w:val="21"/>
                <w:szCs w:val="21"/>
                <w:color w:val="auto"/>
              </w:rPr>
            </w:pPr>
          </w:p>
        </w:tc>
        <w:tc>
          <w:tcPr>
            <w:tcW w:w="234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rPr>
              <w:t>High Point, North</w:t>
            </w:r>
          </w:p>
        </w:tc>
        <w:tc>
          <w:tcPr>
            <w:tcW w:w="21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Carolina 27409</w:t>
            </w:r>
          </w:p>
        </w:tc>
        <w:tc>
          <w:tcPr>
            <w:tcW w:w="218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3501 Jamac Road</w:t>
            </w:r>
          </w:p>
        </w:tc>
        <w:tc>
          <w:tcPr>
            <w:tcW w:w="218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tcPr>
          <w:p>
            <w:pPr>
              <w:spacing w:after="0"/>
              <w:rPr>
                <w:sz w:val="21"/>
                <w:szCs w:val="21"/>
                <w:color w:val="auto"/>
              </w:rPr>
            </w:pPr>
          </w:p>
        </w:tc>
        <w:tc>
          <w:tcPr>
            <w:tcW w:w="1680" w:type="dxa"/>
            <w:vAlign w:val="bottom"/>
            <w:tcBorders>
              <w:right w:val="single" w:sz="8" w:color="auto"/>
            </w:tcBorders>
            <w:vMerge w:val="continue"/>
          </w:tcPr>
          <w:p>
            <w:pPr>
              <w:spacing w:after="0"/>
              <w:rPr>
                <w:sz w:val="21"/>
                <w:szCs w:val="21"/>
                <w:color w:val="auto"/>
              </w:rPr>
            </w:pPr>
          </w:p>
        </w:tc>
        <w:tc>
          <w:tcPr>
            <w:tcW w:w="234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rPr>
              <w:t>High Point, North</w:t>
            </w:r>
          </w:p>
        </w:tc>
        <w:tc>
          <w:tcPr>
            <w:tcW w:w="21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Carolina 27260</w:t>
            </w:r>
          </w:p>
        </w:tc>
        <w:tc>
          <w:tcPr>
            <w:tcW w:w="218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100" w:type="dxa"/>
            <w:vAlign w:val="bottom"/>
            <w:tcBorders>
              <w:left w:val="single" w:sz="8" w:color="auto"/>
              <w:right w:val="single" w:sz="8" w:color="auto"/>
            </w:tcBorders>
          </w:tcPr>
          <w:p>
            <w:pPr>
              <w:spacing w:after="0"/>
              <w:rPr>
                <w:sz w:val="23"/>
                <w:szCs w:val="23"/>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525 Pylon Dr</w:t>
            </w:r>
          </w:p>
        </w:tc>
        <w:tc>
          <w:tcPr>
            <w:tcW w:w="218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6"/>
              </w:rPr>
              <w:t>525-B Uwharrie Court</w:t>
            </w:r>
          </w:p>
        </w:tc>
        <w:tc>
          <w:tcPr>
            <w:tcW w:w="1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100" w:type="dxa"/>
            <w:vAlign w:val="bottom"/>
            <w:tcBorders>
              <w:left w:val="single" w:sz="8" w:color="auto"/>
              <w:right w:val="single" w:sz="8" w:color="auto"/>
            </w:tcBorders>
          </w:tcPr>
          <w:p>
            <w:pPr>
              <w:spacing w:after="0"/>
              <w:rPr>
                <w:sz w:val="21"/>
                <w:szCs w:val="21"/>
                <w:color w:val="auto"/>
              </w:rPr>
            </w:pPr>
          </w:p>
        </w:tc>
        <w:tc>
          <w:tcPr>
            <w:tcW w:w="1680" w:type="dxa"/>
            <w:vAlign w:val="bottom"/>
            <w:tcBorders>
              <w:right w:val="single" w:sz="8" w:color="auto"/>
            </w:tcBorders>
            <w:vMerge w:val="continue"/>
          </w:tcPr>
          <w:p>
            <w:pPr>
              <w:spacing w:after="0"/>
              <w:rPr>
                <w:sz w:val="21"/>
                <w:szCs w:val="21"/>
                <w:color w:val="auto"/>
              </w:rPr>
            </w:pPr>
          </w:p>
        </w:tc>
        <w:tc>
          <w:tcPr>
            <w:tcW w:w="234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w w:val="96"/>
              </w:rPr>
              <w:t>Raleigh, North Carolina</w:t>
            </w:r>
          </w:p>
        </w:tc>
        <w:tc>
          <w:tcPr>
            <w:tcW w:w="2180" w:type="dxa"/>
            <w:vAlign w:val="bottom"/>
            <w:tcBorders>
              <w:right w:val="single" w:sz="8" w:color="auto"/>
            </w:tcBorders>
          </w:tcPr>
          <w:p>
            <w:pPr>
              <w:ind w:left="80"/>
              <w:spacing w:after="0" w:line="244" w:lineRule="exact"/>
              <w:rPr>
                <w:sz w:val="20"/>
                <w:szCs w:val="20"/>
                <w:color w:val="auto"/>
              </w:rPr>
            </w:pPr>
            <w:r>
              <w:rPr>
                <w:rFonts w:ascii="Arial" w:cs="Arial" w:eastAsia="Arial" w:hAnsi="Arial"/>
                <w:sz w:val="22"/>
                <w:szCs w:val="22"/>
                <w:color w:val="auto"/>
              </w:rPr>
              <w:t>Raleigh, North</w:t>
            </w: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25606</w:t>
            </w:r>
          </w:p>
        </w:tc>
        <w:tc>
          <w:tcPr>
            <w:tcW w:w="21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Carolina</w:t>
            </w:r>
          </w:p>
        </w:tc>
        <w:tc>
          <w:tcPr>
            <w:tcW w:w="1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7311 ACC Blvd</w:t>
            </w:r>
          </w:p>
        </w:tc>
        <w:tc>
          <w:tcPr>
            <w:tcW w:w="21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16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6"/>
              </w:rPr>
              <w:t>Raleigh, North Carolina</w:t>
            </w:r>
          </w:p>
        </w:tc>
        <w:tc>
          <w:tcPr>
            <w:tcW w:w="21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27617</w:t>
            </w:r>
          </w:p>
        </w:tc>
        <w:tc>
          <w:tcPr>
            <w:tcW w:w="218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532 North Main St</w:t>
            </w:r>
          </w:p>
        </w:tc>
        <w:tc>
          <w:tcPr>
            <w:tcW w:w="21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16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Winston-Salem, North</w:t>
            </w:r>
          </w:p>
        </w:tc>
        <w:tc>
          <w:tcPr>
            <w:tcW w:w="21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Carolina 27101</w:t>
            </w:r>
          </w:p>
        </w:tc>
        <w:tc>
          <w:tcPr>
            <w:tcW w:w="218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114 Landmark Drive</w:t>
            </w:r>
          </w:p>
        </w:tc>
        <w:tc>
          <w:tcPr>
            <w:tcW w:w="21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Envirotrol</w:t>
            </w: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Envirotrol, LLC</w:t>
            </w:r>
          </w:p>
        </w:tc>
        <w:tc>
          <w:tcPr>
            <w:tcW w:w="16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Greensboro, North</w:t>
            </w:r>
          </w:p>
        </w:tc>
        <w:tc>
          <w:tcPr>
            <w:tcW w:w="21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4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Holdings, LLC</w:t>
            </w: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tcPr>
          <w:p>
            <w:pPr>
              <w:spacing w:after="0"/>
              <w:rPr>
                <w:sz w:val="13"/>
                <w:szCs w:val="13"/>
                <w:color w:val="auto"/>
              </w:rPr>
            </w:pPr>
          </w:p>
        </w:tc>
        <w:tc>
          <w:tcPr>
            <w:tcW w:w="1680" w:type="dxa"/>
            <w:vAlign w:val="bottom"/>
            <w:tcBorders>
              <w:right w:val="single" w:sz="8" w:color="auto"/>
            </w:tcBorders>
            <w:vMerge w:val="continue"/>
          </w:tcPr>
          <w:p>
            <w:pPr>
              <w:spacing w:after="0"/>
              <w:rPr>
                <w:sz w:val="13"/>
                <w:szCs w:val="13"/>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Carolina 27409</w:t>
            </w:r>
          </w:p>
        </w:tc>
        <w:tc>
          <w:tcPr>
            <w:tcW w:w="218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 Marcus Dr Ste 303</w:t>
            </w:r>
          </w:p>
        </w:tc>
        <w:tc>
          <w:tcPr>
            <w:tcW w:w="21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7148 Cross County</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vMerge w:val="continue"/>
          </w:tcPr>
          <w:p>
            <w:pPr>
              <w:spacing w:after="0"/>
              <w:rPr>
                <w:sz w:val="12"/>
                <w:szCs w:val="12"/>
                <w:color w:val="auto"/>
              </w:rPr>
            </w:pP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Road</w:t>
            </w: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Greenville, South</w:t>
            </w:r>
          </w:p>
        </w:tc>
        <w:tc>
          <w:tcPr>
            <w:tcW w:w="218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0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North Charleston,</w:t>
            </w: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tcBorders>
              <w:left w:val="single" w:sz="8" w:color="auto"/>
              <w:right w:val="single" w:sz="8" w:color="auto"/>
            </w:tcBorders>
          </w:tcPr>
          <w:p>
            <w:pPr>
              <w:spacing w:after="0"/>
              <w:rPr>
                <w:sz w:val="12"/>
                <w:szCs w:val="12"/>
                <w:color w:val="auto"/>
              </w:rPr>
            </w:pPr>
          </w:p>
        </w:tc>
        <w:tc>
          <w:tcPr>
            <w:tcW w:w="1680" w:type="dxa"/>
            <w:vAlign w:val="bottom"/>
            <w:tcBorders>
              <w:right w:val="single" w:sz="8" w:color="auto"/>
            </w:tcBorders>
          </w:tcPr>
          <w:p>
            <w:pPr>
              <w:spacing w:after="0"/>
              <w:rPr>
                <w:sz w:val="12"/>
                <w:szCs w:val="12"/>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Carolina 29615</w:t>
            </w:r>
          </w:p>
        </w:tc>
        <w:tc>
          <w:tcPr>
            <w:tcW w:w="218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234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w w:val="96"/>
              </w:rPr>
              <w:t>South Carolina 29418</w:t>
            </w: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100" w:type="dxa"/>
            <w:vAlign w:val="bottom"/>
            <w:tcBorders>
              <w:left w:val="single" w:sz="8" w:color="auto"/>
              <w:bottom w:val="single" w:sz="8" w:color="auto"/>
              <w:right w:val="single" w:sz="8" w:color="auto"/>
            </w:tcBorders>
          </w:tcPr>
          <w:p>
            <w:pPr>
              <w:spacing w:after="0"/>
              <w:rPr>
                <w:sz w:val="12"/>
                <w:szCs w:val="12"/>
                <w:color w:val="auto"/>
              </w:rPr>
            </w:pPr>
          </w:p>
        </w:tc>
        <w:tc>
          <w:tcPr>
            <w:tcW w:w="1680" w:type="dxa"/>
            <w:vAlign w:val="bottom"/>
            <w:tcBorders>
              <w:bottom w:val="single" w:sz="8" w:color="auto"/>
              <w:right w:val="single" w:sz="8" w:color="auto"/>
            </w:tcBorders>
          </w:tcPr>
          <w:p>
            <w:pPr>
              <w:spacing w:after="0"/>
              <w:rPr>
                <w:sz w:val="12"/>
                <w:szCs w:val="12"/>
                <w:color w:val="auto"/>
              </w:rPr>
            </w:pPr>
          </w:p>
        </w:tc>
        <w:tc>
          <w:tcPr>
            <w:tcW w:w="2340" w:type="dxa"/>
            <w:vAlign w:val="bottom"/>
            <w:tcBorders>
              <w:bottom w:val="single" w:sz="8" w:color="auto"/>
              <w:right w:val="single" w:sz="8" w:color="auto"/>
            </w:tcBorders>
          </w:tcPr>
          <w:p>
            <w:pPr>
              <w:spacing w:after="0"/>
              <w:rPr>
                <w:sz w:val="12"/>
                <w:szCs w:val="12"/>
                <w:color w:val="auto"/>
              </w:rPr>
            </w:pPr>
          </w:p>
        </w:tc>
        <w:tc>
          <w:tcPr>
            <w:tcW w:w="2180" w:type="dxa"/>
            <w:vAlign w:val="bottom"/>
            <w:tcBorders>
              <w:bottom w:val="single" w:sz="8" w:color="auto"/>
              <w:right w:val="single" w:sz="8" w:color="auto"/>
            </w:tcBorders>
            <w:vMerge w:val="continue"/>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1600 Crossbeam Dr</w:t>
            </w:r>
          </w:p>
        </w:tc>
        <w:tc>
          <w:tcPr>
            <w:tcW w:w="21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00" w:type="dxa"/>
            <w:vAlign w:val="bottom"/>
            <w:tcBorders>
              <w:left w:val="single" w:sz="8" w:color="auto"/>
              <w:right w:val="single" w:sz="8" w:color="auto"/>
            </w:tcBorders>
          </w:tcPr>
          <w:p>
            <w:pPr>
              <w:spacing w:after="0"/>
              <w:rPr>
                <w:sz w:val="21"/>
                <w:szCs w:val="21"/>
                <w:color w:val="auto"/>
              </w:rPr>
            </w:pPr>
          </w:p>
        </w:tc>
        <w:tc>
          <w:tcPr>
            <w:tcW w:w="16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Satellite</w:t>
            </w:r>
          </w:p>
        </w:tc>
        <w:tc>
          <w:tcPr>
            <w:tcW w:w="23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Charlotte, North</w:t>
            </w:r>
          </w:p>
        </w:tc>
        <w:tc>
          <w:tcPr>
            <w:tcW w:w="21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00" w:type="dxa"/>
            <w:vAlign w:val="bottom"/>
            <w:tcBorders>
              <w:left w:val="single" w:sz="8" w:color="auto"/>
              <w:bottom w:val="single" w:sz="8" w:color="auto"/>
              <w:right w:val="single" w:sz="8" w:color="auto"/>
            </w:tcBorders>
          </w:tcPr>
          <w:p>
            <w:pPr>
              <w:spacing w:after="0"/>
              <w:rPr>
                <w:sz w:val="23"/>
                <w:szCs w:val="23"/>
                <w:color w:val="auto"/>
              </w:rPr>
            </w:pPr>
          </w:p>
        </w:tc>
        <w:tc>
          <w:tcPr>
            <w:tcW w:w="1680" w:type="dxa"/>
            <w:vAlign w:val="bottom"/>
            <w:tcBorders>
              <w:bottom w:val="single" w:sz="8" w:color="auto"/>
              <w:right w:val="single" w:sz="8" w:color="auto"/>
            </w:tcBorders>
          </w:tcPr>
          <w:p>
            <w:pPr>
              <w:spacing w:after="0"/>
              <w:rPr>
                <w:sz w:val="23"/>
                <w:szCs w:val="23"/>
                <w:color w:val="auto"/>
              </w:rPr>
            </w:pPr>
          </w:p>
        </w:tc>
        <w:tc>
          <w:tcPr>
            <w:tcW w:w="2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Carolina 28217</w:t>
            </w:r>
          </w:p>
        </w:tc>
        <w:tc>
          <w:tcPr>
            <w:tcW w:w="218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00" w:type="dxa"/>
            <w:vAlign w:val="bottom"/>
            <w:tcBorders>
              <w:left w:val="single" w:sz="8" w:color="auto"/>
              <w:right w:val="single" w:sz="8" w:color="auto"/>
            </w:tcBorders>
          </w:tcPr>
          <w:p>
            <w:pPr>
              <w:ind w:left="120"/>
              <w:spacing w:after="0" w:line="216" w:lineRule="exact"/>
              <w:rPr>
                <w:sz w:val="20"/>
                <w:szCs w:val="20"/>
                <w:color w:val="auto"/>
              </w:rPr>
            </w:pPr>
            <w:r>
              <w:rPr>
                <w:rFonts w:ascii="Arial" w:cs="Arial" w:eastAsia="Arial" w:hAnsi="Arial"/>
                <w:sz w:val="22"/>
                <w:szCs w:val="22"/>
                <w:color w:val="auto"/>
              </w:rPr>
              <w:t>Granite State</w:t>
            </w: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3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17 Oil Mill Road</w:t>
            </w:r>
          </w:p>
        </w:tc>
        <w:tc>
          <w:tcPr>
            <w:tcW w:w="21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5"/>
              </w:rPr>
              <w:t>10 N. Riverdale Road,</w:t>
            </w:r>
          </w:p>
        </w:tc>
        <w:tc>
          <w:tcPr>
            <w:tcW w:w="1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Holdings Company,</w:t>
            </w:r>
          </w:p>
        </w:tc>
        <w:tc>
          <w:tcPr>
            <w:tcW w:w="1680" w:type="dxa"/>
            <w:vAlign w:val="bottom"/>
            <w:tcBorders>
              <w:right w:val="single" w:sz="8" w:color="auto"/>
            </w:tcBorders>
            <w:vMerge w:val="continue"/>
          </w:tcPr>
          <w:p>
            <w:pPr>
              <w:spacing w:after="0"/>
              <w:rPr>
                <w:sz w:val="10"/>
                <w:szCs w:val="10"/>
                <w:color w:val="auto"/>
              </w:rPr>
            </w:pPr>
          </w:p>
        </w:tc>
        <w:tc>
          <w:tcPr>
            <w:tcW w:w="23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w w:val="94"/>
              </w:rPr>
              <w:t>Weare, New Hampshire</w:t>
            </w:r>
          </w:p>
        </w:tc>
        <w:tc>
          <w:tcPr>
            <w:tcW w:w="218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Weare, New</w:t>
            </w: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00" w:type="dxa"/>
            <w:vAlign w:val="bottom"/>
            <w:tcBorders>
              <w:left w:val="single" w:sz="8" w:color="auto"/>
              <w:right w:val="single" w:sz="8" w:color="auto"/>
            </w:tcBorders>
            <w:vMerge w:val="continue"/>
          </w:tcPr>
          <w:p>
            <w:pPr>
              <w:spacing w:after="0"/>
              <w:rPr>
                <w:sz w:val="10"/>
                <w:szCs w:val="10"/>
                <w:color w:val="auto"/>
              </w:rPr>
            </w:pPr>
          </w:p>
        </w:tc>
        <w:tc>
          <w:tcPr>
            <w:tcW w:w="16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340" w:type="dxa"/>
            <w:vAlign w:val="bottom"/>
            <w:tcBorders>
              <w:right w:val="single" w:sz="8" w:color="auto"/>
            </w:tcBorders>
            <w:vMerge w:val="continue"/>
          </w:tcPr>
          <w:p>
            <w:pPr>
              <w:spacing w:after="0"/>
              <w:rPr>
                <w:sz w:val="10"/>
                <w:szCs w:val="10"/>
                <w:color w:val="auto"/>
              </w:rPr>
            </w:pPr>
          </w:p>
        </w:tc>
        <w:tc>
          <w:tcPr>
            <w:tcW w:w="218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680" w:type="dxa"/>
            <w:vAlign w:val="bottom"/>
            <w:tcBorders>
              <w:right w:val="single" w:sz="8" w:color="auto"/>
            </w:tcBorders>
            <w:vMerge w:val="continue"/>
          </w:tcPr>
          <w:p>
            <w:pPr>
              <w:spacing w:after="0"/>
              <w:rPr>
                <w:sz w:val="13"/>
                <w:szCs w:val="13"/>
                <w:color w:val="auto"/>
              </w:rPr>
            </w:pPr>
          </w:p>
        </w:tc>
        <w:tc>
          <w:tcPr>
            <w:tcW w:w="23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03281</w:t>
            </w:r>
          </w:p>
        </w:tc>
        <w:tc>
          <w:tcPr>
            <w:tcW w:w="218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Hampshire 03281</w:t>
            </w:r>
          </w:p>
        </w:tc>
        <w:tc>
          <w:tcPr>
            <w:tcW w:w="1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vMerge w:val="continue"/>
          </w:tcPr>
          <w:p>
            <w:pPr>
              <w:spacing w:after="0"/>
              <w:rPr>
                <w:sz w:val="9"/>
                <w:szCs w:val="9"/>
                <w:color w:val="auto"/>
              </w:rPr>
            </w:pPr>
          </w:p>
        </w:tc>
        <w:tc>
          <w:tcPr>
            <w:tcW w:w="2180" w:type="dxa"/>
            <w:vAlign w:val="bottom"/>
            <w:tcBorders>
              <w:bottom w:val="single" w:sz="8" w:color="auto"/>
              <w:right w:val="single" w:sz="8" w:color="auto"/>
            </w:tcBorders>
            <w:vMerge w:val="continue"/>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5.13 of Schedule 5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159" w:name="page160"/>
    <w:bookmarkEnd w:id="159"/>
    <w:tbl>
      <w:tblPr>
        <w:tblLayout w:type="fixed"/>
        <w:tblInd w:w="10" w:type="dxa"/>
        <w:tblCellMar>
          <w:top w:w="0" w:type="dxa"/>
          <w:left w:w="0" w:type="dxa"/>
          <w:bottom w:w="0" w:type="dxa"/>
          <w:right w:w="0" w:type="dxa"/>
        </w:tblCellMar>
      </w:tblPr>
      <w:tr>
        <w:trPr>
          <w:trHeight w:val="270"/>
        </w:trPr>
        <w:tc>
          <w:tcPr>
            <w:tcW w:w="214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64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w:t>
            </w:r>
          </w:p>
        </w:tc>
        <w:tc>
          <w:tcPr>
            <w:tcW w:w="2280" w:type="dxa"/>
            <w:vAlign w:val="bottom"/>
            <w:tcBorders>
              <w:top w:val="single" w:sz="8" w:color="auto"/>
              <w:right w:val="single" w:sz="8" w:color="auto"/>
            </w:tcBorders>
            <w:shd w:val="clear" w:color="auto" w:fill="E0E0E0"/>
          </w:tcPr>
          <w:p>
            <w:pPr>
              <w:spacing w:after="0"/>
              <w:rPr>
                <w:sz w:val="23"/>
                <w:szCs w:val="23"/>
                <w:color w:val="auto"/>
              </w:rPr>
            </w:pPr>
          </w:p>
        </w:tc>
        <w:tc>
          <w:tcPr>
            <w:tcW w:w="214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188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640" w:type="dxa"/>
            <w:vAlign w:val="bottom"/>
            <w:tcBorders>
              <w:right w:val="single" w:sz="8" w:color="auto"/>
            </w:tcBorders>
            <w:vMerge w:val="continue"/>
            <w:shd w:val="clear" w:color="auto" w:fill="E0E0E0"/>
          </w:tcPr>
          <w:p>
            <w:pPr>
              <w:spacing w:after="0"/>
              <w:rPr>
                <w:sz w:val="10"/>
                <w:szCs w:val="10"/>
                <w:color w:val="auto"/>
              </w:rPr>
            </w:pPr>
          </w:p>
        </w:tc>
        <w:tc>
          <w:tcPr>
            <w:tcW w:w="228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140" w:type="dxa"/>
            <w:vAlign w:val="bottom"/>
            <w:tcBorders>
              <w:right w:val="single" w:sz="8" w:color="auto"/>
            </w:tcBorders>
            <w:vMerge w:val="continue"/>
            <w:shd w:val="clear" w:color="auto" w:fill="E0E0E0"/>
          </w:tcPr>
          <w:p>
            <w:pPr>
              <w:spacing w:after="0"/>
              <w:rPr>
                <w:sz w:val="10"/>
                <w:szCs w:val="10"/>
                <w:color w:val="auto"/>
              </w:rPr>
            </w:pPr>
          </w:p>
        </w:tc>
        <w:tc>
          <w:tcPr>
            <w:tcW w:w="188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64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TYPE</w:t>
            </w:r>
          </w:p>
        </w:tc>
        <w:tc>
          <w:tcPr>
            <w:tcW w:w="2280" w:type="dxa"/>
            <w:vAlign w:val="bottom"/>
            <w:tcBorders>
              <w:right w:val="single" w:sz="8" w:color="auto"/>
            </w:tcBorders>
            <w:vMerge w:val="continue"/>
            <w:shd w:val="clear" w:color="auto" w:fill="E0E0E0"/>
          </w:tcPr>
          <w:p>
            <w:pPr>
              <w:spacing w:after="0"/>
              <w:rPr>
                <w:sz w:val="10"/>
                <w:szCs w:val="10"/>
                <w:color w:val="auto"/>
              </w:rPr>
            </w:pPr>
          </w:p>
        </w:tc>
        <w:tc>
          <w:tcPr>
            <w:tcW w:w="214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ADDRESSES</w:t>
            </w:r>
          </w:p>
        </w:tc>
        <w:tc>
          <w:tcPr>
            <w:tcW w:w="188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40" w:type="dxa"/>
            <w:vAlign w:val="bottom"/>
            <w:tcBorders>
              <w:left w:val="single" w:sz="8" w:color="auto"/>
              <w:right w:val="single" w:sz="8" w:color="auto"/>
            </w:tcBorders>
            <w:shd w:val="clear" w:color="auto" w:fill="E0E0E0"/>
          </w:tcPr>
          <w:p>
            <w:pPr>
              <w:spacing w:after="0"/>
              <w:rPr>
                <w:sz w:val="13"/>
                <w:szCs w:val="13"/>
                <w:color w:val="auto"/>
              </w:rPr>
            </w:pPr>
          </w:p>
        </w:tc>
        <w:tc>
          <w:tcPr>
            <w:tcW w:w="1640" w:type="dxa"/>
            <w:vAlign w:val="bottom"/>
            <w:tcBorders>
              <w:right w:val="single" w:sz="8" w:color="auto"/>
            </w:tcBorders>
            <w:vMerge w:val="continue"/>
            <w:shd w:val="clear" w:color="auto" w:fill="E0E0E0"/>
          </w:tcPr>
          <w:p>
            <w:pPr>
              <w:spacing w:after="0"/>
              <w:rPr>
                <w:sz w:val="13"/>
                <w:szCs w:val="13"/>
                <w:color w:val="auto"/>
              </w:rPr>
            </w:pPr>
          </w:p>
        </w:tc>
        <w:tc>
          <w:tcPr>
            <w:tcW w:w="2280" w:type="dxa"/>
            <w:vAlign w:val="bottom"/>
            <w:tcBorders>
              <w:right w:val="single" w:sz="8" w:color="auto"/>
            </w:tcBorders>
            <w:shd w:val="clear" w:color="auto" w:fill="E0E0E0"/>
          </w:tcPr>
          <w:p>
            <w:pPr>
              <w:spacing w:after="0"/>
              <w:rPr>
                <w:sz w:val="13"/>
                <w:szCs w:val="13"/>
                <w:color w:val="auto"/>
              </w:rPr>
            </w:pPr>
          </w:p>
        </w:tc>
        <w:tc>
          <w:tcPr>
            <w:tcW w:w="2140" w:type="dxa"/>
            <w:vAlign w:val="bottom"/>
            <w:tcBorders>
              <w:right w:val="single" w:sz="8" w:color="auto"/>
            </w:tcBorders>
            <w:vMerge w:val="continue"/>
            <w:shd w:val="clear" w:color="auto" w:fill="E0E0E0"/>
          </w:tcPr>
          <w:p>
            <w:pPr>
              <w:spacing w:after="0"/>
              <w:rPr>
                <w:sz w:val="13"/>
                <w:szCs w:val="13"/>
                <w:color w:val="auto"/>
              </w:rPr>
            </w:pPr>
          </w:p>
        </w:tc>
        <w:tc>
          <w:tcPr>
            <w:tcW w:w="188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4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640" w:type="dxa"/>
            <w:vAlign w:val="bottom"/>
            <w:tcBorders>
              <w:bottom w:val="single" w:sz="8" w:color="auto"/>
              <w:right w:val="single" w:sz="8" w:color="auto"/>
            </w:tcBorders>
            <w:shd w:val="clear" w:color="auto" w:fill="E0E0E0"/>
          </w:tcPr>
          <w:p>
            <w:pPr>
              <w:spacing w:after="0"/>
              <w:rPr>
                <w:sz w:val="11"/>
                <w:szCs w:val="11"/>
                <w:color w:val="auto"/>
              </w:rPr>
            </w:pPr>
          </w:p>
        </w:tc>
        <w:tc>
          <w:tcPr>
            <w:tcW w:w="2280" w:type="dxa"/>
            <w:vAlign w:val="bottom"/>
            <w:tcBorders>
              <w:bottom w:val="single" w:sz="8" w:color="auto"/>
              <w:right w:val="single" w:sz="8" w:color="auto"/>
            </w:tcBorders>
            <w:shd w:val="clear" w:color="auto" w:fill="E0E0E0"/>
          </w:tcPr>
          <w:p>
            <w:pPr>
              <w:spacing w:after="0"/>
              <w:rPr>
                <w:sz w:val="11"/>
                <w:szCs w:val="11"/>
                <w:color w:val="auto"/>
              </w:rPr>
            </w:pPr>
          </w:p>
        </w:tc>
        <w:tc>
          <w:tcPr>
            <w:tcW w:w="2140" w:type="dxa"/>
            <w:vAlign w:val="bottom"/>
            <w:tcBorders>
              <w:bottom w:val="single" w:sz="8" w:color="auto"/>
              <w:right w:val="single" w:sz="8" w:color="auto"/>
            </w:tcBorders>
            <w:shd w:val="clear" w:color="auto" w:fill="E0E0E0"/>
          </w:tcPr>
          <w:p>
            <w:pPr>
              <w:spacing w:after="0"/>
              <w:rPr>
                <w:sz w:val="11"/>
                <w:szCs w:val="11"/>
                <w:color w:val="auto"/>
              </w:rPr>
            </w:pPr>
          </w:p>
        </w:tc>
        <w:tc>
          <w:tcPr>
            <w:tcW w:w="188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140" w:type="dxa"/>
            <w:vAlign w:val="bottom"/>
            <w:tcBorders>
              <w:left w:val="single" w:sz="8" w:color="auto"/>
              <w:right w:val="single" w:sz="8" w:color="auto"/>
            </w:tcBorders>
          </w:tcPr>
          <w:p>
            <w:pPr>
              <w:ind w:left="120"/>
              <w:spacing w:after="0" w:line="222" w:lineRule="exact"/>
              <w:rPr>
                <w:sz w:val="20"/>
                <w:szCs w:val="20"/>
                <w:color w:val="auto"/>
              </w:rPr>
            </w:pPr>
            <w:r>
              <w:rPr>
                <w:rFonts w:ascii="Arial" w:cs="Arial" w:eastAsia="Arial" w:hAnsi="Arial"/>
                <w:sz w:val="22"/>
                <w:szCs w:val="22"/>
                <w:color w:val="auto"/>
              </w:rPr>
              <w:t>Granite State</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28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17 Oil Mill Road</w:t>
            </w:r>
          </w:p>
        </w:tc>
        <w:tc>
          <w:tcPr>
            <w:tcW w:w="214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10 N. Riverdale</w:t>
            </w:r>
          </w:p>
        </w:tc>
        <w:tc>
          <w:tcPr>
            <w:tcW w:w="18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Plumbing &amp; Heating</w:t>
            </w:r>
          </w:p>
        </w:tc>
        <w:tc>
          <w:tcPr>
            <w:tcW w:w="16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Weare, New</w:t>
            </w:r>
          </w:p>
        </w:tc>
        <w:tc>
          <w:tcPr>
            <w:tcW w:w="21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Road, Weare, New</w:t>
            </w:r>
          </w:p>
        </w:tc>
        <w:tc>
          <w:tcPr>
            <w:tcW w:w="18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Delta Mechanical</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640" w:type="dxa"/>
            <w:vAlign w:val="bottom"/>
            <w:tcBorders>
              <w:right w:val="single" w:sz="8" w:color="auto"/>
            </w:tcBorders>
            <w:vMerge w:val="continue"/>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Hampshire 03281</w:t>
            </w: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Hampshire 03281</w:t>
            </w: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40" w:type="dxa"/>
            <w:vAlign w:val="bottom"/>
            <w:tcBorders>
              <w:bottom w:val="single" w:sz="8" w:color="auto"/>
              <w:right w:val="single" w:sz="8" w:color="auto"/>
            </w:tcBorders>
            <w:vMerge w:val="continue"/>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10 Technology Dr</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6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West Lebanon, New</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64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Hampshire 03784</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675 Bering Drive,</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Helm Corporation</w:t>
            </w:r>
          </w:p>
        </w:tc>
        <w:tc>
          <w:tcPr>
            <w:tcW w:w="16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Suite 400, Houston,</w:t>
            </w:r>
          </w:p>
        </w:tc>
        <w:tc>
          <w:tcPr>
            <w:tcW w:w="21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tcPr>
          <w:p>
            <w:pPr>
              <w:spacing w:after="0"/>
              <w:rPr>
                <w:sz w:val="13"/>
                <w:szCs w:val="13"/>
                <w:color w:val="auto"/>
              </w:rPr>
            </w:pPr>
          </w:p>
        </w:tc>
        <w:tc>
          <w:tcPr>
            <w:tcW w:w="1640" w:type="dxa"/>
            <w:vAlign w:val="bottom"/>
            <w:tcBorders>
              <w:right w:val="single" w:sz="8" w:color="auto"/>
            </w:tcBorders>
            <w:vMerge w:val="continue"/>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Texas 77057</w:t>
            </w:r>
          </w:p>
        </w:tc>
        <w:tc>
          <w:tcPr>
            <w:tcW w:w="21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Hess Mechanical,</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9600 Fallard Court,</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Hess Mechanical</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Upper Marlboro,</w:t>
            </w:r>
          </w:p>
        </w:tc>
        <w:tc>
          <w:tcPr>
            <w:tcW w:w="21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vMerge w:val="continue"/>
          </w:tcPr>
          <w:p>
            <w:pPr>
              <w:spacing w:after="0"/>
              <w:rPr>
                <w:sz w:val="13"/>
                <w:szCs w:val="13"/>
                <w:color w:val="auto"/>
              </w:rPr>
            </w:pPr>
          </w:p>
        </w:tc>
        <w:tc>
          <w:tcPr>
            <w:tcW w:w="1640" w:type="dxa"/>
            <w:vAlign w:val="bottom"/>
            <w:tcBorders>
              <w:right w:val="single" w:sz="8" w:color="auto"/>
            </w:tcBorders>
            <w:vMerge w:val="continue"/>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9"/>
              </w:rPr>
              <w:t>Maryland 20772-6703</w:t>
            </w:r>
          </w:p>
        </w:tc>
        <w:tc>
          <w:tcPr>
            <w:tcW w:w="21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14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MTECH</w:t>
            </w:r>
          </w:p>
        </w:tc>
        <w:tc>
          <w:tcPr>
            <w:tcW w:w="0" w:type="dxa"/>
            <w:vAlign w:val="bottom"/>
          </w:tcPr>
          <w:p>
            <w:pPr>
              <w:spacing w:after="0"/>
              <w:rPr>
                <w:sz w:val="1"/>
                <w:szCs w:val="1"/>
                <w:color w:val="auto"/>
              </w:rPr>
            </w:pPr>
          </w:p>
        </w:tc>
      </w:tr>
      <w:tr>
        <w:trPr>
          <w:trHeight w:val="244"/>
        </w:trPr>
        <w:tc>
          <w:tcPr>
            <w:tcW w:w="2140" w:type="dxa"/>
            <w:vAlign w:val="bottom"/>
            <w:tcBorders>
              <w:left w:val="single" w:sz="8" w:color="auto"/>
              <w:right w:val="single" w:sz="8" w:color="auto"/>
            </w:tcBorders>
          </w:tcPr>
          <w:p>
            <w:pPr>
              <w:ind w:left="120"/>
              <w:spacing w:after="0" w:line="244" w:lineRule="exact"/>
              <w:rPr>
                <w:sz w:val="20"/>
                <w:szCs w:val="20"/>
                <w:color w:val="auto"/>
              </w:rPr>
            </w:pPr>
            <w:r>
              <w:rPr>
                <w:rFonts w:ascii="Arial" w:cs="Arial" w:eastAsia="Arial" w:hAnsi="Arial"/>
                <w:sz w:val="22"/>
                <w:szCs w:val="22"/>
                <w:color w:val="auto"/>
              </w:rPr>
              <w:t>Mechanical</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28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rPr>
              <w:t>1720 Royston Lane,</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ind w:left="100"/>
              <w:spacing w:after="0" w:line="244" w:lineRule="exact"/>
              <w:rPr>
                <w:sz w:val="20"/>
                <w:szCs w:val="20"/>
                <w:color w:val="auto"/>
              </w:rPr>
            </w:pPr>
            <w:r>
              <w:rPr>
                <w:rFonts w:ascii="Arial" w:cs="Arial" w:eastAsia="Arial" w:hAnsi="Arial"/>
                <w:sz w:val="22"/>
                <w:szCs w:val="22"/>
                <w:color w:val="auto"/>
              </w:rPr>
              <w:t>ICON Plumbing,</w:t>
            </w:r>
          </w:p>
        </w:tc>
        <w:tc>
          <w:tcPr>
            <w:tcW w:w="0" w:type="dxa"/>
            <w:vAlign w:val="bottom"/>
          </w:tcPr>
          <w:p>
            <w:pPr>
              <w:spacing w:after="0"/>
              <w:rPr>
                <w:sz w:val="1"/>
                <w:szCs w:val="1"/>
                <w:color w:val="auto"/>
              </w:rPr>
            </w:pPr>
          </w:p>
        </w:tc>
      </w:tr>
      <w:tr>
        <w:trPr>
          <w:trHeight w:val="149"/>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Technical Services,</w:t>
            </w:r>
          </w:p>
        </w:tc>
        <w:tc>
          <w:tcPr>
            <w:tcW w:w="1640" w:type="dxa"/>
            <w:vAlign w:val="bottom"/>
            <w:tcBorders>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Round Rock, Texas</w:t>
            </w:r>
          </w:p>
        </w:tc>
        <w:tc>
          <w:tcPr>
            <w:tcW w:w="214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Heating &amp; Air</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640" w:type="dxa"/>
            <w:vAlign w:val="bottom"/>
            <w:tcBorders>
              <w:right w:val="single" w:sz="8" w:color="auto"/>
            </w:tcBorders>
            <w:vMerge w:val="continue"/>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78664</w:t>
            </w:r>
          </w:p>
        </w:tc>
        <w:tc>
          <w:tcPr>
            <w:tcW w:w="21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Mtech-Icon</w:t>
            </w:r>
          </w:p>
        </w:tc>
        <w:tc>
          <w:tcPr>
            <w:tcW w:w="0" w:type="dxa"/>
            <w:vAlign w:val="bottom"/>
          </w:tcPr>
          <w:p>
            <w:pPr>
              <w:spacing w:after="0"/>
              <w:rPr>
                <w:sz w:val="1"/>
                <w:szCs w:val="1"/>
                <w:color w:val="auto"/>
              </w:rPr>
            </w:pPr>
          </w:p>
        </w:tc>
      </w:tr>
      <w:tr>
        <w:trPr>
          <w:trHeight w:val="149"/>
        </w:trPr>
        <w:tc>
          <w:tcPr>
            <w:tcW w:w="2140" w:type="dxa"/>
            <w:vAlign w:val="bottom"/>
            <w:tcBorders>
              <w:left w:val="single" w:sz="8" w:color="auto"/>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2280" w:type="dxa"/>
            <w:vAlign w:val="bottom"/>
            <w:tcBorders>
              <w:right w:val="single" w:sz="8" w:color="auto"/>
            </w:tcBorders>
            <w:vMerge w:val="continue"/>
          </w:tcPr>
          <w:p>
            <w:pPr>
              <w:spacing w:after="0"/>
              <w:rPr>
                <w:sz w:val="12"/>
                <w:szCs w:val="12"/>
                <w:color w:val="auto"/>
              </w:rPr>
            </w:pPr>
          </w:p>
        </w:tc>
        <w:tc>
          <w:tcPr>
            <w:tcW w:w="214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ICON Mechanical</w:t>
            </w: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4903 Commercial Park</w:t>
            </w:r>
          </w:p>
        </w:tc>
        <w:tc>
          <w:tcPr>
            <w:tcW w:w="214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40" w:type="dxa"/>
            <w:vAlign w:val="bottom"/>
            <w:tcBorders>
              <w:left w:val="single" w:sz="8" w:color="auto"/>
              <w:right w:val="single" w:sz="8" w:color="auto"/>
            </w:tcBorders>
          </w:tcPr>
          <w:p>
            <w:pPr>
              <w:spacing w:after="0"/>
              <w:rPr>
                <w:sz w:val="21"/>
                <w:szCs w:val="21"/>
                <w:color w:val="auto"/>
              </w:rPr>
            </w:pPr>
          </w:p>
        </w:tc>
        <w:tc>
          <w:tcPr>
            <w:tcW w:w="16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Dr</w:t>
            </w:r>
          </w:p>
        </w:tc>
        <w:tc>
          <w:tcPr>
            <w:tcW w:w="2140" w:type="dxa"/>
            <w:vAlign w:val="bottom"/>
            <w:tcBorders>
              <w:right w:val="single" w:sz="8" w:color="auto"/>
            </w:tcBorders>
          </w:tcPr>
          <w:p>
            <w:pPr>
              <w:spacing w:after="0"/>
              <w:rPr>
                <w:sz w:val="21"/>
                <w:szCs w:val="21"/>
                <w:color w:val="auto"/>
              </w:rPr>
            </w:pPr>
          </w:p>
        </w:tc>
        <w:tc>
          <w:tcPr>
            <w:tcW w:w="18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40" w:type="dxa"/>
            <w:vAlign w:val="bottom"/>
            <w:tcBorders>
              <w:left w:val="single" w:sz="8" w:color="auto"/>
              <w:bottom w:val="single" w:sz="8" w:color="auto"/>
              <w:right w:val="single" w:sz="8" w:color="auto"/>
            </w:tcBorders>
          </w:tcPr>
          <w:p>
            <w:pPr>
              <w:spacing w:after="0"/>
              <w:rPr>
                <w:sz w:val="23"/>
                <w:szCs w:val="23"/>
                <w:color w:val="auto"/>
              </w:rPr>
            </w:pPr>
          </w:p>
        </w:tc>
        <w:tc>
          <w:tcPr>
            <w:tcW w:w="164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Austin, Texas 78724</w:t>
            </w:r>
          </w:p>
        </w:tc>
        <w:tc>
          <w:tcPr>
            <w:tcW w:w="214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300 Fire Tower</w:t>
            </w:r>
          </w:p>
        </w:tc>
        <w:tc>
          <w:tcPr>
            <w:tcW w:w="18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JM State</w:t>
            </w:r>
          </w:p>
        </w:tc>
        <w:tc>
          <w:tcPr>
            <w:tcW w:w="0" w:type="dxa"/>
            <w:vAlign w:val="bottom"/>
          </w:tcPr>
          <w:p>
            <w:pPr>
              <w:spacing w:after="0"/>
              <w:rPr>
                <w:sz w:val="1"/>
                <w:szCs w:val="1"/>
                <w:color w:val="auto"/>
              </w:rPr>
            </w:pPr>
          </w:p>
        </w:tc>
      </w:tr>
      <w:tr>
        <w:trPr>
          <w:trHeight w:val="270"/>
        </w:trPr>
        <w:tc>
          <w:tcPr>
            <w:tcW w:w="2140" w:type="dxa"/>
            <w:vAlign w:val="bottom"/>
            <w:tcBorders>
              <w:left w:val="single" w:sz="8" w:color="auto"/>
              <w:right w:val="single" w:sz="8" w:color="auto"/>
            </w:tcBorders>
          </w:tcPr>
          <w:p>
            <w:pPr>
              <w:spacing w:after="0"/>
              <w:rPr>
                <w:sz w:val="23"/>
                <w:szCs w:val="23"/>
                <w:color w:val="auto"/>
              </w:rPr>
            </w:pPr>
          </w:p>
        </w:tc>
        <w:tc>
          <w:tcPr>
            <w:tcW w:w="1640" w:type="dxa"/>
            <w:vAlign w:val="bottom"/>
            <w:tcBorders>
              <w:right w:val="single" w:sz="8" w:color="auto"/>
            </w:tcBorders>
          </w:tcPr>
          <w:p>
            <w:pPr>
              <w:spacing w:after="0"/>
              <w:rPr>
                <w:sz w:val="23"/>
                <w:szCs w:val="2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95 Pirson Parkway</w:t>
            </w: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Drive, Tonawanda,</w:t>
            </w: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Refrigeration</w:t>
            </w:r>
          </w:p>
        </w:tc>
        <w:tc>
          <w:tcPr>
            <w:tcW w:w="0" w:type="dxa"/>
            <w:vAlign w:val="bottom"/>
          </w:tcPr>
          <w:p>
            <w:pPr>
              <w:spacing w:after="0"/>
              <w:rPr>
                <w:sz w:val="1"/>
                <w:szCs w:val="1"/>
                <w:color w:val="auto"/>
              </w:rPr>
            </w:pPr>
          </w:p>
        </w:tc>
      </w:tr>
      <w:tr>
        <w:trPr>
          <w:trHeight w:val="149"/>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MJ Mechanical</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280" w:type="dxa"/>
            <w:vAlign w:val="bottom"/>
            <w:tcBorders>
              <w:right w:val="single" w:sz="8" w:color="auto"/>
            </w:tcBorders>
            <w:vMerge w:val="continue"/>
          </w:tcPr>
          <w:p>
            <w:pPr>
              <w:spacing w:after="0"/>
              <w:rPr>
                <w:sz w:val="12"/>
                <w:szCs w:val="12"/>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New York 14150</w:t>
            </w: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8"/>
              </w:rPr>
              <w:t>Vastola Heating &amp;</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w w:val="96"/>
              </w:rPr>
              <w:t>Tonawanda, New York</w:t>
            </w:r>
          </w:p>
        </w:tc>
        <w:tc>
          <w:tcPr>
            <w:tcW w:w="21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Services, Inc.</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2040 Military Road,</w:t>
            </w: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Air Conditioning</w:t>
            </w:r>
          </w:p>
        </w:tc>
        <w:tc>
          <w:tcPr>
            <w:tcW w:w="0" w:type="dxa"/>
            <w:vAlign w:val="bottom"/>
          </w:tcPr>
          <w:p>
            <w:pPr>
              <w:spacing w:after="0"/>
              <w:rPr>
                <w:sz w:val="1"/>
                <w:szCs w:val="1"/>
                <w:color w:val="auto"/>
              </w:rPr>
            </w:pPr>
          </w:p>
        </w:tc>
      </w:tr>
      <w:tr>
        <w:trPr>
          <w:trHeight w:val="149"/>
        </w:trPr>
        <w:tc>
          <w:tcPr>
            <w:tcW w:w="2140" w:type="dxa"/>
            <w:vAlign w:val="bottom"/>
            <w:tcBorders>
              <w:left w:val="single" w:sz="8" w:color="auto"/>
              <w:right w:val="single" w:sz="8" w:color="auto"/>
            </w:tcBorders>
            <w:vMerge w:val="continue"/>
          </w:tcPr>
          <w:p>
            <w:pPr>
              <w:spacing w:after="0"/>
              <w:rPr>
                <w:sz w:val="12"/>
                <w:szCs w:val="12"/>
                <w:color w:val="auto"/>
              </w:rPr>
            </w:pPr>
          </w:p>
        </w:tc>
        <w:tc>
          <w:tcPr>
            <w:tcW w:w="1640" w:type="dxa"/>
            <w:vAlign w:val="bottom"/>
            <w:tcBorders>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14150</w:t>
            </w:r>
          </w:p>
        </w:tc>
        <w:tc>
          <w:tcPr>
            <w:tcW w:w="214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4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Tonawanda, New</w:t>
            </w:r>
          </w:p>
        </w:tc>
        <w:tc>
          <w:tcPr>
            <w:tcW w:w="18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Northeast</w:t>
            </w:r>
          </w:p>
        </w:tc>
        <w:tc>
          <w:tcPr>
            <w:tcW w:w="0" w:type="dxa"/>
            <w:vAlign w:val="bottom"/>
          </w:tcPr>
          <w:p>
            <w:pPr>
              <w:spacing w:after="0"/>
              <w:rPr>
                <w:sz w:val="1"/>
                <w:szCs w:val="1"/>
                <w:color w:val="auto"/>
              </w:rPr>
            </w:pPr>
          </w:p>
        </w:tc>
      </w:tr>
      <w:tr>
        <w:trPr>
          <w:trHeight w:val="117"/>
        </w:trPr>
        <w:tc>
          <w:tcPr>
            <w:tcW w:w="214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140" w:type="dxa"/>
            <w:vAlign w:val="bottom"/>
            <w:tcBorders>
              <w:left w:val="single" w:sz="8" w:color="auto"/>
              <w:bottom w:val="single" w:sz="8" w:color="auto"/>
              <w:right w:val="single" w:sz="8" w:color="auto"/>
            </w:tcBorders>
          </w:tcPr>
          <w:p>
            <w:pPr>
              <w:spacing w:after="0"/>
              <w:rPr>
                <w:sz w:val="24"/>
                <w:szCs w:val="24"/>
                <w:color w:val="auto"/>
              </w:rPr>
            </w:pPr>
          </w:p>
        </w:tc>
        <w:tc>
          <w:tcPr>
            <w:tcW w:w="164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York 14150</w:t>
            </w: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139 Sawyer Ave</w:t>
            </w: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188 Creekside Drive</w:t>
            </w:r>
          </w:p>
        </w:tc>
        <w:tc>
          <w:tcPr>
            <w:tcW w:w="1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14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Satellite</w:t>
            </w: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Depew, New York</w:t>
            </w:r>
          </w:p>
        </w:tc>
        <w:tc>
          <w:tcPr>
            <w:tcW w:w="21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40" w:type="dxa"/>
            <w:vAlign w:val="bottom"/>
            <w:tcBorders>
              <w:left w:val="single" w:sz="8" w:color="auto"/>
              <w:right w:val="single" w:sz="8" w:color="auto"/>
            </w:tcBorders>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Amherst, NY 14228</w:t>
            </w:r>
          </w:p>
        </w:tc>
        <w:tc>
          <w:tcPr>
            <w:tcW w:w="18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140" w:type="dxa"/>
            <w:vAlign w:val="bottom"/>
            <w:tcBorders>
              <w:left w:val="single" w:sz="8" w:color="auto"/>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14043</w:t>
            </w:r>
          </w:p>
        </w:tc>
        <w:tc>
          <w:tcPr>
            <w:tcW w:w="214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140" w:type="dxa"/>
            <w:vAlign w:val="bottom"/>
            <w:tcBorders>
              <w:left w:val="single" w:sz="8" w:color="auto"/>
              <w:bottom w:val="single" w:sz="8" w:color="auto"/>
              <w:right w:val="single" w:sz="8" w:color="auto"/>
            </w:tcBorders>
          </w:tcPr>
          <w:p>
            <w:pPr>
              <w:spacing w:after="0"/>
              <w:rPr>
                <w:sz w:val="7"/>
                <w:szCs w:val="7"/>
                <w:color w:val="auto"/>
              </w:rPr>
            </w:pPr>
          </w:p>
        </w:tc>
        <w:tc>
          <w:tcPr>
            <w:tcW w:w="1640" w:type="dxa"/>
            <w:vAlign w:val="bottom"/>
            <w:tcBorders>
              <w:bottom w:val="single" w:sz="8" w:color="auto"/>
              <w:right w:val="single" w:sz="8" w:color="auto"/>
            </w:tcBorders>
          </w:tcPr>
          <w:p>
            <w:pPr>
              <w:spacing w:after="0"/>
              <w:rPr>
                <w:sz w:val="7"/>
                <w:szCs w:val="7"/>
                <w:color w:val="auto"/>
              </w:rPr>
            </w:pPr>
          </w:p>
        </w:tc>
        <w:tc>
          <w:tcPr>
            <w:tcW w:w="2280" w:type="dxa"/>
            <w:vAlign w:val="bottom"/>
            <w:tcBorders>
              <w:bottom w:val="single" w:sz="8" w:color="auto"/>
              <w:right w:val="single" w:sz="8" w:color="auto"/>
            </w:tcBorders>
            <w:vMerge w:val="continue"/>
          </w:tcPr>
          <w:p>
            <w:pPr>
              <w:spacing w:after="0"/>
              <w:rPr>
                <w:sz w:val="7"/>
                <w:szCs w:val="7"/>
                <w:color w:val="auto"/>
              </w:rPr>
            </w:pPr>
          </w:p>
        </w:tc>
        <w:tc>
          <w:tcPr>
            <w:tcW w:w="2140" w:type="dxa"/>
            <w:vAlign w:val="bottom"/>
            <w:tcBorders>
              <w:bottom w:val="single" w:sz="8" w:color="auto"/>
              <w:right w:val="single" w:sz="8" w:color="auto"/>
            </w:tcBorders>
          </w:tcPr>
          <w:p>
            <w:pPr>
              <w:spacing w:after="0"/>
              <w:rPr>
                <w:sz w:val="7"/>
                <w:szCs w:val="7"/>
                <w:color w:val="auto"/>
              </w:rPr>
            </w:pPr>
          </w:p>
        </w:tc>
        <w:tc>
          <w:tcPr>
            <w:tcW w:w="18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North American</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4401 State Road 19</w:t>
            </w: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6135 North American</w:t>
            </w: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Masterson</w:t>
            </w: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Windsor, Wisconsin</w:t>
            </w:r>
          </w:p>
        </w:tc>
        <w:tc>
          <w:tcPr>
            <w:tcW w:w="21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Lane, De Forest,</w:t>
            </w:r>
          </w:p>
        </w:tc>
        <w:tc>
          <w:tcPr>
            <w:tcW w:w="1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Mechanical, Inc.</w:t>
            </w:r>
          </w:p>
        </w:tc>
        <w:tc>
          <w:tcPr>
            <w:tcW w:w="164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28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Plumbing</w:t>
            </w:r>
          </w:p>
        </w:tc>
        <w:tc>
          <w:tcPr>
            <w:tcW w:w="0" w:type="dxa"/>
            <w:vAlign w:val="bottom"/>
          </w:tcPr>
          <w:p>
            <w:pPr>
              <w:spacing w:after="0"/>
              <w:rPr>
                <w:sz w:val="1"/>
                <w:szCs w:val="1"/>
                <w:color w:val="auto"/>
              </w:rPr>
            </w:pPr>
          </w:p>
        </w:tc>
      </w:tr>
      <w:tr>
        <w:trPr>
          <w:trHeight w:val="153"/>
        </w:trPr>
        <w:tc>
          <w:tcPr>
            <w:tcW w:w="2140" w:type="dxa"/>
            <w:vAlign w:val="bottom"/>
            <w:tcBorders>
              <w:left w:val="single" w:sz="8" w:color="auto"/>
              <w:right w:val="single" w:sz="8" w:color="auto"/>
            </w:tcBorders>
            <w:vMerge w:val="continue"/>
          </w:tcPr>
          <w:p>
            <w:pPr>
              <w:spacing w:after="0"/>
              <w:rPr>
                <w:sz w:val="13"/>
                <w:szCs w:val="13"/>
                <w:color w:val="auto"/>
              </w:rPr>
            </w:pPr>
          </w:p>
        </w:tc>
        <w:tc>
          <w:tcPr>
            <w:tcW w:w="1640" w:type="dxa"/>
            <w:vAlign w:val="bottom"/>
            <w:tcBorders>
              <w:right w:val="single" w:sz="8" w:color="auto"/>
            </w:tcBorders>
            <w:vMerge w:val="continue"/>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53598</w:t>
            </w: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Wisconsin 53532</w:t>
            </w:r>
          </w:p>
        </w:tc>
        <w:tc>
          <w:tcPr>
            <w:tcW w:w="18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4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40" w:type="dxa"/>
            <w:vAlign w:val="bottom"/>
            <w:tcBorders>
              <w:bottom w:val="single" w:sz="8" w:color="auto"/>
              <w:right w:val="single" w:sz="8" w:color="auto"/>
            </w:tcBorders>
            <w:vMerge w:val="continue"/>
          </w:tcPr>
          <w:p>
            <w:pPr>
              <w:spacing w:after="0"/>
              <w:rPr>
                <w:sz w:val="9"/>
                <w:szCs w:val="9"/>
                <w:color w:val="auto"/>
              </w:rPr>
            </w:pPr>
          </w:p>
        </w:tc>
        <w:tc>
          <w:tcPr>
            <w:tcW w:w="1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5.13 of Schedule 5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160" w:name="page161"/>
    <w:bookmarkEnd w:id="160"/>
    <w:tbl>
      <w:tblPr>
        <w:tblLayout w:type="fixed"/>
        <w:tblInd w:w="10" w:type="dxa"/>
        <w:tblCellMar>
          <w:top w:w="0" w:type="dxa"/>
          <w:left w:w="0" w:type="dxa"/>
          <w:bottom w:w="0" w:type="dxa"/>
          <w:right w:w="0" w:type="dxa"/>
        </w:tblCellMar>
      </w:tblPr>
      <w:tr>
        <w:trPr>
          <w:trHeight w:val="270"/>
        </w:trPr>
        <w:tc>
          <w:tcPr>
            <w:tcW w:w="216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460" w:type="dxa"/>
            <w:vAlign w:val="bottom"/>
            <w:tcBorders>
              <w:top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200" w:type="dxa"/>
            <w:vAlign w:val="bottom"/>
            <w:tcBorders>
              <w:top w:val="single" w:sz="8" w:color="auto"/>
              <w:right w:val="single" w:sz="8" w:color="auto"/>
            </w:tcBorders>
            <w:shd w:val="clear" w:color="auto" w:fill="E0E0E0"/>
          </w:tcPr>
          <w:p>
            <w:pPr>
              <w:spacing w:after="0"/>
              <w:rPr>
                <w:sz w:val="23"/>
                <w:szCs w:val="23"/>
                <w:color w:val="auto"/>
              </w:rPr>
            </w:pPr>
          </w:p>
        </w:tc>
        <w:tc>
          <w:tcPr>
            <w:tcW w:w="2280" w:type="dxa"/>
            <w:vAlign w:val="bottom"/>
            <w:tcBorders>
              <w:top w:val="single" w:sz="8" w:color="auto"/>
              <w:right w:val="single" w:sz="8" w:color="auto"/>
            </w:tcBorders>
            <w:shd w:val="clear" w:color="auto" w:fill="E0E0E0"/>
          </w:tcPr>
          <w:p>
            <w:pPr>
              <w:spacing w:after="0"/>
              <w:rPr>
                <w:sz w:val="23"/>
                <w:szCs w:val="23"/>
                <w:color w:val="auto"/>
              </w:rPr>
            </w:pPr>
          </w:p>
        </w:tc>
        <w:tc>
          <w:tcPr>
            <w:tcW w:w="216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182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460" w:type="dxa"/>
            <w:vAlign w:val="bottom"/>
            <w:vMerge w:val="continue"/>
            <w:shd w:val="clear" w:color="auto" w:fill="E0E0E0"/>
          </w:tcPr>
          <w:p>
            <w:pPr>
              <w:spacing w:after="0"/>
              <w:rPr>
                <w:sz w:val="10"/>
                <w:szCs w:val="10"/>
                <w:color w:val="auto"/>
              </w:rPr>
            </w:pPr>
          </w:p>
        </w:tc>
        <w:tc>
          <w:tcPr>
            <w:tcW w:w="200" w:type="dxa"/>
            <w:vAlign w:val="bottom"/>
            <w:tcBorders>
              <w:right w:val="single" w:sz="8" w:color="auto"/>
            </w:tcBorders>
            <w:shd w:val="clear" w:color="auto" w:fill="E0E0E0"/>
          </w:tcPr>
          <w:p>
            <w:pPr>
              <w:spacing w:after="0"/>
              <w:rPr>
                <w:sz w:val="10"/>
                <w:szCs w:val="10"/>
                <w:color w:val="auto"/>
              </w:rPr>
            </w:pPr>
          </w:p>
        </w:tc>
        <w:tc>
          <w:tcPr>
            <w:tcW w:w="228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160" w:type="dxa"/>
            <w:vAlign w:val="bottom"/>
            <w:tcBorders>
              <w:right w:val="single" w:sz="8" w:color="auto"/>
            </w:tcBorders>
            <w:vMerge w:val="continue"/>
            <w:shd w:val="clear" w:color="auto" w:fill="E0E0E0"/>
          </w:tcPr>
          <w:p>
            <w:pPr>
              <w:spacing w:after="0"/>
              <w:rPr>
                <w:sz w:val="10"/>
                <w:szCs w:val="10"/>
                <w:color w:val="auto"/>
              </w:rPr>
            </w:pPr>
          </w:p>
        </w:tc>
        <w:tc>
          <w:tcPr>
            <w:tcW w:w="182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460" w:type="dxa"/>
            <w:vAlign w:val="bottom"/>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200" w:type="dxa"/>
            <w:vAlign w:val="bottom"/>
            <w:tcBorders>
              <w:right w:val="single" w:sz="8" w:color="auto"/>
            </w:tcBorders>
            <w:shd w:val="clear" w:color="auto" w:fill="E0E0E0"/>
          </w:tcPr>
          <w:p>
            <w:pPr>
              <w:spacing w:after="0"/>
              <w:rPr>
                <w:sz w:val="10"/>
                <w:szCs w:val="10"/>
                <w:color w:val="auto"/>
              </w:rPr>
            </w:pPr>
          </w:p>
        </w:tc>
        <w:tc>
          <w:tcPr>
            <w:tcW w:w="2280" w:type="dxa"/>
            <w:vAlign w:val="bottom"/>
            <w:tcBorders>
              <w:right w:val="single" w:sz="8" w:color="auto"/>
            </w:tcBorders>
            <w:vMerge w:val="continue"/>
            <w:shd w:val="clear" w:color="auto" w:fill="E0E0E0"/>
          </w:tcPr>
          <w:p>
            <w:pPr>
              <w:spacing w:after="0"/>
              <w:rPr>
                <w:sz w:val="10"/>
                <w:szCs w:val="10"/>
                <w:color w:val="auto"/>
              </w:rPr>
            </w:pPr>
          </w:p>
        </w:tc>
        <w:tc>
          <w:tcPr>
            <w:tcW w:w="216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ADDRESSES</w:t>
            </w:r>
          </w:p>
        </w:tc>
        <w:tc>
          <w:tcPr>
            <w:tcW w:w="182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160" w:type="dxa"/>
            <w:vAlign w:val="bottom"/>
            <w:tcBorders>
              <w:left w:val="single" w:sz="8" w:color="auto"/>
              <w:right w:val="single" w:sz="8" w:color="auto"/>
            </w:tcBorders>
            <w:shd w:val="clear" w:color="auto" w:fill="E0E0E0"/>
          </w:tcPr>
          <w:p>
            <w:pPr>
              <w:spacing w:after="0"/>
              <w:rPr>
                <w:sz w:val="13"/>
                <w:szCs w:val="13"/>
                <w:color w:val="auto"/>
              </w:rPr>
            </w:pPr>
          </w:p>
        </w:tc>
        <w:tc>
          <w:tcPr>
            <w:tcW w:w="1460" w:type="dxa"/>
            <w:vAlign w:val="bottom"/>
            <w:vMerge w:val="continue"/>
            <w:shd w:val="clear" w:color="auto" w:fill="E0E0E0"/>
          </w:tcPr>
          <w:p>
            <w:pPr>
              <w:spacing w:after="0"/>
              <w:rPr>
                <w:sz w:val="13"/>
                <w:szCs w:val="13"/>
                <w:color w:val="auto"/>
              </w:rPr>
            </w:pPr>
          </w:p>
        </w:tc>
        <w:tc>
          <w:tcPr>
            <w:tcW w:w="200" w:type="dxa"/>
            <w:vAlign w:val="bottom"/>
            <w:tcBorders>
              <w:right w:val="single" w:sz="8" w:color="auto"/>
            </w:tcBorders>
            <w:shd w:val="clear" w:color="auto" w:fill="E0E0E0"/>
          </w:tcPr>
          <w:p>
            <w:pPr>
              <w:spacing w:after="0"/>
              <w:rPr>
                <w:sz w:val="13"/>
                <w:szCs w:val="13"/>
                <w:color w:val="auto"/>
              </w:rPr>
            </w:pPr>
          </w:p>
        </w:tc>
        <w:tc>
          <w:tcPr>
            <w:tcW w:w="2280" w:type="dxa"/>
            <w:vAlign w:val="bottom"/>
            <w:tcBorders>
              <w:right w:val="single" w:sz="8" w:color="auto"/>
            </w:tcBorders>
            <w:shd w:val="clear" w:color="auto" w:fill="E0E0E0"/>
          </w:tcPr>
          <w:p>
            <w:pPr>
              <w:spacing w:after="0"/>
              <w:rPr>
                <w:sz w:val="13"/>
                <w:szCs w:val="13"/>
                <w:color w:val="auto"/>
              </w:rPr>
            </w:pPr>
          </w:p>
        </w:tc>
        <w:tc>
          <w:tcPr>
            <w:tcW w:w="2160" w:type="dxa"/>
            <w:vAlign w:val="bottom"/>
            <w:tcBorders>
              <w:right w:val="single" w:sz="8" w:color="auto"/>
            </w:tcBorders>
            <w:vMerge w:val="continue"/>
            <w:shd w:val="clear" w:color="auto" w:fill="E0E0E0"/>
          </w:tcPr>
          <w:p>
            <w:pPr>
              <w:spacing w:after="0"/>
              <w:rPr>
                <w:sz w:val="13"/>
                <w:szCs w:val="13"/>
                <w:color w:val="auto"/>
              </w:rPr>
            </w:pPr>
          </w:p>
        </w:tc>
        <w:tc>
          <w:tcPr>
            <w:tcW w:w="182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16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460" w:type="dxa"/>
            <w:vAlign w:val="bottom"/>
            <w:tcBorders>
              <w:bottom w:val="single" w:sz="8" w:color="auto"/>
            </w:tcBorders>
            <w:shd w:val="clear" w:color="auto" w:fill="E0E0E0"/>
          </w:tcPr>
          <w:p>
            <w:pPr>
              <w:spacing w:after="0"/>
              <w:rPr>
                <w:sz w:val="11"/>
                <w:szCs w:val="11"/>
                <w:color w:val="auto"/>
              </w:rPr>
            </w:pPr>
          </w:p>
        </w:tc>
        <w:tc>
          <w:tcPr>
            <w:tcW w:w="200" w:type="dxa"/>
            <w:vAlign w:val="bottom"/>
            <w:tcBorders>
              <w:bottom w:val="single" w:sz="8" w:color="auto"/>
              <w:right w:val="single" w:sz="8" w:color="auto"/>
            </w:tcBorders>
            <w:shd w:val="clear" w:color="auto" w:fill="E0E0E0"/>
          </w:tcPr>
          <w:p>
            <w:pPr>
              <w:spacing w:after="0"/>
              <w:rPr>
                <w:sz w:val="11"/>
                <w:szCs w:val="11"/>
                <w:color w:val="auto"/>
              </w:rPr>
            </w:pPr>
          </w:p>
        </w:tc>
        <w:tc>
          <w:tcPr>
            <w:tcW w:w="2280" w:type="dxa"/>
            <w:vAlign w:val="bottom"/>
            <w:tcBorders>
              <w:bottom w:val="single" w:sz="8" w:color="auto"/>
              <w:right w:val="single" w:sz="8" w:color="auto"/>
            </w:tcBorders>
            <w:shd w:val="clear" w:color="auto" w:fill="E0E0E0"/>
          </w:tcPr>
          <w:p>
            <w:pPr>
              <w:spacing w:after="0"/>
              <w:rPr>
                <w:sz w:val="11"/>
                <w:szCs w:val="11"/>
                <w:color w:val="auto"/>
              </w:rPr>
            </w:pPr>
          </w:p>
        </w:tc>
        <w:tc>
          <w:tcPr>
            <w:tcW w:w="2160" w:type="dxa"/>
            <w:vAlign w:val="bottom"/>
            <w:tcBorders>
              <w:bottom w:val="single" w:sz="8" w:color="auto"/>
              <w:right w:val="single" w:sz="8" w:color="auto"/>
            </w:tcBorders>
            <w:shd w:val="clear" w:color="auto" w:fill="E0E0E0"/>
          </w:tcPr>
          <w:p>
            <w:pPr>
              <w:spacing w:after="0"/>
              <w:rPr>
                <w:sz w:val="11"/>
                <w:szCs w:val="11"/>
                <w:color w:val="auto"/>
              </w:rPr>
            </w:pPr>
          </w:p>
        </w:tc>
        <w:tc>
          <w:tcPr>
            <w:tcW w:w="182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160" w:type="dxa"/>
            <w:vAlign w:val="bottom"/>
            <w:tcBorders>
              <w:left w:val="single" w:sz="8" w:color="auto"/>
              <w:right w:val="single" w:sz="8" w:color="auto"/>
            </w:tcBorders>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2600 W. College</w:t>
            </w:r>
          </w:p>
        </w:tc>
        <w:tc>
          <w:tcPr>
            <w:tcW w:w="2160" w:type="dxa"/>
            <w:vAlign w:val="bottom"/>
            <w:tcBorders>
              <w:right w:val="single" w:sz="8" w:color="auto"/>
            </w:tcBorders>
          </w:tcPr>
          <w:p>
            <w:pPr>
              <w:spacing w:after="0"/>
              <w:rPr>
                <w:sz w:val="19"/>
                <w:szCs w:val="19"/>
                <w:color w:val="auto"/>
              </w:rPr>
            </w:pPr>
          </w:p>
        </w:tc>
        <w:tc>
          <w:tcPr>
            <w:tcW w:w="18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Avenue, Ste 4,</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Appleton, Wisconsin</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54914</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Quality Air Heating</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3395 Kraft Avenue,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SE, Grand Rapids,</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Control Logic</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and Cooling, Inc.</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Michigan 49512</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2306 Winters Drive,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6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Portage, Michigan</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49002</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2501 Coolidge Road,</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Suite 501</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w w:val="94"/>
              </w:rPr>
              <w:t>East Lansing, Michigan</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49002</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135 North State St</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6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Zeeland, Michigan</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49464</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Riddleberger</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6127 S. Valley Pike,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Mount Crawford,</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Brothers, Inc.</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Virginia 22841</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210 Prosperity Dr, Ste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F</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Winchester, Virginia</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22602</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Royalaire Holdings,</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101 Dunbar Ave, Suite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Royalaire</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 Oldsmar, Florida</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LLC</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34677</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5"/>
              </w:rPr>
              <w:t>Royalaire Mechanical</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101 Dunbar Ave, Suite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Royalaire</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 Oldsmar, Florida</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Services, LLC</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34677</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Services, Inc.</w:t>
            </w: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w w:val="95"/>
              </w:rPr>
              <w:t>Royalaire Mechanical</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101 Dunbar Ave, Suite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Royalaire</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 Oldsmar, Florida</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Services II, LLC</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34677</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Services II, Inc.</w:t>
            </w: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S.I. Goldman</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w w:val="92"/>
              </w:rPr>
              <w:t>Principal Place</w:t>
            </w: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799 Bennett Drive,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Longwood, Florida</w:t>
            </w: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Company, Inc.</w:t>
            </w: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of Business</w:t>
            </w:r>
          </w:p>
        </w:tc>
        <w:tc>
          <w:tcPr>
            <w:tcW w:w="20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32750</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160" w:type="dxa"/>
            <w:vAlign w:val="bottom"/>
            <w:tcBorders>
              <w:left w:val="single" w:sz="8" w:color="auto"/>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320 Melody Lane,</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60" w:type="dxa"/>
            <w:vAlign w:val="bottom"/>
          </w:tcPr>
          <w:p>
            <w:pPr>
              <w:ind w:left="100"/>
              <w:spacing w:after="0" w:line="243" w:lineRule="exact"/>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Casselberry, Florida</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32707</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160" w:type="dxa"/>
            <w:vAlign w:val="bottom"/>
            <w:tcBorders>
              <w:left w:val="single" w:sz="8" w:color="auto"/>
              <w:right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4111 NW 6</w:t>
            </w:r>
            <w:r>
              <w:rPr>
                <w:rFonts w:ascii="Arial" w:cs="Arial" w:eastAsia="Arial" w:hAnsi="Arial"/>
                <w:sz w:val="10"/>
                <w:szCs w:val="10"/>
                <w:color w:val="auto"/>
              </w:rPr>
              <w:t>th</w:t>
            </w:r>
            <w:r>
              <w:rPr>
                <w:rFonts w:ascii="Arial" w:cs="Arial" w:eastAsia="Arial" w:hAnsi="Arial"/>
                <w:sz w:val="22"/>
                <w:szCs w:val="22"/>
                <w:color w:val="auto"/>
              </w:rPr>
              <w:t xml:space="preserve"> Street,</w:t>
            </w:r>
          </w:p>
        </w:tc>
        <w:tc>
          <w:tcPr>
            <w:tcW w:w="2160" w:type="dxa"/>
            <w:vAlign w:val="bottom"/>
            <w:tcBorders>
              <w:right w:val="single" w:sz="8" w:color="auto"/>
            </w:tcBorders>
          </w:tcPr>
          <w:p>
            <w:pPr>
              <w:spacing w:after="0"/>
              <w:rPr>
                <w:sz w:val="18"/>
                <w:szCs w:val="18"/>
                <w:color w:val="auto"/>
              </w:rPr>
            </w:pPr>
          </w:p>
        </w:tc>
        <w:tc>
          <w:tcPr>
            <w:tcW w:w="1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tcPr>
          <w:p>
            <w:pPr>
              <w:spacing w:after="0"/>
              <w:rPr>
                <w:sz w:val="21"/>
                <w:szCs w:val="21"/>
                <w:color w:val="auto"/>
              </w:rPr>
            </w:pPr>
          </w:p>
        </w:tc>
        <w:tc>
          <w:tcPr>
            <w:tcW w:w="1460" w:type="dxa"/>
            <w:vAlign w:val="bottom"/>
            <w:vMerge w:val="restart"/>
          </w:tcPr>
          <w:p>
            <w:pPr>
              <w:ind w:left="100"/>
              <w:spacing w:after="0"/>
              <w:rPr>
                <w:sz w:val="20"/>
                <w:szCs w:val="20"/>
                <w:color w:val="auto"/>
              </w:rPr>
            </w:pPr>
            <w:r>
              <w:rPr>
                <w:rFonts w:ascii="Arial" w:cs="Arial" w:eastAsia="Arial" w:hAnsi="Arial"/>
                <w:sz w:val="22"/>
                <w:szCs w:val="22"/>
                <w:color w:val="auto"/>
              </w:rPr>
              <w:t>Satellite</w:t>
            </w:r>
          </w:p>
        </w:tc>
        <w:tc>
          <w:tcPr>
            <w:tcW w:w="2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Suite A</w:t>
            </w:r>
          </w:p>
        </w:tc>
        <w:tc>
          <w:tcPr>
            <w:tcW w:w="21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160" w:type="dxa"/>
            <w:vAlign w:val="bottom"/>
            <w:tcBorders>
              <w:left w:val="single" w:sz="8" w:color="auto"/>
              <w:right w:val="single" w:sz="8" w:color="auto"/>
            </w:tcBorders>
          </w:tcPr>
          <w:p>
            <w:pPr>
              <w:spacing w:after="0"/>
              <w:rPr>
                <w:sz w:val="13"/>
                <w:szCs w:val="13"/>
                <w:color w:val="auto"/>
              </w:rPr>
            </w:pPr>
          </w:p>
        </w:tc>
        <w:tc>
          <w:tcPr>
            <w:tcW w:w="1460" w:type="dxa"/>
            <w:vAlign w:val="bottom"/>
            <w:vMerge w:val="continue"/>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8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Gainesville, Florida</w:t>
            </w:r>
          </w:p>
        </w:tc>
        <w:tc>
          <w:tcPr>
            <w:tcW w:w="216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160" w:type="dxa"/>
            <w:vAlign w:val="bottom"/>
            <w:tcBorders>
              <w:left w:val="single" w:sz="8" w:color="auto"/>
              <w:right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28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160" w:type="dxa"/>
            <w:vAlign w:val="bottom"/>
            <w:tcBorders>
              <w:left w:val="single" w:sz="8" w:color="auto"/>
              <w:bottom w:val="single" w:sz="8" w:color="auto"/>
              <w:right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32609</w:t>
            </w:r>
          </w:p>
        </w:tc>
        <w:tc>
          <w:tcPr>
            <w:tcW w:w="2160" w:type="dxa"/>
            <w:vAlign w:val="bottom"/>
            <w:tcBorders>
              <w:bottom w:val="single" w:sz="8" w:color="auto"/>
              <w:right w:val="single" w:sz="8" w:color="auto"/>
            </w:tcBorders>
          </w:tcPr>
          <w:p>
            <w:pPr>
              <w:spacing w:after="0"/>
              <w:rPr>
                <w:sz w:val="23"/>
                <w:szCs w:val="23"/>
                <w:color w:val="auto"/>
              </w:rPr>
            </w:pPr>
          </w:p>
        </w:tc>
        <w:tc>
          <w:tcPr>
            <w:tcW w:w="18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40" w:type="dxa"/>
            <w:vAlign w:val="bottom"/>
            <w:gridSpan w:val="3"/>
          </w:tcPr>
          <w:p>
            <w:pPr>
              <w:ind w:left="60"/>
              <w:spacing w:after="0"/>
              <w:rPr>
                <w:sz w:val="20"/>
                <w:szCs w:val="20"/>
                <w:color w:val="auto"/>
              </w:rPr>
            </w:pPr>
            <w:r>
              <w:rPr>
                <w:rFonts w:ascii="Arial" w:cs="Arial" w:eastAsia="Arial" w:hAnsi="Arial"/>
                <w:sz w:val="18"/>
                <w:szCs w:val="18"/>
                <w:color w:val="auto"/>
              </w:rPr>
              <w:t>Section 5.13 of Schedule 5 – Page 13</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61" w:name="page162"/>
    <w:bookmarkEnd w:id="16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04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66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w:t>
            </w:r>
          </w:p>
        </w:tc>
        <w:tc>
          <w:tcPr>
            <w:tcW w:w="2360" w:type="dxa"/>
            <w:vAlign w:val="bottom"/>
            <w:tcBorders>
              <w:top w:val="single" w:sz="8" w:color="auto"/>
              <w:right w:val="single" w:sz="8" w:color="auto"/>
            </w:tcBorders>
            <w:shd w:val="clear" w:color="auto" w:fill="E0E0E0"/>
          </w:tcPr>
          <w:p>
            <w:pPr>
              <w:spacing w:after="0"/>
              <w:rPr>
                <w:sz w:val="23"/>
                <w:szCs w:val="23"/>
                <w:color w:val="auto"/>
              </w:rPr>
            </w:pPr>
          </w:p>
        </w:tc>
        <w:tc>
          <w:tcPr>
            <w:tcW w:w="216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PRIOR</w:t>
            </w:r>
          </w:p>
        </w:tc>
        <w:tc>
          <w:tcPr>
            <w:tcW w:w="186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660" w:type="dxa"/>
            <w:vAlign w:val="bottom"/>
            <w:tcBorders>
              <w:right w:val="single" w:sz="8" w:color="auto"/>
            </w:tcBorders>
            <w:vMerge w:val="continue"/>
            <w:shd w:val="clear" w:color="auto" w:fill="E0E0E0"/>
          </w:tcPr>
          <w:p>
            <w:pPr>
              <w:spacing w:after="0"/>
              <w:rPr>
                <w:sz w:val="10"/>
                <w:szCs w:val="10"/>
                <w:color w:val="auto"/>
              </w:rPr>
            </w:pPr>
          </w:p>
        </w:tc>
        <w:tc>
          <w:tcPr>
            <w:tcW w:w="236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160" w:type="dxa"/>
            <w:vAlign w:val="bottom"/>
            <w:tcBorders>
              <w:right w:val="single" w:sz="8" w:color="auto"/>
            </w:tcBorders>
            <w:vMerge w:val="continue"/>
            <w:shd w:val="clear" w:color="auto" w:fill="E0E0E0"/>
          </w:tcPr>
          <w:p>
            <w:pPr>
              <w:spacing w:after="0"/>
              <w:rPr>
                <w:sz w:val="10"/>
                <w:szCs w:val="10"/>
                <w:color w:val="auto"/>
              </w:rPr>
            </w:pPr>
          </w:p>
        </w:tc>
        <w:tc>
          <w:tcPr>
            <w:tcW w:w="186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66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TYPE</w:t>
            </w:r>
          </w:p>
        </w:tc>
        <w:tc>
          <w:tcPr>
            <w:tcW w:w="2360" w:type="dxa"/>
            <w:vAlign w:val="bottom"/>
            <w:tcBorders>
              <w:right w:val="single" w:sz="8" w:color="auto"/>
            </w:tcBorders>
            <w:vMerge w:val="continue"/>
            <w:shd w:val="clear" w:color="auto" w:fill="E0E0E0"/>
          </w:tcPr>
          <w:p>
            <w:pPr>
              <w:spacing w:after="0"/>
              <w:rPr>
                <w:sz w:val="10"/>
                <w:szCs w:val="10"/>
                <w:color w:val="auto"/>
              </w:rPr>
            </w:pPr>
          </w:p>
        </w:tc>
        <w:tc>
          <w:tcPr>
            <w:tcW w:w="216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ADDRESSES</w:t>
            </w:r>
          </w:p>
        </w:tc>
        <w:tc>
          <w:tcPr>
            <w:tcW w:w="186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40" w:type="dxa"/>
            <w:vAlign w:val="bottom"/>
            <w:tcBorders>
              <w:left w:val="single" w:sz="8" w:color="auto"/>
              <w:right w:val="single" w:sz="8" w:color="auto"/>
            </w:tcBorders>
            <w:shd w:val="clear" w:color="auto" w:fill="E0E0E0"/>
          </w:tcPr>
          <w:p>
            <w:pPr>
              <w:spacing w:after="0"/>
              <w:rPr>
                <w:sz w:val="13"/>
                <w:szCs w:val="13"/>
                <w:color w:val="auto"/>
              </w:rPr>
            </w:pPr>
          </w:p>
        </w:tc>
        <w:tc>
          <w:tcPr>
            <w:tcW w:w="1660" w:type="dxa"/>
            <w:vAlign w:val="bottom"/>
            <w:tcBorders>
              <w:right w:val="single" w:sz="8" w:color="auto"/>
            </w:tcBorders>
            <w:vMerge w:val="continue"/>
            <w:shd w:val="clear" w:color="auto" w:fill="E0E0E0"/>
          </w:tcPr>
          <w:p>
            <w:pPr>
              <w:spacing w:after="0"/>
              <w:rPr>
                <w:sz w:val="13"/>
                <w:szCs w:val="13"/>
                <w:color w:val="auto"/>
              </w:rPr>
            </w:pPr>
          </w:p>
        </w:tc>
        <w:tc>
          <w:tcPr>
            <w:tcW w:w="2360" w:type="dxa"/>
            <w:vAlign w:val="bottom"/>
            <w:tcBorders>
              <w:right w:val="single" w:sz="8" w:color="auto"/>
            </w:tcBorders>
            <w:shd w:val="clear" w:color="auto" w:fill="E0E0E0"/>
          </w:tcPr>
          <w:p>
            <w:pPr>
              <w:spacing w:after="0"/>
              <w:rPr>
                <w:sz w:val="13"/>
                <w:szCs w:val="13"/>
                <w:color w:val="auto"/>
              </w:rPr>
            </w:pPr>
          </w:p>
        </w:tc>
        <w:tc>
          <w:tcPr>
            <w:tcW w:w="2160" w:type="dxa"/>
            <w:vAlign w:val="bottom"/>
            <w:tcBorders>
              <w:right w:val="single" w:sz="8" w:color="auto"/>
            </w:tcBorders>
            <w:vMerge w:val="continue"/>
            <w:shd w:val="clear" w:color="auto" w:fill="E0E0E0"/>
          </w:tcPr>
          <w:p>
            <w:pPr>
              <w:spacing w:after="0"/>
              <w:rPr>
                <w:sz w:val="13"/>
                <w:szCs w:val="13"/>
                <w:color w:val="auto"/>
              </w:rPr>
            </w:pPr>
          </w:p>
        </w:tc>
        <w:tc>
          <w:tcPr>
            <w:tcW w:w="186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04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660" w:type="dxa"/>
            <w:vAlign w:val="bottom"/>
            <w:tcBorders>
              <w:bottom w:val="single" w:sz="8" w:color="auto"/>
              <w:right w:val="single" w:sz="8" w:color="auto"/>
            </w:tcBorders>
            <w:shd w:val="clear" w:color="auto" w:fill="E0E0E0"/>
          </w:tcPr>
          <w:p>
            <w:pPr>
              <w:spacing w:after="0"/>
              <w:rPr>
                <w:sz w:val="11"/>
                <w:szCs w:val="11"/>
                <w:color w:val="auto"/>
              </w:rPr>
            </w:pPr>
          </w:p>
        </w:tc>
        <w:tc>
          <w:tcPr>
            <w:tcW w:w="2360" w:type="dxa"/>
            <w:vAlign w:val="bottom"/>
            <w:tcBorders>
              <w:bottom w:val="single" w:sz="8" w:color="auto"/>
              <w:right w:val="single" w:sz="8" w:color="auto"/>
            </w:tcBorders>
            <w:shd w:val="clear" w:color="auto" w:fill="E0E0E0"/>
          </w:tcPr>
          <w:p>
            <w:pPr>
              <w:spacing w:after="0"/>
              <w:rPr>
                <w:sz w:val="11"/>
                <w:szCs w:val="11"/>
                <w:color w:val="auto"/>
              </w:rPr>
            </w:pPr>
          </w:p>
        </w:tc>
        <w:tc>
          <w:tcPr>
            <w:tcW w:w="2160" w:type="dxa"/>
            <w:vAlign w:val="bottom"/>
            <w:tcBorders>
              <w:bottom w:val="single" w:sz="8" w:color="auto"/>
              <w:right w:val="single" w:sz="8" w:color="auto"/>
            </w:tcBorders>
            <w:shd w:val="clear" w:color="auto" w:fill="E0E0E0"/>
          </w:tcPr>
          <w:p>
            <w:pPr>
              <w:spacing w:after="0"/>
              <w:rPr>
                <w:sz w:val="11"/>
                <w:szCs w:val="11"/>
                <w:color w:val="auto"/>
              </w:rPr>
            </w:pPr>
          </w:p>
        </w:tc>
        <w:tc>
          <w:tcPr>
            <w:tcW w:w="186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040" w:type="dxa"/>
            <w:vAlign w:val="bottom"/>
            <w:tcBorders>
              <w:left w:val="single" w:sz="8" w:color="auto"/>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236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w w:val="94"/>
              </w:rPr>
              <w:t>150 Venetian Way, Stes</w:t>
            </w:r>
          </w:p>
        </w:tc>
        <w:tc>
          <w:tcPr>
            <w:tcW w:w="216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109 &amp; 111</w:t>
            </w:r>
          </w:p>
        </w:tc>
        <w:tc>
          <w:tcPr>
            <w:tcW w:w="21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4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Merritt Island, Florida</w:t>
            </w:r>
          </w:p>
        </w:tc>
        <w:tc>
          <w:tcPr>
            <w:tcW w:w="216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4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4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32953</w:t>
            </w:r>
          </w:p>
        </w:tc>
        <w:tc>
          <w:tcPr>
            <w:tcW w:w="216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w:t>
            </w: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2311, 2312, 2319</w:t>
            </w:r>
          </w:p>
        </w:tc>
        <w:tc>
          <w:tcPr>
            <w:tcW w:w="18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5"/>
              </w:rPr>
              <w:t>USA (Tennessee),</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4"/>
              </w:rPr>
              <w:t>1330 Murfreesboro Pike</w:t>
            </w:r>
          </w:p>
        </w:tc>
        <w:tc>
          <w:tcPr>
            <w:tcW w:w="2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S.M. Lawrence</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vMerge w:val="continue"/>
          </w:tcPr>
          <w:p>
            <w:pPr>
              <w:spacing w:after="0"/>
              <w:rPr>
                <w:sz w:val="12"/>
                <w:szCs w:val="12"/>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Kline Avenue</w:t>
            </w:r>
          </w:p>
        </w:tc>
        <w:tc>
          <w:tcPr>
            <w:tcW w:w="1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Nashville, Tennessee</w:t>
            </w:r>
          </w:p>
        </w:tc>
        <w:tc>
          <w:tcPr>
            <w:tcW w:w="216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Dillingham &amp;</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Company, Inc.</w:t>
            </w: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6"/>
              </w:rPr>
              <w:t>Nashville, Tennessee</w:t>
            </w:r>
          </w:p>
        </w:tc>
        <w:tc>
          <w:tcPr>
            <w:tcW w:w="1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Borders>
              <w:left w:val="single" w:sz="8" w:color="auto"/>
              <w:right w:val="single" w:sz="8" w:color="auto"/>
            </w:tcBorders>
            <w:vMerge w:val="continue"/>
          </w:tcPr>
          <w:p>
            <w:pPr>
              <w:spacing w:after="0"/>
              <w:rPr>
                <w:sz w:val="12"/>
                <w:szCs w:val="12"/>
                <w:color w:val="auto"/>
              </w:rPr>
            </w:pPr>
          </w:p>
        </w:tc>
        <w:tc>
          <w:tcPr>
            <w:tcW w:w="1660" w:type="dxa"/>
            <w:vAlign w:val="bottom"/>
            <w:tcBorders>
              <w:right w:val="single" w:sz="8" w:color="auto"/>
            </w:tcBorders>
            <w:vMerge w:val="continue"/>
          </w:tcPr>
          <w:p>
            <w:pPr>
              <w:spacing w:after="0"/>
              <w:rPr>
                <w:sz w:val="12"/>
                <w:szCs w:val="12"/>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37217</w:t>
            </w:r>
          </w:p>
        </w:tc>
        <w:tc>
          <w:tcPr>
            <w:tcW w:w="216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w w:val="99"/>
              </w:rPr>
              <w:t>Smith Mechanical</w:t>
            </w: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37211</w:t>
            </w:r>
          </w:p>
        </w:tc>
        <w:tc>
          <w:tcPr>
            <w:tcW w:w="1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tcPr>
          <w:p>
            <w:pPr>
              <w:spacing w:after="0"/>
              <w:rPr>
                <w:sz w:val="13"/>
                <w:szCs w:val="13"/>
                <w:color w:val="auto"/>
              </w:rPr>
            </w:pPr>
          </w:p>
        </w:tc>
        <w:tc>
          <w:tcPr>
            <w:tcW w:w="2360" w:type="dxa"/>
            <w:vAlign w:val="bottom"/>
            <w:tcBorders>
              <w:right w:val="single" w:sz="8" w:color="auto"/>
            </w:tcBorders>
          </w:tcPr>
          <w:p>
            <w:pPr>
              <w:spacing w:after="0"/>
              <w:rPr>
                <w:sz w:val="13"/>
                <w:szCs w:val="13"/>
                <w:color w:val="auto"/>
              </w:rPr>
            </w:pPr>
          </w:p>
        </w:tc>
        <w:tc>
          <w:tcPr>
            <w:tcW w:w="2160" w:type="dxa"/>
            <w:vAlign w:val="bottom"/>
            <w:tcBorders>
              <w:right w:val="single" w:sz="8" w:color="auto"/>
            </w:tcBorders>
            <w:vMerge w:val="continue"/>
          </w:tcPr>
          <w:p>
            <w:pPr>
              <w:spacing w:after="0"/>
              <w:rPr>
                <w:sz w:val="13"/>
                <w:szCs w:val="13"/>
                <w:color w:val="auto"/>
              </w:rPr>
            </w:pPr>
          </w:p>
        </w:tc>
        <w:tc>
          <w:tcPr>
            <w:tcW w:w="18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and Sheet Metal</w:t>
            </w:r>
          </w:p>
        </w:tc>
        <w:tc>
          <w:tcPr>
            <w:tcW w:w="0" w:type="dxa"/>
            <w:vAlign w:val="bottom"/>
          </w:tcPr>
          <w:p>
            <w:pPr>
              <w:spacing w:after="0"/>
              <w:rPr>
                <w:sz w:val="1"/>
                <w:szCs w:val="1"/>
                <w:color w:val="auto"/>
              </w:rPr>
            </w:pPr>
          </w:p>
        </w:tc>
      </w:tr>
      <w:tr>
        <w:trPr>
          <w:trHeight w:val="90"/>
        </w:trPr>
        <w:tc>
          <w:tcPr>
            <w:tcW w:w="2040" w:type="dxa"/>
            <w:vAlign w:val="bottom"/>
            <w:tcBorders>
              <w:left w:val="single" w:sz="8" w:color="auto"/>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2360" w:type="dxa"/>
            <w:vAlign w:val="bottom"/>
            <w:tcBorders>
              <w:right w:val="single" w:sz="8" w:color="auto"/>
            </w:tcBorders>
          </w:tcPr>
          <w:p>
            <w:pPr>
              <w:spacing w:after="0"/>
              <w:rPr>
                <w:sz w:val="7"/>
                <w:szCs w:val="7"/>
                <w:color w:val="auto"/>
              </w:rPr>
            </w:pPr>
          </w:p>
        </w:tc>
        <w:tc>
          <w:tcPr>
            <w:tcW w:w="2160" w:type="dxa"/>
            <w:vAlign w:val="bottom"/>
            <w:tcBorders>
              <w:right w:val="single" w:sz="8" w:color="auto"/>
            </w:tcBorders>
          </w:tcPr>
          <w:p>
            <w:pPr>
              <w:spacing w:after="0"/>
              <w:rPr>
                <w:sz w:val="7"/>
                <w:szCs w:val="7"/>
                <w:color w:val="auto"/>
              </w:rPr>
            </w:pPr>
          </w:p>
        </w:tc>
        <w:tc>
          <w:tcPr>
            <w:tcW w:w="18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204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16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Contractors, Inc.</w:t>
            </w: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156 Main St.,</w:t>
            </w:r>
          </w:p>
        </w:tc>
        <w:tc>
          <w:tcPr>
            <w:tcW w:w="2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Collierville, Tennessee</w:t>
            </w:r>
          </w:p>
        </w:tc>
        <w:tc>
          <w:tcPr>
            <w:tcW w:w="21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4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38017</w:t>
            </w:r>
          </w:p>
        </w:tc>
        <w:tc>
          <w:tcPr>
            <w:tcW w:w="216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245, 257, 251 Preston</w:t>
            </w:r>
          </w:p>
        </w:tc>
        <w:tc>
          <w:tcPr>
            <w:tcW w:w="2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40" w:type="dxa"/>
            <w:vAlign w:val="bottom"/>
            <w:tcBorders>
              <w:left w:val="single" w:sz="8" w:color="auto"/>
              <w:right w:val="single" w:sz="8" w:color="auto"/>
            </w:tcBorders>
          </w:tcPr>
          <w:p>
            <w:pPr>
              <w:spacing w:after="0"/>
              <w:rPr>
                <w:sz w:val="21"/>
                <w:szCs w:val="21"/>
                <w:color w:val="auto"/>
              </w:rPr>
            </w:pPr>
          </w:p>
        </w:tc>
        <w:tc>
          <w:tcPr>
            <w:tcW w:w="16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Satellite</w:t>
            </w:r>
          </w:p>
        </w:tc>
        <w:tc>
          <w:tcPr>
            <w:tcW w:w="236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Street, Jackson,</w:t>
            </w:r>
          </w:p>
        </w:tc>
        <w:tc>
          <w:tcPr>
            <w:tcW w:w="21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40" w:type="dxa"/>
            <w:vAlign w:val="bottom"/>
            <w:tcBorders>
              <w:left w:val="single" w:sz="8" w:color="auto"/>
              <w:bottom w:val="single" w:sz="8" w:color="auto"/>
              <w:right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Tennessee 38301</w:t>
            </w:r>
          </w:p>
        </w:tc>
        <w:tc>
          <w:tcPr>
            <w:tcW w:w="216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04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Principal Place</w:t>
            </w:r>
          </w:p>
        </w:tc>
        <w:tc>
          <w:tcPr>
            <w:tcW w:w="236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16001-A Industrial</w:t>
            </w:r>
          </w:p>
        </w:tc>
        <w:tc>
          <w:tcPr>
            <w:tcW w:w="216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restart"/>
          </w:tcPr>
          <w:p>
            <w:pPr>
              <w:ind w:left="120"/>
              <w:spacing w:after="0" w:line="243" w:lineRule="exact"/>
              <w:rPr>
                <w:sz w:val="20"/>
                <w:szCs w:val="20"/>
                <w:color w:val="auto"/>
              </w:rPr>
            </w:pPr>
            <w:r>
              <w:rPr>
                <w:rFonts w:ascii="Arial" w:cs="Arial" w:eastAsia="Arial" w:hAnsi="Arial"/>
                <w:sz w:val="22"/>
                <w:szCs w:val="22"/>
                <w:color w:val="auto"/>
              </w:rPr>
              <w:t>Seasonair, Inc.</w:t>
            </w:r>
          </w:p>
        </w:tc>
        <w:tc>
          <w:tcPr>
            <w:tcW w:w="16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Drive, Gaithersburg,</w:t>
            </w:r>
          </w:p>
        </w:tc>
        <w:tc>
          <w:tcPr>
            <w:tcW w:w="216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Borders>
              <w:left w:val="single" w:sz="8" w:color="auto"/>
              <w:right w:val="single" w:sz="8" w:color="auto"/>
            </w:tcBorders>
            <w:vMerge w:val="continue"/>
          </w:tcPr>
          <w:p>
            <w:pPr>
              <w:spacing w:after="0"/>
              <w:rPr>
                <w:sz w:val="10"/>
                <w:szCs w:val="10"/>
                <w:color w:val="auto"/>
              </w:rPr>
            </w:pPr>
          </w:p>
        </w:tc>
        <w:tc>
          <w:tcPr>
            <w:tcW w:w="16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of Business</w:t>
            </w:r>
          </w:p>
        </w:tc>
        <w:tc>
          <w:tcPr>
            <w:tcW w:w="236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40" w:type="dxa"/>
            <w:vAlign w:val="bottom"/>
            <w:tcBorders>
              <w:left w:val="single" w:sz="8" w:color="auto"/>
              <w:right w:val="single" w:sz="8" w:color="auto"/>
            </w:tcBorders>
          </w:tcPr>
          <w:p>
            <w:pPr>
              <w:spacing w:after="0"/>
              <w:rPr>
                <w:sz w:val="13"/>
                <w:szCs w:val="13"/>
                <w:color w:val="auto"/>
              </w:rPr>
            </w:pPr>
          </w:p>
        </w:tc>
        <w:tc>
          <w:tcPr>
            <w:tcW w:w="1660" w:type="dxa"/>
            <w:vAlign w:val="bottom"/>
            <w:tcBorders>
              <w:right w:val="single" w:sz="8" w:color="auto"/>
            </w:tcBorders>
            <w:vMerge w:val="continue"/>
          </w:tcPr>
          <w:p>
            <w:pPr>
              <w:spacing w:after="0"/>
              <w:rPr>
                <w:sz w:val="13"/>
                <w:szCs w:val="13"/>
                <w:color w:val="auto"/>
              </w:rPr>
            </w:pPr>
          </w:p>
        </w:tc>
        <w:tc>
          <w:tcPr>
            <w:tcW w:w="2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Maryland 20877</w:t>
            </w:r>
          </w:p>
        </w:tc>
        <w:tc>
          <w:tcPr>
            <w:tcW w:w="216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40" w:type="dxa"/>
            <w:vAlign w:val="bottom"/>
            <w:tcBorders>
              <w:left w:val="single" w:sz="8" w:color="auto"/>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vMerge w:val="continue"/>
          </w:tcPr>
          <w:p>
            <w:pPr>
              <w:spacing w:after="0"/>
              <w:rPr>
                <w:sz w:val="9"/>
                <w:szCs w:val="9"/>
                <w:color w:val="auto"/>
              </w:rPr>
            </w:pPr>
          </w:p>
        </w:tc>
        <w:tc>
          <w:tcPr>
            <w:tcW w:w="2160" w:type="dxa"/>
            <w:vAlign w:val="bottom"/>
            <w:tcBorders>
              <w:bottom w:val="single" w:sz="8" w:color="auto"/>
              <w:right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8"/>
        </w:trPr>
        <w:tc>
          <w:tcPr>
            <w:tcW w:w="2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Section 5.13 of Schedule 5 – Page 14</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260" w:type="dxa"/>
            <w:vAlign w:val="bottom"/>
            <w:tcBorders>
              <w:top w:val="single" w:sz="8" w:color="auto"/>
              <w:left w:val="single" w:sz="8" w:color="auto"/>
              <w:right w:val="single" w:sz="8" w:color="auto"/>
            </w:tcBorders>
            <w:shd w:val="clear" w:color="auto" w:fill="E0E0E0"/>
          </w:tcPr>
          <w:p>
            <w:pPr>
              <w:spacing w:after="0"/>
              <w:rPr>
                <w:sz w:val="23"/>
                <w:szCs w:val="23"/>
                <w:color w:val="auto"/>
              </w:rPr>
            </w:pPr>
          </w:p>
        </w:tc>
        <w:tc>
          <w:tcPr>
            <w:tcW w:w="1600" w:type="dxa"/>
            <w:vAlign w:val="bottom"/>
            <w:tcBorders>
              <w:top w:val="single" w:sz="8" w:color="auto"/>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ADDRESS</w:t>
            </w:r>
          </w:p>
        </w:tc>
        <w:tc>
          <w:tcPr>
            <w:tcW w:w="2140" w:type="dxa"/>
            <w:vAlign w:val="bottom"/>
            <w:tcBorders>
              <w:top w:val="single" w:sz="8" w:color="auto"/>
              <w:right w:val="single" w:sz="8" w:color="auto"/>
            </w:tcBorders>
            <w:shd w:val="clear" w:color="auto" w:fill="E0E0E0"/>
          </w:tcPr>
          <w:p>
            <w:pPr>
              <w:spacing w:after="0"/>
              <w:rPr>
                <w:sz w:val="23"/>
                <w:szCs w:val="23"/>
                <w:color w:val="auto"/>
              </w:rPr>
            </w:pPr>
          </w:p>
        </w:tc>
        <w:tc>
          <w:tcPr>
            <w:tcW w:w="2060" w:type="dxa"/>
            <w:vAlign w:val="bottom"/>
            <w:tcBorders>
              <w:top w:val="single" w:sz="8" w:color="auto"/>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PRIOR</w:t>
            </w:r>
          </w:p>
        </w:tc>
        <w:tc>
          <w:tcPr>
            <w:tcW w:w="2020" w:type="dxa"/>
            <w:vAlign w:val="bottom"/>
            <w:tcBorders>
              <w:top w:val="single" w:sz="8" w:color="auto"/>
              <w:right w:val="single" w:sz="8" w:color="auto"/>
            </w:tcBorders>
            <w:shd w:val="clear" w:color="auto" w:fill="E0E0E0"/>
          </w:tcPr>
          <w:p>
            <w:pPr>
              <w:ind w:left="100"/>
              <w:spacing w:after="0"/>
              <w:rPr>
                <w:sz w:val="20"/>
                <w:szCs w:val="20"/>
                <w:color w:val="auto"/>
              </w:rPr>
            </w:pPr>
            <w:r>
              <w:rPr>
                <w:rFonts w:ascii="Arial" w:cs="Arial" w:eastAsia="Arial" w:hAnsi="Arial"/>
                <w:sz w:val="22"/>
                <w:szCs w:val="22"/>
                <w:b w:val="1"/>
                <w:bCs w:val="1"/>
                <w:color w:val="auto"/>
              </w:rPr>
              <w:t>PRIOR NAMES</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shd w:val="clear" w:color="auto" w:fill="E0E0E0"/>
          </w:tcPr>
          <w:p>
            <w:pPr>
              <w:ind w:left="120"/>
              <w:spacing w:after="0" w:line="243" w:lineRule="exact"/>
              <w:rPr>
                <w:sz w:val="20"/>
                <w:szCs w:val="20"/>
                <w:color w:val="auto"/>
              </w:rPr>
            </w:pPr>
            <w:r>
              <w:rPr>
                <w:rFonts w:ascii="Arial" w:cs="Arial" w:eastAsia="Arial" w:hAnsi="Arial"/>
                <w:sz w:val="22"/>
                <w:szCs w:val="22"/>
                <w:b w:val="1"/>
                <w:bCs w:val="1"/>
                <w:color w:val="auto"/>
              </w:rPr>
              <w:t>ENTITY NAME</w:t>
            </w:r>
          </w:p>
        </w:tc>
        <w:tc>
          <w:tcPr>
            <w:tcW w:w="1600" w:type="dxa"/>
            <w:vAlign w:val="bottom"/>
            <w:tcBorders>
              <w:right w:val="single" w:sz="8" w:color="auto"/>
            </w:tcBorders>
            <w:vMerge w:val="continue"/>
            <w:shd w:val="clear" w:color="auto" w:fill="E0E0E0"/>
          </w:tcPr>
          <w:p>
            <w:pPr>
              <w:spacing w:after="0"/>
              <w:rPr>
                <w:sz w:val="10"/>
                <w:szCs w:val="10"/>
                <w:color w:val="auto"/>
              </w:rPr>
            </w:pPr>
          </w:p>
        </w:tc>
        <w:tc>
          <w:tcPr>
            <w:tcW w:w="214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ADDRESS</w:t>
            </w:r>
          </w:p>
        </w:tc>
        <w:tc>
          <w:tcPr>
            <w:tcW w:w="2060" w:type="dxa"/>
            <w:vAlign w:val="bottom"/>
            <w:tcBorders>
              <w:right w:val="single" w:sz="8" w:color="auto"/>
            </w:tcBorders>
            <w:vMerge w:val="continue"/>
            <w:shd w:val="clear" w:color="auto" w:fill="E0E0E0"/>
          </w:tcPr>
          <w:p>
            <w:pPr>
              <w:spacing w:after="0"/>
              <w:rPr>
                <w:sz w:val="10"/>
                <w:szCs w:val="10"/>
                <w:color w:val="auto"/>
              </w:rPr>
            </w:pPr>
          </w:p>
        </w:tc>
        <w:tc>
          <w:tcPr>
            <w:tcW w:w="2020" w:type="dxa"/>
            <w:vAlign w:val="bottom"/>
            <w:tcBorders>
              <w:right w:val="single" w:sz="8" w:color="auto"/>
            </w:tcBorders>
            <w:vMerge w:val="restart"/>
            <w:shd w:val="clear" w:color="auto" w:fill="E0E0E0"/>
          </w:tcPr>
          <w:p>
            <w:pPr>
              <w:ind w:left="100"/>
              <w:spacing w:after="0" w:line="243" w:lineRule="exact"/>
              <w:rPr>
                <w:sz w:val="20"/>
                <w:szCs w:val="20"/>
                <w:color w:val="auto"/>
              </w:rPr>
            </w:pPr>
            <w:r>
              <w:rPr>
                <w:rFonts w:ascii="Arial" w:cs="Arial" w:eastAsia="Arial" w:hAnsi="Arial"/>
                <w:sz w:val="22"/>
                <w:szCs w:val="22"/>
                <w:b w:val="1"/>
                <w:bCs w:val="1"/>
                <w:color w:val="auto"/>
              </w:rPr>
              <w:t>&amp; TRADE</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shd w:val="clear" w:color="auto" w:fill="E0E0E0"/>
          </w:tcPr>
          <w:p>
            <w:pPr>
              <w:spacing w:after="0"/>
              <w:rPr>
                <w:sz w:val="10"/>
                <w:szCs w:val="10"/>
                <w:color w:val="auto"/>
              </w:rPr>
            </w:pPr>
          </w:p>
        </w:tc>
        <w:tc>
          <w:tcPr>
            <w:tcW w:w="160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TYPE</w:t>
            </w:r>
          </w:p>
        </w:tc>
        <w:tc>
          <w:tcPr>
            <w:tcW w:w="2140" w:type="dxa"/>
            <w:vAlign w:val="bottom"/>
            <w:tcBorders>
              <w:right w:val="single" w:sz="8" w:color="auto"/>
            </w:tcBorders>
            <w:vMerge w:val="continue"/>
            <w:shd w:val="clear" w:color="auto" w:fill="E0E0E0"/>
          </w:tcPr>
          <w:p>
            <w:pPr>
              <w:spacing w:after="0"/>
              <w:rPr>
                <w:sz w:val="10"/>
                <w:szCs w:val="10"/>
                <w:color w:val="auto"/>
              </w:rPr>
            </w:pPr>
          </w:p>
        </w:tc>
        <w:tc>
          <w:tcPr>
            <w:tcW w:w="2060" w:type="dxa"/>
            <w:vAlign w:val="bottom"/>
            <w:tcBorders>
              <w:right w:val="single" w:sz="8" w:color="auto"/>
            </w:tcBorders>
            <w:vMerge w:val="restart"/>
            <w:shd w:val="clear" w:color="auto" w:fill="E0E0E0"/>
          </w:tcPr>
          <w:p>
            <w:pPr>
              <w:ind w:left="80"/>
              <w:spacing w:after="0"/>
              <w:rPr>
                <w:sz w:val="20"/>
                <w:szCs w:val="20"/>
                <w:color w:val="auto"/>
              </w:rPr>
            </w:pPr>
            <w:r>
              <w:rPr>
                <w:rFonts w:ascii="Arial" w:cs="Arial" w:eastAsia="Arial" w:hAnsi="Arial"/>
                <w:sz w:val="22"/>
                <w:szCs w:val="22"/>
                <w:b w:val="1"/>
                <w:bCs w:val="1"/>
                <w:color w:val="auto"/>
              </w:rPr>
              <w:t>ADDRESSES</w:t>
            </w:r>
          </w:p>
        </w:tc>
        <w:tc>
          <w:tcPr>
            <w:tcW w:w="2020" w:type="dxa"/>
            <w:vAlign w:val="bottom"/>
            <w:tcBorders>
              <w:right w:val="single" w:sz="8" w:color="auto"/>
            </w:tcBorders>
            <w:vMerge w:val="continue"/>
            <w:shd w:val="clear" w:color="auto" w:fill="E0E0E0"/>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60" w:type="dxa"/>
            <w:vAlign w:val="bottom"/>
            <w:tcBorders>
              <w:left w:val="single" w:sz="8" w:color="auto"/>
              <w:right w:val="single" w:sz="8" w:color="auto"/>
            </w:tcBorders>
            <w:shd w:val="clear" w:color="auto" w:fill="E0E0E0"/>
          </w:tcPr>
          <w:p>
            <w:pPr>
              <w:spacing w:after="0"/>
              <w:rPr>
                <w:sz w:val="13"/>
                <w:szCs w:val="13"/>
                <w:color w:val="auto"/>
              </w:rPr>
            </w:pPr>
          </w:p>
        </w:tc>
        <w:tc>
          <w:tcPr>
            <w:tcW w:w="1600" w:type="dxa"/>
            <w:vAlign w:val="bottom"/>
            <w:tcBorders>
              <w:right w:val="single" w:sz="8" w:color="auto"/>
            </w:tcBorders>
            <w:vMerge w:val="continue"/>
            <w:shd w:val="clear" w:color="auto" w:fill="E0E0E0"/>
          </w:tcPr>
          <w:p>
            <w:pPr>
              <w:spacing w:after="0"/>
              <w:rPr>
                <w:sz w:val="13"/>
                <w:szCs w:val="13"/>
                <w:color w:val="auto"/>
              </w:rPr>
            </w:pPr>
          </w:p>
        </w:tc>
        <w:tc>
          <w:tcPr>
            <w:tcW w:w="2140" w:type="dxa"/>
            <w:vAlign w:val="bottom"/>
            <w:tcBorders>
              <w:right w:val="single" w:sz="8" w:color="auto"/>
            </w:tcBorders>
            <w:shd w:val="clear" w:color="auto" w:fill="E0E0E0"/>
          </w:tcPr>
          <w:p>
            <w:pPr>
              <w:spacing w:after="0"/>
              <w:rPr>
                <w:sz w:val="13"/>
                <w:szCs w:val="13"/>
                <w:color w:val="auto"/>
              </w:rPr>
            </w:pPr>
          </w:p>
        </w:tc>
        <w:tc>
          <w:tcPr>
            <w:tcW w:w="2060" w:type="dxa"/>
            <w:vAlign w:val="bottom"/>
            <w:tcBorders>
              <w:right w:val="single" w:sz="8" w:color="auto"/>
            </w:tcBorders>
            <w:vMerge w:val="continue"/>
            <w:shd w:val="clear" w:color="auto" w:fill="E0E0E0"/>
          </w:tcPr>
          <w:p>
            <w:pPr>
              <w:spacing w:after="0"/>
              <w:rPr>
                <w:sz w:val="13"/>
                <w:szCs w:val="13"/>
                <w:color w:val="auto"/>
              </w:rPr>
            </w:pPr>
          </w:p>
        </w:tc>
        <w:tc>
          <w:tcPr>
            <w:tcW w:w="2020" w:type="dxa"/>
            <w:vAlign w:val="bottom"/>
            <w:tcBorders>
              <w:right w:val="single" w:sz="8" w:color="auto"/>
            </w:tcBorders>
            <w:vMerge w:val="restart"/>
            <w:shd w:val="clear" w:color="auto" w:fill="E0E0E0"/>
          </w:tcPr>
          <w:p>
            <w:pPr>
              <w:ind w:left="100"/>
              <w:spacing w:after="0"/>
              <w:rPr>
                <w:sz w:val="20"/>
                <w:szCs w:val="20"/>
                <w:color w:val="auto"/>
              </w:rPr>
            </w:pPr>
            <w:r>
              <w:rPr>
                <w:rFonts w:ascii="Arial" w:cs="Arial" w:eastAsia="Arial" w:hAnsi="Arial"/>
                <w:sz w:val="22"/>
                <w:szCs w:val="22"/>
                <w:b w:val="1"/>
                <w:bCs w:val="1"/>
                <w:color w:val="auto"/>
              </w:rPr>
              <w:t>NAMES</w:t>
            </w:r>
          </w:p>
        </w:tc>
        <w:tc>
          <w:tcPr>
            <w:tcW w:w="0" w:type="dxa"/>
            <w:vAlign w:val="bottom"/>
          </w:tcPr>
          <w:p>
            <w:pPr>
              <w:spacing w:after="0"/>
              <w:rPr>
                <w:sz w:val="1"/>
                <w:szCs w:val="1"/>
                <w:color w:val="auto"/>
              </w:rPr>
            </w:pPr>
          </w:p>
        </w:tc>
      </w:tr>
      <w:tr>
        <w:trPr>
          <w:trHeight w:val="132"/>
        </w:trPr>
        <w:tc>
          <w:tcPr>
            <w:tcW w:w="2260" w:type="dxa"/>
            <w:vAlign w:val="bottom"/>
            <w:tcBorders>
              <w:left w:val="single" w:sz="8" w:color="auto"/>
              <w:bottom w:val="single" w:sz="8" w:color="auto"/>
              <w:right w:val="single" w:sz="8" w:color="auto"/>
            </w:tcBorders>
            <w:shd w:val="clear" w:color="auto" w:fill="E0E0E0"/>
          </w:tcPr>
          <w:p>
            <w:pPr>
              <w:spacing w:after="0"/>
              <w:rPr>
                <w:sz w:val="11"/>
                <w:szCs w:val="11"/>
                <w:color w:val="auto"/>
              </w:rPr>
            </w:pPr>
          </w:p>
        </w:tc>
        <w:tc>
          <w:tcPr>
            <w:tcW w:w="1600" w:type="dxa"/>
            <w:vAlign w:val="bottom"/>
            <w:tcBorders>
              <w:bottom w:val="single" w:sz="8" w:color="auto"/>
              <w:right w:val="single" w:sz="8" w:color="auto"/>
            </w:tcBorders>
            <w:shd w:val="clear" w:color="auto" w:fill="E0E0E0"/>
          </w:tcPr>
          <w:p>
            <w:pPr>
              <w:spacing w:after="0"/>
              <w:rPr>
                <w:sz w:val="11"/>
                <w:szCs w:val="11"/>
                <w:color w:val="auto"/>
              </w:rPr>
            </w:pPr>
          </w:p>
        </w:tc>
        <w:tc>
          <w:tcPr>
            <w:tcW w:w="2140" w:type="dxa"/>
            <w:vAlign w:val="bottom"/>
            <w:tcBorders>
              <w:bottom w:val="single" w:sz="8" w:color="auto"/>
              <w:right w:val="single" w:sz="8" w:color="auto"/>
            </w:tcBorders>
            <w:shd w:val="clear" w:color="auto" w:fill="E0E0E0"/>
          </w:tcPr>
          <w:p>
            <w:pPr>
              <w:spacing w:after="0"/>
              <w:rPr>
                <w:sz w:val="11"/>
                <w:szCs w:val="11"/>
                <w:color w:val="auto"/>
              </w:rPr>
            </w:pPr>
          </w:p>
        </w:tc>
        <w:tc>
          <w:tcPr>
            <w:tcW w:w="2060" w:type="dxa"/>
            <w:vAlign w:val="bottom"/>
            <w:tcBorders>
              <w:bottom w:val="single" w:sz="8" w:color="auto"/>
              <w:right w:val="single" w:sz="8" w:color="auto"/>
            </w:tcBorders>
            <w:shd w:val="clear" w:color="auto" w:fill="E0E0E0"/>
          </w:tcPr>
          <w:p>
            <w:pPr>
              <w:spacing w:after="0"/>
              <w:rPr>
                <w:sz w:val="11"/>
                <w:szCs w:val="11"/>
                <w:color w:val="auto"/>
              </w:rPr>
            </w:pPr>
          </w:p>
        </w:tc>
        <w:tc>
          <w:tcPr>
            <w:tcW w:w="2020" w:type="dxa"/>
            <w:vAlign w:val="bottom"/>
            <w:tcBorders>
              <w:bottom w:val="single" w:sz="8" w:color="auto"/>
              <w:right w:val="single" w:sz="8" w:color="auto"/>
            </w:tcBorders>
            <w:vMerge w:val="continue"/>
            <w:shd w:val="clear" w:color="auto" w:fill="E0E0E0"/>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2260" w:type="dxa"/>
            <w:vAlign w:val="bottom"/>
            <w:tcBorders>
              <w:left w:val="single" w:sz="8" w:color="auto"/>
              <w:right w:val="single" w:sz="8" w:color="auto"/>
            </w:tcBorders>
          </w:tcPr>
          <w:p>
            <w:pPr>
              <w:spacing w:after="0"/>
              <w:rPr>
                <w:sz w:val="19"/>
                <w:szCs w:val="19"/>
                <w:color w:val="auto"/>
              </w:rPr>
            </w:pPr>
          </w:p>
        </w:tc>
        <w:tc>
          <w:tcPr>
            <w:tcW w:w="160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Principal Place</w:t>
            </w:r>
          </w:p>
        </w:tc>
        <w:tc>
          <w:tcPr>
            <w:tcW w:w="214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w w:val="96"/>
              </w:rPr>
              <w:t>3538, 3600 and 3626</w:t>
            </w:r>
          </w:p>
        </w:tc>
        <w:tc>
          <w:tcPr>
            <w:tcW w:w="2060" w:type="dxa"/>
            <w:vAlign w:val="bottom"/>
            <w:tcBorders>
              <w:right w:val="single" w:sz="8" w:color="auto"/>
            </w:tcBorders>
          </w:tcPr>
          <w:p>
            <w:pPr>
              <w:spacing w:after="0"/>
              <w:rPr>
                <w:sz w:val="19"/>
                <w:szCs w:val="19"/>
                <w:color w:val="auto"/>
              </w:rPr>
            </w:pPr>
          </w:p>
        </w:tc>
        <w:tc>
          <w:tcPr>
            <w:tcW w:w="2020" w:type="dxa"/>
            <w:vAlign w:val="bottom"/>
            <w:tcBorders>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Shoffner</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of Business</w:t>
            </w: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Papermill Drive,</w:t>
            </w: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Acquisition Corp.</w:t>
            </w:r>
          </w:p>
        </w:tc>
        <w:tc>
          <w:tcPr>
            <w:tcW w:w="0" w:type="dxa"/>
            <w:vAlign w:val="bottom"/>
          </w:tcPr>
          <w:p>
            <w:pPr>
              <w:spacing w:after="0"/>
              <w:rPr>
                <w:sz w:val="1"/>
                <w:szCs w:val="1"/>
                <w:color w:val="auto"/>
              </w:rPr>
            </w:pPr>
          </w:p>
        </w:tc>
      </w:tr>
      <w:tr>
        <w:trPr>
          <w:trHeight w:val="261"/>
        </w:trPr>
        <w:tc>
          <w:tcPr>
            <w:tcW w:w="2260" w:type="dxa"/>
            <w:vAlign w:val="bottom"/>
            <w:tcBorders>
              <w:left w:val="single" w:sz="8" w:color="auto"/>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5"/>
              </w:rPr>
              <w:t>Knoxville, Tennessee</w:t>
            </w:r>
          </w:p>
        </w:tc>
        <w:tc>
          <w:tcPr>
            <w:tcW w:w="206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Shoffner</w:t>
            </w:r>
          </w:p>
        </w:tc>
        <w:tc>
          <w:tcPr>
            <w:tcW w:w="0" w:type="dxa"/>
            <w:vAlign w:val="bottom"/>
          </w:tcPr>
          <w:p>
            <w:pPr>
              <w:spacing w:after="0"/>
              <w:rPr>
                <w:sz w:val="1"/>
                <w:szCs w:val="1"/>
                <w:color w:val="auto"/>
              </w:rPr>
            </w:pPr>
          </w:p>
        </w:tc>
      </w:tr>
      <w:tr>
        <w:trPr>
          <w:trHeight w:val="279"/>
        </w:trPr>
        <w:tc>
          <w:tcPr>
            <w:tcW w:w="2260" w:type="dxa"/>
            <w:vAlign w:val="bottom"/>
            <w:tcBorders>
              <w:left w:val="single" w:sz="8" w:color="auto"/>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37909</w:t>
            </w:r>
          </w:p>
        </w:tc>
        <w:tc>
          <w:tcPr>
            <w:tcW w:w="20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9"/>
              </w:rPr>
              <w:t>Industrial &amp; Service</w:t>
            </w:r>
          </w:p>
        </w:tc>
        <w:tc>
          <w:tcPr>
            <w:tcW w:w="0" w:type="dxa"/>
            <w:vAlign w:val="bottom"/>
          </w:tcPr>
          <w:p>
            <w:pPr>
              <w:spacing w:after="0"/>
              <w:rPr>
                <w:sz w:val="1"/>
                <w:szCs w:val="1"/>
                <w:color w:val="auto"/>
              </w:rPr>
            </w:pPr>
          </w:p>
        </w:tc>
      </w:tr>
      <w:tr>
        <w:trPr>
          <w:trHeight w:val="275"/>
        </w:trPr>
        <w:tc>
          <w:tcPr>
            <w:tcW w:w="2260" w:type="dxa"/>
            <w:vAlign w:val="bottom"/>
            <w:tcBorders>
              <w:left w:val="single" w:sz="8" w:color="auto"/>
              <w:right w:val="single" w:sz="8" w:color="auto"/>
            </w:tcBorders>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Company, Inc.</w:t>
            </w:r>
          </w:p>
        </w:tc>
        <w:tc>
          <w:tcPr>
            <w:tcW w:w="0" w:type="dxa"/>
            <w:vAlign w:val="bottom"/>
          </w:tcPr>
          <w:p>
            <w:pPr>
              <w:spacing w:after="0"/>
              <w:rPr>
                <w:sz w:val="1"/>
                <w:szCs w:val="1"/>
                <w:color w:val="auto"/>
              </w:rPr>
            </w:pPr>
          </w:p>
        </w:tc>
      </w:tr>
      <w:tr>
        <w:trPr>
          <w:trHeight w:val="266"/>
        </w:trPr>
        <w:tc>
          <w:tcPr>
            <w:tcW w:w="2260" w:type="dxa"/>
            <w:vAlign w:val="bottom"/>
            <w:tcBorders>
              <w:left w:val="single" w:sz="8" w:color="auto"/>
              <w:right w:val="single" w:sz="8" w:color="auto"/>
            </w:tcBorders>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ShoffnerKalthoff</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ShoffnerKalthoff</w:t>
            </w: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Electrical Service,</w:t>
            </w:r>
          </w:p>
        </w:tc>
        <w:tc>
          <w:tcPr>
            <w:tcW w:w="0" w:type="dxa"/>
            <w:vAlign w:val="bottom"/>
          </w:tcPr>
          <w:p>
            <w:pPr>
              <w:spacing w:after="0"/>
              <w:rPr>
                <w:sz w:val="1"/>
                <w:szCs w:val="1"/>
                <w:color w:val="auto"/>
              </w:rPr>
            </w:pPr>
          </w:p>
        </w:tc>
      </w:tr>
      <w:tr>
        <w:trPr>
          <w:trHeight w:val="194"/>
        </w:trPr>
        <w:tc>
          <w:tcPr>
            <w:tcW w:w="2260" w:type="dxa"/>
            <w:vAlign w:val="bottom"/>
            <w:tcBorders>
              <w:left w:val="single" w:sz="8" w:color="auto"/>
              <w:right w:val="single" w:sz="8" w:color="auto"/>
            </w:tcBorders>
            <w:vMerge w:val="continue"/>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21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ind w:left="100"/>
              <w:spacing w:after="0" w:line="193" w:lineRule="exact"/>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275"/>
        </w:trPr>
        <w:tc>
          <w:tcPr>
            <w:tcW w:w="2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MES, Inc.</w:t>
            </w:r>
          </w:p>
        </w:tc>
        <w:tc>
          <w:tcPr>
            <w:tcW w:w="160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Shoffner</w:t>
            </w:r>
          </w:p>
        </w:tc>
        <w:tc>
          <w:tcPr>
            <w:tcW w:w="0" w:type="dxa"/>
            <w:vAlign w:val="bottom"/>
          </w:tcPr>
          <w:p>
            <w:pPr>
              <w:spacing w:after="0"/>
              <w:rPr>
                <w:sz w:val="1"/>
                <w:szCs w:val="1"/>
                <w:color w:val="auto"/>
              </w:rPr>
            </w:pPr>
          </w:p>
        </w:tc>
      </w:tr>
      <w:tr>
        <w:trPr>
          <w:trHeight w:val="72"/>
        </w:trPr>
        <w:tc>
          <w:tcPr>
            <w:tcW w:w="2260" w:type="dxa"/>
            <w:vAlign w:val="bottom"/>
            <w:tcBorders>
              <w:left w:val="single" w:sz="8" w:color="auto"/>
              <w:right w:val="single" w:sz="8" w:color="auto"/>
            </w:tcBorders>
          </w:tcPr>
          <w:p>
            <w:pPr>
              <w:spacing w:after="0"/>
              <w:rPr>
                <w:sz w:val="6"/>
                <w:szCs w:val="6"/>
                <w:color w:val="auto"/>
              </w:rPr>
            </w:pPr>
          </w:p>
        </w:tc>
        <w:tc>
          <w:tcPr>
            <w:tcW w:w="1600" w:type="dxa"/>
            <w:vAlign w:val="bottom"/>
            <w:tcBorders>
              <w:right w:val="single" w:sz="8" w:color="auto"/>
            </w:tcBorders>
          </w:tcPr>
          <w:p>
            <w:pPr>
              <w:spacing w:after="0"/>
              <w:rPr>
                <w:sz w:val="6"/>
                <w:szCs w:val="6"/>
                <w:color w:val="auto"/>
              </w:rPr>
            </w:pPr>
          </w:p>
        </w:tc>
        <w:tc>
          <w:tcPr>
            <w:tcW w:w="2140" w:type="dxa"/>
            <w:vAlign w:val="bottom"/>
            <w:tcBorders>
              <w:right w:val="single" w:sz="8" w:color="auto"/>
            </w:tcBorders>
          </w:tcPr>
          <w:p>
            <w:pPr>
              <w:spacing w:after="0"/>
              <w:rPr>
                <w:sz w:val="6"/>
                <w:szCs w:val="6"/>
                <w:color w:val="auto"/>
              </w:rPr>
            </w:pPr>
          </w:p>
        </w:tc>
        <w:tc>
          <w:tcPr>
            <w:tcW w:w="2060" w:type="dxa"/>
            <w:vAlign w:val="bottom"/>
            <w:tcBorders>
              <w:right w:val="single" w:sz="8" w:color="auto"/>
            </w:tcBorders>
          </w:tcPr>
          <w:p>
            <w:pPr>
              <w:spacing w:after="0"/>
              <w:rPr>
                <w:sz w:val="6"/>
                <w:szCs w:val="6"/>
                <w:color w:val="auto"/>
              </w:rPr>
            </w:pPr>
          </w:p>
        </w:tc>
        <w:tc>
          <w:tcPr>
            <w:tcW w:w="2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Mechanical</w:t>
            </w:r>
          </w:p>
        </w:tc>
        <w:tc>
          <w:tcPr>
            <w:tcW w:w="0" w:type="dxa"/>
            <w:vAlign w:val="bottom"/>
          </w:tcPr>
          <w:p>
            <w:pPr>
              <w:spacing w:after="0"/>
              <w:rPr>
                <w:sz w:val="1"/>
                <w:szCs w:val="1"/>
                <w:color w:val="auto"/>
              </w:rPr>
            </w:pPr>
          </w:p>
        </w:tc>
      </w:tr>
      <w:tr>
        <w:trPr>
          <w:trHeight w:val="275"/>
        </w:trPr>
        <w:tc>
          <w:tcPr>
            <w:tcW w:w="2260" w:type="dxa"/>
            <w:vAlign w:val="bottom"/>
            <w:tcBorders>
              <w:left w:val="single" w:sz="8" w:color="auto"/>
              <w:right w:val="single" w:sz="8" w:color="auto"/>
            </w:tcBorders>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Services, Inc.</w:t>
            </w:r>
          </w:p>
        </w:tc>
        <w:tc>
          <w:tcPr>
            <w:tcW w:w="0" w:type="dxa"/>
            <w:vAlign w:val="bottom"/>
          </w:tcPr>
          <w:p>
            <w:pPr>
              <w:spacing w:after="0"/>
              <w:rPr>
                <w:sz w:val="1"/>
                <w:szCs w:val="1"/>
                <w:color w:val="auto"/>
              </w:rPr>
            </w:pPr>
          </w:p>
        </w:tc>
      </w:tr>
      <w:tr>
        <w:trPr>
          <w:trHeight w:val="297"/>
        </w:trPr>
        <w:tc>
          <w:tcPr>
            <w:tcW w:w="2260" w:type="dxa"/>
            <w:vAlign w:val="bottom"/>
            <w:tcBorders>
              <w:left w:val="single" w:sz="8" w:color="auto"/>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SKMES, Inc.</w:t>
            </w:r>
          </w:p>
        </w:tc>
        <w:tc>
          <w:tcPr>
            <w:tcW w:w="0" w:type="dxa"/>
            <w:vAlign w:val="bottom"/>
          </w:tcPr>
          <w:p>
            <w:pPr>
              <w:spacing w:after="0"/>
              <w:rPr>
                <w:sz w:val="1"/>
                <w:szCs w:val="1"/>
                <w:color w:val="auto"/>
              </w:rPr>
            </w:pPr>
          </w:p>
        </w:tc>
      </w:tr>
      <w:tr>
        <w:trPr>
          <w:trHeight w:val="266"/>
        </w:trPr>
        <w:tc>
          <w:tcPr>
            <w:tcW w:w="2260" w:type="dxa"/>
            <w:vAlign w:val="bottom"/>
            <w:tcBorders>
              <w:left w:val="single" w:sz="8" w:color="auto"/>
              <w:right w:val="single" w:sz="8" w:color="auto"/>
            </w:tcBorders>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3"/>
              </w:rPr>
              <w:t>Mechanical Services</w:t>
            </w:r>
          </w:p>
        </w:tc>
        <w:tc>
          <w:tcPr>
            <w:tcW w:w="0" w:type="dxa"/>
            <w:vAlign w:val="bottom"/>
          </w:tcPr>
          <w:p>
            <w:pPr>
              <w:spacing w:after="0"/>
              <w:rPr>
                <w:sz w:val="1"/>
                <w:szCs w:val="1"/>
                <w:color w:val="auto"/>
              </w:rPr>
            </w:pPr>
          </w:p>
        </w:tc>
      </w:tr>
      <w:tr>
        <w:trPr>
          <w:trHeight w:val="275"/>
        </w:trPr>
        <w:tc>
          <w:tcPr>
            <w:tcW w:w="2260" w:type="dxa"/>
            <w:vAlign w:val="bottom"/>
            <w:tcBorders>
              <w:left w:val="single" w:sz="8" w:color="auto"/>
              <w:right w:val="single" w:sz="8" w:color="auto"/>
            </w:tcBorders>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of Knoxville, Inc.</w:t>
            </w:r>
          </w:p>
        </w:tc>
        <w:tc>
          <w:tcPr>
            <w:tcW w:w="0" w:type="dxa"/>
            <w:vAlign w:val="bottom"/>
          </w:tcPr>
          <w:p>
            <w:pPr>
              <w:spacing w:after="0"/>
              <w:rPr>
                <w:sz w:val="1"/>
                <w:szCs w:val="1"/>
                <w:color w:val="auto"/>
              </w:rPr>
            </w:pPr>
          </w:p>
        </w:tc>
      </w:tr>
      <w:tr>
        <w:trPr>
          <w:trHeight w:val="266"/>
        </w:trPr>
        <w:tc>
          <w:tcPr>
            <w:tcW w:w="2260" w:type="dxa"/>
            <w:vAlign w:val="bottom"/>
            <w:tcBorders>
              <w:left w:val="single" w:sz="8" w:color="auto"/>
              <w:right w:val="single" w:sz="8" w:color="auto"/>
            </w:tcBorders>
          </w:tcPr>
          <w:p>
            <w:pPr>
              <w:spacing w:after="0"/>
              <w:rPr>
                <w:sz w:val="23"/>
                <w:szCs w:val="23"/>
                <w:color w:val="auto"/>
              </w:rPr>
            </w:pPr>
          </w:p>
        </w:tc>
        <w:tc>
          <w:tcPr>
            <w:tcW w:w="160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060" w:type="dxa"/>
            <w:vAlign w:val="bottom"/>
            <w:tcBorders>
              <w:right w:val="single" w:sz="8" w:color="auto"/>
            </w:tcBorders>
          </w:tcPr>
          <w:p>
            <w:pPr>
              <w:spacing w:after="0"/>
              <w:rPr>
                <w:sz w:val="23"/>
                <w:szCs w:val="23"/>
                <w:color w:val="auto"/>
              </w:rPr>
            </w:pPr>
          </w:p>
        </w:tc>
        <w:tc>
          <w:tcPr>
            <w:tcW w:w="2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Kalthoff</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Fabricators, Inc.;</w:t>
            </w: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spacing w:after="0"/>
              <w:rPr>
                <w:sz w:val="23"/>
                <w:szCs w:val="23"/>
                <w:color w:val="auto"/>
              </w:rPr>
            </w:pPr>
          </w:p>
        </w:tc>
        <w:tc>
          <w:tcPr>
            <w:tcW w:w="20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Kalthoff, Inc.</w:t>
            </w: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Satellite</w:t>
            </w: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158 Lynn Road,</w:t>
            </w:r>
          </w:p>
        </w:tc>
        <w:tc>
          <w:tcPr>
            <w:tcW w:w="20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Johnson City,</w:t>
            </w: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Tennessee 37604</w:t>
            </w:r>
          </w:p>
        </w:tc>
        <w:tc>
          <w:tcPr>
            <w:tcW w:w="20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Satellite</w:t>
            </w: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1010 Wilder Place,</w:t>
            </w:r>
          </w:p>
        </w:tc>
        <w:tc>
          <w:tcPr>
            <w:tcW w:w="20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8"/>
              </w:rPr>
              <w:t>Knoxville Tennessee</w:t>
            </w: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37915</w:t>
            </w:r>
          </w:p>
        </w:tc>
        <w:tc>
          <w:tcPr>
            <w:tcW w:w="20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Satellite</w:t>
            </w: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150 Glenn Bridge</w:t>
            </w:r>
          </w:p>
        </w:tc>
        <w:tc>
          <w:tcPr>
            <w:tcW w:w="20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Road, Arden, North</w:t>
            </w: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Carolina 28704</w:t>
            </w:r>
          </w:p>
        </w:tc>
        <w:tc>
          <w:tcPr>
            <w:tcW w:w="20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Temp Right Service,</w:t>
            </w: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Principal Place</w:t>
            </w: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5818 Sandpiper Dr</w:t>
            </w:r>
          </w:p>
        </w:tc>
        <w:tc>
          <w:tcPr>
            <w:tcW w:w="206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101 North Catlin,</w:t>
            </w: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Carson Brothers</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1600" w:type="dxa"/>
            <w:vAlign w:val="bottom"/>
            <w:tcBorders>
              <w:right w:val="single" w:sz="8" w:color="auto"/>
            </w:tcBorders>
            <w:vMerge w:val="continue"/>
          </w:tcPr>
          <w:p>
            <w:pPr>
              <w:spacing w:after="0"/>
              <w:rPr>
                <w:sz w:val="10"/>
                <w:szCs w:val="10"/>
                <w:color w:val="auto"/>
              </w:rPr>
            </w:pPr>
          </w:p>
        </w:tc>
        <w:tc>
          <w:tcPr>
            <w:tcW w:w="2140" w:type="dxa"/>
            <w:vAlign w:val="bottom"/>
            <w:tcBorders>
              <w:right w:val="single" w:sz="8" w:color="auto"/>
            </w:tcBorders>
            <w:vMerge w:val="restart"/>
          </w:tcPr>
          <w:p>
            <w:pPr>
              <w:ind w:left="100"/>
              <w:spacing w:after="0" w:line="243" w:lineRule="exact"/>
              <w:rPr>
                <w:sz w:val="20"/>
                <w:szCs w:val="20"/>
                <w:color w:val="auto"/>
              </w:rPr>
            </w:pPr>
            <w:r>
              <w:rPr>
                <w:rFonts w:ascii="Arial" w:cs="Arial" w:eastAsia="Arial" w:hAnsi="Arial"/>
                <w:sz w:val="22"/>
                <w:szCs w:val="22"/>
                <w:color w:val="auto"/>
              </w:rPr>
              <w:t>Missoula, Montana</w:t>
            </w:r>
          </w:p>
        </w:tc>
        <w:tc>
          <w:tcPr>
            <w:tcW w:w="2060" w:type="dxa"/>
            <w:vAlign w:val="bottom"/>
            <w:tcBorders>
              <w:right w:val="single" w:sz="8" w:color="auto"/>
            </w:tcBorders>
            <w:vMerge w:val="restart"/>
          </w:tcPr>
          <w:p>
            <w:pPr>
              <w:ind w:left="80"/>
              <w:spacing w:after="0" w:line="243" w:lineRule="exact"/>
              <w:rPr>
                <w:sz w:val="20"/>
                <w:szCs w:val="20"/>
                <w:color w:val="auto"/>
              </w:rPr>
            </w:pPr>
            <w:r>
              <w:rPr>
                <w:rFonts w:ascii="Arial" w:cs="Arial" w:eastAsia="Arial" w:hAnsi="Arial"/>
                <w:sz w:val="22"/>
                <w:szCs w:val="22"/>
                <w:color w:val="auto"/>
              </w:rPr>
              <w:t>Missoula, Montana</w:t>
            </w:r>
          </w:p>
        </w:tc>
        <w:tc>
          <w:tcPr>
            <w:tcW w:w="20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22"/>
                <w:szCs w:val="22"/>
                <w:color w:val="auto"/>
              </w:rPr>
              <w:t>Inc.</w:t>
            </w:r>
          </w:p>
        </w:tc>
        <w:tc>
          <w:tcPr>
            <w:tcW w:w="16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of Business</w:t>
            </w:r>
          </w:p>
        </w:tc>
        <w:tc>
          <w:tcPr>
            <w:tcW w:w="214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KTU of Spokane</w:t>
            </w:r>
          </w:p>
        </w:tc>
        <w:tc>
          <w:tcPr>
            <w:tcW w:w="0" w:type="dxa"/>
            <w:vAlign w:val="bottom"/>
          </w:tcPr>
          <w:p>
            <w:pPr>
              <w:spacing w:after="0"/>
              <w:rPr>
                <w:sz w:val="1"/>
                <w:szCs w:val="1"/>
                <w:color w:val="auto"/>
              </w:rPr>
            </w:pPr>
          </w:p>
        </w:tc>
      </w:tr>
      <w:tr>
        <w:trPr>
          <w:trHeight w:val="180"/>
        </w:trPr>
        <w:tc>
          <w:tcPr>
            <w:tcW w:w="2260" w:type="dxa"/>
            <w:vAlign w:val="bottom"/>
            <w:tcBorders>
              <w:left w:val="single" w:sz="8" w:color="auto"/>
              <w:right w:val="single" w:sz="8" w:color="auto"/>
            </w:tcBorders>
            <w:vMerge w:val="continue"/>
          </w:tcPr>
          <w:p>
            <w:pPr>
              <w:spacing w:after="0"/>
              <w:rPr>
                <w:sz w:val="15"/>
                <w:szCs w:val="15"/>
                <w:color w:val="auto"/>
              </w:rPr>
            </w:pPr>
          </w:p>
        </w:tc>
        <w:tc>
          <w:tcPr>
            <w:tcW w:w="1600" w:type="dxa"/>
            <w:vAlign w:val="bottom"/>
            <w:tcBorders>
              <w:right w:val="single" w:sz="8" w:color="auto"/>
            </w:tcBorders>
            <w:vMerge w:val="continue"/>
          </w:tcPr>
          <w:p>
            <w:pPr>
              <w:spacing w:after="0"/>
              <w:rPr>
                <w:sz w:val="15"/>
                <w:szCs w:val="15"/>
                <w:color w:val="auto"/>
              </w:rPr>
            </w:pPr>
          </w:p>
        </w:tc>
        <w:tc>
          <w:tcPr>
            <w:tcW w:w="2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59808</w:t>
            </w:r>
          </w:p>
        </w:tc>
        <w:tc>
          <w:tcPr>
            <w:tcW w:w="206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color w:val="auto"/>
              </w:rPr>
              <w:t>59801</w:t>
            </w:r>
          </w:p>
        </w:tc>
        <w:tc>
          <w:tcPr>
            <w:tcW w:w="20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260" w:type="dxa"/>
            <w:vAlign w:val="bottom"/>
            <w:tcBorders>
              <w:left w:val="single" w:sz="8" w:color="auto"/>
              <w:bottom w:val="single" w:sz="8" w:color="auto"/>
              <w:right w:val="single" w:sz="8" w:color="auto"/>
            </w:tcBorders>
          </w:tcPr>
          <w:p>
            <w:pPr>
              <w:spacing w:after="0"/>
              <w:rPr>
                <w:sz w:val="7"/>
                <w:szCs w:val="7"/>
                <w:color w:val="auto"/>
              </w:rPr>
            </w:pPr>
          </w:p>
        </w:tc>
        <w:tc>
          <w:tcPr>
            <w:tcW w:w="1600" w:type="dxa"/>
            <w:vAlign w:val="bottom"/>
            <w:tcBorders>
              <w:bottom w:val="single" w:sz="8" w:color="auto"/>
              <w:right w:val="single" w:sz="8" w:color="auto"/>
            </w:tcBorders>
          </w:tcPr>
          <w:p>
            <w:pPr>
              <w:spacing w:after="0"/>
              <w:rPr>
                <w:sz w:val="7"/>
                <w:szCs w:val="7"/>
                <w:color w:val="auto"/>
              </w:rPr>
            </w:pPr>
          </w:p>
        </w:tc>
        <w:tc>
          <w:tcPr>
            <w:tcW w:w="2140" w:type="dxa"/>
            <w:vAlign w:val="bottom"/>
            <w:tcBorders>
              <w:bottom w:val="single" w:sz="8" w:color="auto"/>
              <w:right w:val="single" w:sz="8" w:color="auto"/>
            </w:tcBorders>
            <w:vMerge w:val="continue"/>
          </w:tcPr>
          <w:p>
            <w:pPr>
              <w:spacing w:after="0"/>
              <w:rPr>
                <w:sz w:val="7"/>
                <w:szCs w:val="7"/>
                <w:color w:val="auto"/>
              </w:rPr>
            </w:pPr>
          </w:p>
        </w:tc>
        <w:tc>
          <w:tcPr>
            <w:tcW w:w="2060" w:type="dxa"/>
            <w:vAlign w:val="bottom"/>
            <w:tcBorders>
              <w:bottom w:val="single" w:sz="8" w:color="auto"/>
              <w:right w:val="single" w:sz="8" w:color="auto"/>
            </w:tcBorders>
            <w:vMerge w:val="continue"/>
          </w:tcPr>
          <w:p>
            <w:pPr>
              <w:spacing w:after="0"/>
              <w:rPr>
                <w:sz w:val="7"/>
                <w:szCs w:val="7"/>
                <w:color w:val="auto"/>
              </w:rPr>
            </w:pPr>
          </w:p>
        </w:tc>
        <w:tc>
          <w:tcPr>
            <w:tcW w:w="2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1639 MT Highway</w:t>
            </w:r>
          </w:p>
        </w:tc>
        <w:tc>
          <w:tcPr>
            <w:tcW w:w="20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Satellite</w:t>
            </w: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35, Kalispell,</w:t>
            </w: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Montana 59901</w:t>
            </w:r>
          </w:p>
        </w:tc>
        <w:tc>
          <w:tcPr>
            <w:tcW w:w="20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22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88 E. Westview</w:t>
            </w:r>
          </w:p>
        </w:tc>
        <w:tc>
          <w:tcPr>
            <w:tcW w:w="206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Satellite</w:t>
            </w:r>
          </w:p>
        </w:tc>
        <w:tc>
          <w:tcPr>
            <w:tcW w:w="214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2"/>
              </w:rPr>
              <w:t>Spokane, Washington</w:t>
            </w:r>
          </w:p>
        </w:tc>
        <w:tc>
          <w:tcPr>
            <w:tcW w:w="206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260" w:type="dxa"/>
            <w:vAlign w:val="bottom"/>
            <w:tcBorders>
              <w:left w:val="single" w:sz="8" w:color="auto"/>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59901</w:t>
            </w:r>
          </w:p>
        </w:tc>
        <w:tc>
          <w:tcPr>
            <w:tcW w:w="2060" w:type="dxa"/>
            <w:vAlign w:val="bottom"/>
            <w:tcBorders>
              <w:bottom w:val="single" w:sz="8" w:color="auto"/>
              <w:right w:val="single" w:sz="8" w:color="auto"/>
            </w:tcBorders>
          </w:tcPr>
          <w:p>
            <w:pPr>
              <w:spacing w:after="0"/>
              <w:rPr>
                <w:sz w:val="23"/>
                <w:szCs w:val="23"/>
                <w:color w:val="auto"/>
              </w:rPr>
            </w:pPr>
          </w:p>
        </w:tc>
        <w:tc>
          <w:tcPr>
            <w:tcW w:w="20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5.13 of Schedule 5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163" w:name="page164"/>
    <w:bookmarkEnd w:id="163"/>
    <w:p>
      <w:pPr>
        <w:jc w:val="center"/>
        <w:ind w:right="20"/>
        <w:spacing w:after="0"/>
        <w:rPr>
          <w:sz w:val="20"/>
          <w:szCs w:val="20"/>
          <w:color w:val="auto"/>
        </w:rPr>
      </w:pPr>
      <w:r>
        <w:rPr>
          <w:rFonts w:ascii="Arial" w:cs="Arial" w:eastAsia="Arial" w:hAnsi="Arial"/>
          <w:sz w:val="22"/>
          <w:szCs w:val="22"/>
          <w:b w:val="1"/>
          <w:bCs w:val="1"/>
          <w:color w:val="auto"/>
        </w:rPr>
        <w:t>SECTION 5.14 to SCHEDULE 5</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SUBSIDIARIES</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0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220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JURISDICTION OF</w:t>
            </w:r>
          </w:p>
        </w:tc>
        <w:tc>
          <w:tcPr>
            <w:tcW w:w="198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r>
      <w:tr>
        <w:trPr>
          <w:trHeight w:val="271"/>
        </w:trPr>
        <w:tc>
          <w:tcPr>
            <w:tcW w:w="5900" w:type="dxa"/>
            <w:vAlign w:val="bottom"/>
            <w:tcBorders>
              <w:left w:val="single" w:sz="8" w:color="auto"/>
              <w:bottom w:val="single" w:sz="8" w:color="auto"/>
              <w:right w:val="single" w:sz="8" w:color="auto"/>
            </w:tcBorders>
            <w:shd w:val="clear" w:color="auto" w:fill="CCCCCC"/>
          </w:tcPr>
          <w:p>
            <w:pPr>
              <w:ind w:left="2180"/>
              <w:spacing w:after="0"/>
              <w:rPr>
                <w:sz w:val="20"/>
                <w:szCs w:val="20"/>
                <w:color w:val="auto"/>
              </w:rPr>
            </w:pPr>
            <w:r>
              <w:rPr>
                <w:rFonts w:ascii="Arial" w:cs="Arial" w:eastAsia="Arial" w:hAnsi="Arial"/>
                <w:sz w:val="22"/>
                <w:szCs w:val="22"/>
                <w:b w:val="1"/>
                <w:bCs w:val="1"/>
                <w:color w:val="auto"/>
              </w:rPr>
              <w:t>ENTITY NAME</w:t>
            </w:r>
          </w:p>
        </w:tc>
        <w:tc>
          <w:tcPr>
            <w:tcW w:w="220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rPr>
              <w:t>ORGANIZATION</w:t>
            </w:r>
          </w:p>
        </w:tc>
        <w:tc>
          <w:tcPr>
            <w:tcW w:w="19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r>
      <w:tr>
        <w:trPr>
          <w:trHeight w:val="273"/>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ACI Mechanical,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06/26/1998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ARC Comfort Systems USA,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03/17/1998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Accu-Temp GP,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05/21/1998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Accu-Temp LP,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05/20/1998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Acorn Industrial,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North Carolina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01/03/1997</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Advance Technology,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Maine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08/09/1994</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Air Systems Engineering,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Washington</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05/18/1973</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AirTemp,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3"/>
              </w:rPr>
              <w:t>Maine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10/15/1998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Arstectum,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New Hampshire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02/17/2005</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Atlas-Accurate Holdings,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12/28/1998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Batchelor’s Mechanical Contractors,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Alabama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03/16/1981</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BCH Holdings,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Florida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12/28/2004</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BCH Leasing,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Florida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10/25/1990</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BCH Mechanical,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Florida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10/19/1976</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BCM Controls Corporation</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Massachusetts</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10/03/1984</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California Comfort Systems USA,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California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05/18/1983</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Century Mechanical Solutions,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Ohio</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12/17/1946</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ColonialWebb Contractors Company</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Virginia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03/30/1972</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(Arkansas),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Arkansas</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03/17/1998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(Baltimore),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10/15/1998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(Bristol),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08/25/1997</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Energy Services,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08/25/1997</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G.P.,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08/12/1998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(Indiana),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Indiana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06/08/2015</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(Intermountain),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Utah</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05/06/1969</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(Kentucky),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Kentucky</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02/10/1981</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(MidAtlantic),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5"/>
              </w:rPr>
              <w:t>Virginia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01/01/2010</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(Midwest), LLC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Iowa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10/13/2009</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(Mid South),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Alabama</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08/06/1998</w:t>
            </w:r>
          </w:p>
        </w:tc>
      </w:tr>
      <w:tr>
        <w:trPr>
          <w:trHeight w:val="277"/>
        </w:trPr>
        <w:tc>
          <w:tcPr>
            <w:tcW w:w="5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Comfort Systems USA (Northwest), Inc.</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Washington</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02/14/1984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5.14 of Schedule 5 - 1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64" w:name="page165"/>
    <w:bookmarkEnd w:id="164"/>
    <w:tbl>
      <w:tblPr>
        <w:tblLayout w:type="fixed"/>
        <w:tblInd w:w="10" w:type="dxa"/>
        <w:tblCellMar>
          <w:top w:w="0" w:type="dxa"/>
          <w:left w:w="0" w:type="dxa"/>
          <w:bottom w:w="0" w:type="dxa"/>
          <w:right w:w="0" w:type="dxa"/>
        </w:tblCellMar>
      </w:tblPr>
      <w:tr>
        <w:trPr>
          <w:trHeight w:val="229"/>
        </w:trPr>
        <w:tc>
          <w:tcPr>
            <w:tcW w:w="592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220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JURISDICTION OF</w:t>
            </w:r>
          </w:p>
        </w:tc>
        <w:tc>
          <w:tcPr>
            <w:tcW w:w="19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r>
      <w:tr>
        <w:trPr>
          <w:trHeight w:val="271"/>
        </w:trPr>
        <w:tc>
          <w:tcPr>
            <w:tcW w:w="5920" w:type="dxa"/>
            <w:vAlign w:val="bottom"/>
            <w:tcBorders>
              <w:left w:val="single" w:sz="8" w:color="auto"/>
              <w:bottom w:val="single" w:sz="8" w:color="auto"/>
              <w:right w:val="single" w:sz="8" w:color="auto"/>
            </w:tcBorders>
            <w:shd w:val="clear" w:color="auto" w:fill="CCCCCC"/>
          </w:tcPr>
          <w:p>
            <w:pPr>
              <w:ind w:left="2180"/>
              <w:spacing w:after="0"/>
              <w:rPr>
                <w:sz w:val="20"/>
                <w:szCs w:val="20"/>
                <w:color w:val="auto"/>
              </w:rPr>
            </w:pPr>
            <w:r>
              <w:rPr>
                <w:rFonts w:ascii="Arial" w:cs="Arial" w:eastAsia="Arial" w:hAnsi="Arial"/>
                <w:sz w:val="22"/>
                <w:szCs w:val="22"/>
                <w:b w:val="1"/>
                <w:bCs w:val="1"/>
                <w:color w:val="auto"/>
              </w:rPr>
              <w:t>ENTITY NAME</w:t>
            </w:r>
          </w:p>
        </w:tc>
        <w:tc>
          <w:tcPr>
            <w:tcW w:w="220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rPr>
              <w:t>ORGANIZATION</w:t>
            </w:r>
          </w:p>
        </w:tc>
        <w:tc>
          <w:tcPr>
            <w:tcW w:w="196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rPr>
              <w:t>DATE</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(Ohio),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4"/>
              </w:rPr>
              <w:t>Ohio</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10/10/1979</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Puerto Rico,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Puerto Rico</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08/09/1991</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(South Central),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3"/>
              </w:rPr>
              <w:t>Texas</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5/24/2007</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(Southeast),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Delaware</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03/24/1998</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(Southwest),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3"/>
              </w:rPr>
              <w:t>Arizona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12/23/1997</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Strategic Accounts,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Indiana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07/28/1998</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(Syracuse),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New York</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03/08/1965</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Comfort Systems USA (Texas), L.P.</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3"/>
              </w:rPr>
              <w:t>Texas</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08/14/1998</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Conserv Building Services,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Florida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01/05/2005</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Conserv Building Services of Alabama,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Alabama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12/28/2012</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Conserv Building Services of Georgia,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Georgia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11/04/2008</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Conserv Building Services of North Carolina,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03/22/2010</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Conserv Building Services of Tennessee,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0"/>
              </w:rPr>
              <w:t>Tennessee</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01/07/2010</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Conserv Building Services of Texas,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3"/>
              </w:rPr>
              <w:t>Texas</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12/22/2010</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Control Concepts,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Georgia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12/16/1996</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Control Concepts Mechanical Services,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Georgia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01/17/2008</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CS53 Acquisition Corp.</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Delaware</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11/26/1999</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CSUSA (10),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10/21/2011</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Delcard Associates,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Delaware</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06/23/2000</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Design Mechanical Incorporated</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Colorado</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10/30/1997</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Dyna Ten Corporation</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3"/>
              </w:rPr>
              <w:t>Texas</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06/26/1980</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Dyna Ten Maintenance Services,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3"/>
              </w:rPr>
              <w:t>Texas</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08/07/2006</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Eastern Heating &amp; Cooling,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New York</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12/19/1988</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Eastern Refrigeration Co.,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New York</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01/30/1990</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Environmental Air Systems,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10/07/2011</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Envirotrol,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10/07/2011</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Granite State Holdings Company,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Delaware</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11/02/2005</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Granite State Plumbing &amp; Heating,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New Hampshire</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07/31/2001</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Helm Corporation</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Colorado</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10/26/1972</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Hess Mechanical,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Maryland</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01/07/2016</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Mechanical Technical Services,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3"/>
              </w:rPr>
              <w:t>Texas</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05/24/2007</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MJ Mechanical Services,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Virginia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12/12/1997</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North American Mechanical,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Delaware</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03/17/1998</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Quality Air Heating and Cooling,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3"/>
              </w:rPr>
              <w:t>Michigan</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09/10/1980</w:t>
            </w:r>
          </w:p>
        </w:tc>
      </w:tr>
      <w:tr>
        <w:trPr>
          <w:trHeight w:val="237"/>
        </w:trPr>
        <w:tc>
          <w:tcPr>
            <w:tcW w:w="592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Riddleberger Brothers,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Virginia</w:t>
            </w:r>
          </w:p>
        </w:tc>
        <w:tc>
          <w:tcPr>
            <w:tcW w:w="19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12/22/1958</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Section 5.14 of Schedule 5 - 2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165" w:name="page166"/>
    <w:bookmarkEnd w:id="165"/>
    <w:tbl>
      <w:tblPr>
        <w:tblLayout w:type="fixed"/>
        <w:tblInd w:w="10" w:type="dxa"/>
        <w:tblCellMar>
          <w:top w:w="0" w:type="dxa"/>
          <w:left w:w="0" w:type="dxa"/>
          <w:bottom w:w="0" w:type="dxa"/>
          <w:right w:w="0" w:type="dxa"/>
        </w:tblCellMar>
      </w:tblPr>
      <w:tr>
        <w:trPr>
          <w:trHeight w:val="229"/>
        </w:trPr>
        <w:tc>
          <w:tcPr>
            <w:tcW w:w="590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220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JURISDICTION OF</w:t>
            </w:r>
          </w:p>
        </w:tc>
        <w:tc>
          <w:tcPr>
            <w:tcW w:w="198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r>
      <w:tr>
        <w:trPr>
          <w:trHeight w:val="271"/>
        </w:trPr>
        <w:tc>
          <w:tcPr>
            <w:tcW w:w="5900" w:type="dxa"/>
            <w:vAlign w:val="bottom"/>
            <w:tcBorders>
              <w:left w:val="single" w:sz="8" w:color="auto"/>
              <w:bottom w:val="single" w:sz="8" w:color="auto"/>
              <w:right w:val="single" w:sz="8" w:color="auto"/>
            </w:tcBorders>
            <w:shd w:val="clear" w:color="auto" w:fill="CCCCCC"/>
          </w:tcPr>
          <w:p>
            <w:pPr>
              <w:ind w:left="2180"/>
              <w:spacing w:after="0"/>
              <w:rPr>
                <w:sz w:val="20"/>
                <w:szCs w:val="20"/>
                <w:color w:val="auto"/>
              </w:rPr>
            </w:pPr>
            <w:r>
              <w:rPr>
                <w:rFonts w:ascii="Arial" w:cs="Arial" w:eastAsia="Arial" w:hAnsi="Arial"/>
                <w:sz w:val="22"/>
                <w:szCs w:val="22"/>
                <w:b w:val="1"/>
                <w:bCs w:val="1"/>
                <w:color w:val="auto"/>
              </w:rPr>
              <w:t>ENTITY NAME</w:t>
            </w:r>
          </w:p>
        </w:tc>
        <w:tc>
          <w:tcPr>
            <w:tcW w:w="220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rPr>
              <w:t>ORGANIZATION</w:t>
            </w:r>
          </w:p>
        </w:tc>
        <w:tc>
          <w:tcPr>
            <w:tcW w:w="1980" w:type="dxa"/>
            <w:vAlign w:val="bottom"/>
            <w:tcBorders>
              <w:bottom w:val="single" w:sz="8" w:color="auto"/>
              <w:right w:val="single" w:sz="8" w:color="auto"/>
            </w:tcBorders>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Royalaire Holdings,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Florida</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10/04/2006</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Royalaire Mechanical Services,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Florida</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09/12/2006</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Royalaire Mechanical Services II, LLC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Florida</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09/27/2010</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S.I. Goldman Company,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5"/>
              </w:rPr>
              <w:t>Florida</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10/04/1976</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S.M. Lawrence Company,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0"/>
              </w:rPr>
              <w:t>Tennessee</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03/08/1973</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Seasonair,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2"/>
              </w:rPr>
              <w:t>Maryland</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10/28/1966</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ShoffnerKalthoff MES,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0"/>
              </w:rPr>
              <w:t>Tennessee</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08/15/2005</w:t>
            </w:r>
          </w:p>
        </w:tc>
      </w:tr>
      <w:tr>
        <w:trPr>
          <w:trHeight w:val="237"/>
        </w:trPr>
        <w:tc>
          <w:tcPr>
            <w:tcW w:w="590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Arial" w:cs="Arial" w:eastAsia="Arial" w:hAnsi="Arial"/>
                <w:sz w:val="22"/>
                <w:szCs w:val="22"/>
                <w:color w:val="auto"/>
              </w:rPr>
              <w:t>Temp Right Service, Inc.</w:t>
            </w:r>
          </w:p>
        </w:tc>
        <w:tc>
          <w:tcPr>
            <w:tcW w:w="22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Delaware</w:t>
            </w:r>
          </w:p>
        </w:tc>
        <w:tc>
          <w:tcPr>
            <w:tcW w:w="19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09/25/1997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5.14 of Schedule 5 - 3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166" w:name="page167"/>
    <w:bookmarkEnd w:id="166"/>
    <w:p>
      <w:pPr>
        <w:jc w:val="center"/>
        <w:ind w:right="20"/>
        <w:spacing w:after="0"/>
        <w:rPr>
          <w:sz w:val="20"/>
          <w:szCs w:val="20"/>
          <w:color w:val="auto"/>
        </w:rPr>
      </w:pPr>
      <w:r>
        <w:rPr>
          <w:rFonts w:ascii="Arial" w:cs="Arial" w:eastAsia="Arial" w:hAnsi="Arial"/>
          <w:sz w:val="22"/>
          <w:szCs w:val="22"/>
          <w:b w:val="1"/>
          <w:bCs w:val="1"/>
          <w:color w:val="auto"/>
        </w:rPr>
        <w:t>SCHEDULE I</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jc w:val="center"/>
        <w:ind w:right="20"/>
        <w:spacing w:after="0"/>
        <w:rPr>
          <w:sz w:val="20"/>
          <w:szCs w:val="20"/>
          <w:color w:val="auto"/>
        </w:rPr>
      </w:pPr>
      <w:r>
        <w:rPr>
          <w:rFonts w:ascii="Arial" w:cs="Arial" w:eastAsia="Arial" w:hAnsi="Arial"/>
          <w:sz w:val="22"/>
          <w:szCs w:val="22"/>
          <w:b w:val="1"/>
          <w:bCs w:val="1"/>
          <w:color w:val="auto"/>
        </w:rPr>
        <w:t>SECOND AMENDED AND RESTATED SECURITY AGREEMENT</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Filing Jurisdictions</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COMFORT SYSTEMS USA, INC. – SUBSIDIARIES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60" w:type="dxa"/>
            <w:vAlign w:val="bottom"/>
            <w:tcBorders>
              <w:top w:val="single" w:sz="8" w:color="auto"/>
              <w:left w:val="single" w:sz="8" w:color="auto"/>
              <w:right w:val="single" w:sz="8" w:color="auto"/>
            </w:tcBorders>
            <w:vMerge w:val="restart"/>
            <w:shd w:val="clear" w:color="auto" w:fill="CCCCCC"/>
          </w:tcPr>
          <w:p>
            <w:pPr>
              <w:ind w:left="2200"/>
              <w:spacing w:after="0"/>
              <w:rPr>
                <w:sz w:val="20"/>
                <w:szCs w:val="20"/>
                <w:color w:val="auto"/>
              </w:rPr>
            </w:pPr>
            <w:r>
              <w:rPr>
                <w:rFonts w:ascii="Arial" w:cs="Arial" w:eastAsia="Arial" w:hAnsi="Arial"/>
                <w:sz w:val="22"/>
                <w:szCs w:val="22"/>
                <w:b w:val="1"/>
                <w:bCs w:val="1"/>
                <w:color w:val="auto"/>
              </w:rPr>
              <w:t>ENTITY NAME</w:t>
            </w:r>
          </w:p>
        </w:tc>
        <w:tc>
          <w:tcPr>
            <w:tcW w:w="21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DOMESTIC</w:t>
            </w:r>
          </w:p>
        </w:tc>
        <w:tc>
          <w:tcPr>
            <w:tcW w:w="19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c>
          <w:tcPr>
            <w:tcW w:w="0" w:type="dxa"/>
            <w:vAlign w:val="bottom"/>
          </w:tcPr>
          <w:p>
            <w:pPr>
              <w:spacing w:after="0"/>
              <w:rPr>
                <w:sz w:val="1"/>
                <w:szCs w:val="1"/>
                <w:color w:val="auto"/>
              </w:rPr>
            </w:pPr>
          </w:p>
        </w:tc>
      </w:tr>
      <w:tr>
        <w:trPr>
          <w:trHeight w:val="159"/>
        </w:trPr>
        <w:tc>
          <w:tcPr>
            <w:tcW w:w="5960" w:type="dxa"/>
            <w:vAlign w:val="bottom"/>
            <w:tcBorders>
              <w:left w:val="single" w:sz="8" w:color="auto"/>
              <w:right w:val="single" w:sz="8" w:color="auto"/>
            </w:tcBorders>
            <w:vMerge w:val="continue"/>
            <w:shd w:val="clear" w:color="auto" w:fill="CCCCCC"/>
          </w:tcPr>
          <w:p>
            <w:pPr>
              <w:spacing w:after="0"/>
              <w:rPr>
                <w:sz w:val="13"/>
                <w:szCs w:val="13"/>
                <w:color w:val="auto"/>
              </w:rPr>
            </w:pPr>
          </w:p>
        </w:tc>
        <w:tc>
          <w:tcPr>
            <w:tcW w:w="21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rPr>
              <w:t>JURISDICTION</w:t>
            </w:r>
          </w:p>
        </w:tc>
        <w:tc>
          <w:tcPr>
            <w:tcW w:w="19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c>
          <w:tcPr>
            <w:tcW w:w="0" w:type="dxa"/>
            <w:vAlign w:val="bottom"/>
          </w:tcPr>
          <w:p>
            <w:pPr>
              <w:spacing w:after="0"/>
              <w:rPr>
                <w:sz w:val="1"/>
                <w:szCs w:val="1"/>
                <w:color w:val="auto"/>
              </w:rPr>
            </w:pPr>
          </w:p>
        </w:tc>
      </w:tr>
      <w:tr>
        <w:trPr>
          <w:trHeight w:val="112"/>
        </w:trPr>
        <w:tc>
          <w:tcPr>
            <w:tcW w:w="596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21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Accu-Temp GP,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05/21/1998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Accu-Temp LP,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05/20/1998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ACI Mechanical,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2182 231st Lane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06/26/1998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Ames, IA 50014</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Acorn Industrial,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7311 ACC Boulevard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01/03/1997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Raleigh, NC 27617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Advance Technology,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 Washington Avenue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Maine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08/09/1994</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Scarborough, ME 04074</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Air Systems Engineering,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3602 South Pine Street</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Washington</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05/18/1973</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Tacoma, WA 98409</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Airtemp,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20 Thomas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Maine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10/15/1998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Westbook, ME 04092</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ARC Comfort Systems USA,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03/17/1998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Arstectum,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 Washington Avenue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New Hampshire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02/17/2005</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Scarborough, ME 04074</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Atlas-Accurate Holdings,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12/28/1998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Batchelor’s Mechanical Contractors,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Alabama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03/16/1981</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8120" w:type="dxa"/>
            <w:vAlign w:val="bottom"/>
            <w:gridSpan w:val="2"/>
          </w:tcPr>
          <w:p>
            <w:pPr>
              <w:ind w:left="3480"/>
              <w:spacing w:after="0"/>
              <w:rPr>
                <w:sz w:val="20"/>
                <w:szCs w:val="20"/>
                <w:color w:val="auto"/>
              </w:rPr>
            </w:pPr>
            <w:r>
              <w:rPr>
                <w:rFonts w:ascii="Arial" w:cs="Arial" w:eastAsia="Arial" w:hAnsi="Arial"/>
                <w:sz w:val="18"/>
                <w:szCs w:val="18"/>
                <w:color w:val="auto"/>
              </w:rPr>
              <w:t>Schedule I to Security Agreement – Page 1</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12" w:right="899" w:bottom="1440" w:gutter="0" w:footer="0" w:header="0"/>
        </w:sectPr>
      </w:pPr>
    </w:p>
    <w:bookmarkStart w:id="167" w:name="page168"/>
    <w:bookmarkEnd w:id="1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60" w:type="dxa"/>
            <w:vAlign w:val="bottom"/>
            <w:tcBorders>
              <w:top w:val="single" w:sz="8" w:color="auto"/>
              <w:left w:val="single" w:sz="8" w:color="auto"/>
              <w:right w:val="single" w:sz="8" w:color="auto"/>
            </w:tcBorders>
            <w:vMerge w:val="restart"/>
            <w:shd w:val="clear" w:color="auto" w:fill="CCCCCC"/>
          </w:tcPr>
          <w:p>
            <w:pPr>
              <w:ind w:left="2200"/>
              <w:spacing w:after="0"/>
              <w:rPr>
                <w:sz w:val="20"/>
                <w:szCs w:val="20"/>
                <w:color w:val="auto"/>
              </w:rPr>
            </w:pPr>
            <w:r>
              <w:rPr>
                <w:rFonts w:ascii="Arial" w:cs="Arial" w:eastAsia="Arial" w:hAnsi="Arial"/>
                <w:sz w:val="22"/>
                <w:szCs w:val="22"/>
                <w:b w:val="1"/>
                <w:bCs w:val="1"/>
                <w:color w:val="auto"/>
              </w:rPr>
              <w:t>ENTITY NAME</w:t>
            </w:r>
          </w:p>
        </w:tc>
        <w:tc>
          <w:tcPr>
            <w:tcW w:w="21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DOMESTIC</w:t>
            </w:r>
          </w:p>
        </w:tc>
        <w:tc>
          <w:tcPr>
            <w:tcW w:w="19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c>
          <w:tcPr>
            <w:tcW w:w="0" w:type="dxa"/>
            <w:vAlign w:val="bottom"/>
          </w:tcPr>
          <w:p>
            <w:pPr>
              <w:spacing w:after="0"/>
              <w:rPr>
                <w:sz w:val="1"/>
                <w:szCs w:val="1"/>
                <w:color w:val="auto"/>
              </w:rPr>
            </w:pPr>
          </w:p>
        </w:tc>
      </w:tr>
      <w:tr>
        <w:trPr>
          <w:trHeight w:val="159"/>
        </w:trPr>
        <w:tc>
          <w:tcPr>
            <w:tcW w:w="5960" w:type="dxa"/>
            <w:vAlign w:val="bottom"/>
            <w:tcBorders>
              <w:left w:val="single" w:sz="8" w:color="auto"/>
              <w:right w:val="single" w:sz="8" w:color="auto"/>
            </w:tcBorders>
            <w:vMerge w:val="continue"/>
            <w:shd w:val="clear" w:color="auto" w:fill="CCCCCC"/>
          </w:tcPr>
          <w:p>
            <w:pPr>
              <w:spacing w:after="0"/>
              <w:rPr>
                <w:sz w:val="13"/>
                <w:szCs w:val="13"/>
                <w:color w:val="auto"/>
              </w:rPr>
            </w:pPr>
          </w:p>
        </w:tc>
        <w:tc>
          <w:tcPr>
            <w:tcW w:w="21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rPr>
              <w:t>JURISDICTION</w:t>
            </w:r>
          </w:p>
        </w:tc>
        <w:tc>
          <w:tcPr>
            <w:tcW w:w="19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c>
          <w:tcPr>
            <w:tcW w:w="0" w:type="dxa"/>
            <w:vAlign w:val="bottom"/>
          </w:tcPr>
          <w:p>
            <w:pPr>
              <w:spacing w:after="0"/>
              <w:rPr>
                <w:sz w:val="1"/>
                <w:szCs w:val="1"/>
                <w:color w:val="auto"/>
              </w:rPr>
            </w:pPr>
          </w:p>
        </w:tc>
      </w:tr>
      <w:tr>
        <w:trPr>
          <w:trHeight w:val="112"/>
        </w:trPr>
        <w:tc>
          <w:tcPr>
            <w:tcW w:w="596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21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BCH Holdings,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6350/6354 118th Ave N.</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12/28/2004</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Largo, FL 33773</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BCH Leasing,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6350/6354 118th Ave N.</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10/25/1990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Largo, FL 33773</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BCH Mechanical,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6350/6354 118th Ave N.</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10/19/1976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Largo, FL 33773</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BCM Controls Corporation</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30 Commerce Way</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4"/>
              </w:rPr>
              <w:t>Massachusetts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10/03/1984</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Woburn, MA 01801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California Comfort Systems USA,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7740 Kenamar Court</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California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05/18/1983</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San Diego, CA 92121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Century Mechanical Solutions,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1554 Chase Ave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Ohio</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12/17/1946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Cincinnati, OH 45223</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ColonialWebb Contractors Company</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2820 Ackley Avenue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Virginia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03/30/1972</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Richmond, VA 23228</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(Arkansas),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4806 Rixey Road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Arkansas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03/17/1998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North Little Rock, AR 72117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(Baltimore),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Drive,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10/15/1998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(Bristol),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294 Blevins Blvd.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08/25/1997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Bristol, VA 24202</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Energy Services,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2655 Fortune Circle West, Suite 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08/25/1997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Indianapolis, IN 46241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G.P.,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08/12/1998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(Indiana),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2701 Fortune Circle East, Suites F &amp; G</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Indiana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06/08/2015</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Indianapolis, Indiana 46241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(Intermountain),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2035 S. Milestone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Utah</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05/06/1969</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Salt Lake City, UT 84104</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8120" w:type="dxa"/>
            <w:vAlign w:val="bottom"/>
            <w:gridSpan w:val="2"/>
          </w:tcPr>
          <w:p>
            <w:pPr>
              <w:ind w:left="3480"/>
              <w:spacing w:after="0"/>
              <w:rPr>
                <w:sz w:val="20"/>
                <w:szCs w:val="20"/>
                <w:color w:val="auto"/>
              </w:rPr>
            </w:pPr>
            <w:r>
              <w:rPr>
                <w:rFonts w:ascii="Arial" w:cs="Arial" w:eastAsia="Arial" w:hAnsi="Arial"/>
                <w:sz w:val="18"/>
                <w:szCs w:val="18"/>
                <w:color w:val="auto"/>
              </w:rPr>
              <w:t>Schedule I to Security Agreement – Page 2</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68" w:name="page169"/>
    <w:bookmarkEnd w:id="1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60" w:type="dxa"/>
            <w:vAlign w:val="bottom"/>
            <w:tcBorders>
              <w:top w:val="single" w:sz="8" w:color="auto"/>
              <w:left w:val="single" w:sz="8" w:color="auto"/>
              <w:right w:val="single" w:sz="8" w:color="auto"/>
            </w:tcBorders>
            <w:vMerge w:val="restart"/>
            <w:shd w:val="clear" w:color="auto" w:fill="CCCCCC"/>
          </w:tcPr>
          <w:p>
            <w:pPr>
              <w:ind w:left="2200"/>
              <w:spacing w:after="0"/>
              <w:rPr>
                <w:sz w:val="20"/>
                <w:szCs w:val="20"/>
                <w:color w:val="auto"/>
              </w:rPr>
            </w:pPr>
            <w:r>
              <w:rPr>
                <w:rFonts w:ascii="Arial" w:cs="Arial" w:eastAsia="Arial" w:hAnsi="Arial"/>
                <w:sz w:val="22"/>
                <w:szCs w:val="22"/>
                <w:b w:val="1"/>
                <w:bCs w:val="1"/>
                <w:color w:val="auto"/>
              </w:rPr>
              <w:t>ENTITY NAME</w:t>
            </w:r>
          </w:p>
        </w:tc>
        <w:tc>
          <w:tcPr>
            <w:tcW w:w="21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DOMESTIC</w:t>
            </w:r>
          </w:p>
        </w:tc>
        <w:tc>
          <w:tcPr>
            <w:tcW w:w="19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c>
          <w:tcPr>
            <w:tcW w:w="0" w:type="dxa"/>
            <w:vAlign w:val="bottom"/>
          </w:tcPr>
          <w:p>
            <w:pPr>
              <w:spacing w:after="0"/>
              <w:rPr>
                <w:sz w:val="1"/>
                <w:szCs w:val="1"/>
                <w:color w:val="auto"/>
              </w:rPr>
            </w:pPr>
          </w:p>
        </w:tc>
      </w:tr>
      <w:tr>
        <w:trPr>
          <w:trHeight w:val="159"/>
        </w:trPr>
        <w:tc>
          <w:tcPr>
            <w:tcW w:w="5960" w:type="dxa"/>
            <w:vAlign w:val="bottom"/>
            <w:tcBorders>
              <w:left w:val="single" w:sz="8" w:color="auto"/>
              <w:right w:val="single" w:sz="8" w:color="auto"/>
            </w:tcBorders>
            <w:vMerge w:val="continue"/>
            <w:shd w:val="clear" w:color="auto" w:fill="CCCCCC"/>
          </w:tcPr>
          <w:p>
            <w:pPr>
              <w:spacing w:after="0"/>
              <w:rPr>
                <w:sz w:val="13"/>
                <w:szCs w:val="13"/>
                <w:color w:val="auto"/>
              </w:rPr>
            </w:pPr>
          </w:p>
        </w:tc>
        <w:tc>
          <w:tcPr>
            <w:tcW w:w="21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rPr>
              <w:t>JURISDICTION</w:t>
            </w:r>
          </w:p>
        </w:tc>
        <w:tc>
          <w:tcPr>
            <w:tcW w:w="19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c>
          <w:tcPr>
            <w:tcW w:w="0" w:type="dxa"/>
            <w:vAlign w:val="bottom"/>
          </w:tcPr>
          <w:p>
            <w:pPr>
              <w:spacing w:after="0"/>
              <w:rPr>
                <w:sz w:val="1"/>
                <w:szCs w:val="1"/>
                <w:color w:val="auto"/>
              </w:rPr>
            </w:pPr>
          </w:p>
        </w:tc>
      </w:tr>
      <w:tr>
        <w:trPr>
          <w:trHeight w:val="112"/>
        </w:trPr>
        <w:tc>
          <w:tcPr>
            <w:tcW w:w="596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21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(Kentucky),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3405 Robards Court</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Kentucky</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02/10/1981</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Louisville, KY 40218</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(MidAtlantic),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1057 Bill Tuck Highway</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Virginia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01/01/2010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South Boston, VA 24592</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(Midwest),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2182 231st Lane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Iowa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10/13/2009</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Ames, IA 50014</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(Mid South),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3100 Richard Arrington Jr. Blvd. North</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Alabama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08/06/1998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Birmingham, AL 35203</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(Northwest),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18702 North Creek Parkway, Suite 110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Washington</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02/14/1984</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Bothell, WA 98011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(Ohio),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7401 First Place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Ohio</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10/10/1979</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Oakwood Village, OH 44146</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Puerto Rico,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Drive,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Puerto Rico</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07/02/1991</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Texas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(South Central),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9745 Bent Oak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3"/>
              </w:rPr>
              <w:t>Texas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05/24/2007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77040</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(Southeast),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435 Corday Street</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03/24/1998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Pensacola, FL 32503</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(Southwest),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6875 W. Galveston</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Arizona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12/23/1977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Chandler, AZ 85226</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Strategic Accounts,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2655 Fortune Circle West, Suite 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Indiana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07/28/1998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Indianapolis, IN 46241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(Syracuse),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6500 New Venture Gear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New York</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03/08/1965</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East Syracuse, NY 13057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(Texas), L.P.</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3"/>
              </w:rPr>
              <w:t>Texas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08/14/1998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206 Reece Way Ste 1542</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01/05/2005</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Casselberry, Florida 32707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8120" w:type="dxa"/>
            <w:vAlign w:val="bottom"/>
            <w:gridSpan w:val="2"/>
          </w:tcPr>
          <w:p>
            <w:pPr>
              <w:ind w:left="3480"/>
              <w:spacing w:after="0"/>
              <w:rPr>
                <w:sz w:val="20"/>
                <w:szCs w:val="20"/>
                <w:color w:val="auto"/>
              </w:rPr>
            </w:pPr>
            <w:r>
              <w:rPr>
                <w:rFonts w:ascii="Arial" w:cs="Arial" w:eastAsia="Arial" w:hAnsi="Arial"/>
                <w:sz w:val="18"/>
                <w:szCs w:val="18"/>
                <w:color w:val="auto"/>
              </w:rPr>
              <w:t>Schedule I to Security Agreement – Page 3</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69" w:name="page170"/>
    <w:bookmarkEnd w:id="1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60" w:type="dxa"/>
            <w:vAlign w:val="bottom"/>
            <w:tcBorders>
              <w:top w:val="single" w:sz="8" w:color="auto"/>
              <w:left w:val="single" w:sz="8" w:color="auto"/>
              <w:right w:val="single" w:sz="8" w:color="auto"/>
            </w:tcBorders>
            <w:vMerge w:val="restart"/>
            <w:shd w:val="clear" w:color="auto" w:fill="CCCCCC"/>
          </w:tcPr>
          <w:p>
            <w:pPr>
              <w:ind w:left="2200"/>
              <w:spacing w:after="0"/>
              <w:rPr>
                <w:sz w:val="20"/>
                <w:szCs w:val="20"/>
                <w:color w:val="auto"/>
              </w:rPr>
            </w:pPr>
            <w:r>
              <w:rPr>
                <w:rFonts w:ascii="Arial" w:cs="Arial" w:eastAsia="Arial" w:hAnsi="Arial"/>
                <w:sz w:val="22"/>
                <w:szCs w:val="22"/>
                <w:b w:val="1"/>
                <w:bCs w:val="1"/>
                <w:color w:val="auto"/>
              </w:rPr>
              <w:t>ENTITY NAME</w:t>
            </w:r>
          </w:p>
        </w:tc>
        <w:tc>
          <w:tcPr>
            <w:tcW w:w="21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DOMESTIC</w:t>
            </w:r>
          </w:p>
        </w:tc>
        <w:tc>
          <w:tcPr>
            <w:tcW w:w="19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c>
          <w:tcPr>
            <w:tcW w:w="0" w:type="dxa"/>
            <w:vAlign w:val="bottom"/>
          </w:tcPr>
          <w:p>
            <w:pPr>
              <w:spacing w:after="0"/>
              <w:rPr>
                <w:sz w:val="1"/>
                <w:szCs w:val="1"/>
                <w:color w:val="auto"/>
              </w:rPr>
            </w:pPr>
          </w:p>
        </w:tc>
      </w:tr>
      <w:tr>
        <w:trPr>
          <w:trHeight w:val="159"/>
        </w:trPr>
        <w:tc>
          <w:tcPr>
            <w:tcW w:w="5960" w:type="dxa"/>
            <w:vAlign w:val="bottom"/>
            <w:tcBorders>
              <w:left w:val="single" w:sz="8" w:color="auto"/>
              <w:right w:val="single" w:sz="8" w:color="auto"/>
            </w:tcBorders>
            <w:vMerge w:val="continue"/>
            <w:shd w:val="clear" w:color="auto" w:fill="CCCCCC"/>
          </w:tcPr>
          <w:p>
            <w:pPr>
              <w:spacing w:after="0"/>
              <w:rPr>
                <w:sz w:val="13"/>
                <w:szCs w:val="13"/>
                <w:color w:val="auto"/>
              </w:rPr>
            </w:pPr>
          </w:p>
        </w:tc>
        <w:tc>
          <w:tcPr>
            <w:tcW w:w="21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rPr>
              <w:t>JURISDICTION</w:t>
            </w:r>
          </w:p>
        </w:tc>
        <w:tc>
          <w:tcPr>
            <w:tcW w:w="19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c>
          <w:tcPr>
            <w:tcW w:w="0" w:type="dxa"/>
            <w:vAlign w:val="bottom"/>
          </w:tcPr>
          <w:p>
            <w:pPr>
              <w:spacing w:after="0"/>
              <w:rPr>
                <w:sz w:val="1"/>
                <w:szCs w:val="1"/>
                <w:color w:val="auto"/>
              </w:rPr>
            </w:pPr>
          </w:p>
        </w:tc>
      </w:tr>
      <w:tr>
        <w:trPr>
          <w:trHeight w:val="112"/>
        </w:trPr>
        <w:tc>
          <w:tcPr>
            <w:tcW w:w="596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21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 Alabama,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1025 County Road 6</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Alabama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12/28/2012</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Piedmont, AL 36272</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 Georgia,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456 Ethan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Georgia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11/04/2008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Fayetteville, GA 30214</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 North Carolina,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2803 Gray Fox Road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03/22/2010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 Trail, NC 28079</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 Tennessee,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1330 Murfreesboro Pike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0"/>
              </w:rPr>
              <w:t>Tennessee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01/07/2010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Nashville, TN 37217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 Texas,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5301 Big Six Street</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3"/>
              </w:rPr>
              <w:t>Texas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12/22/2010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Alvarado, TX 76009</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Control Concepts,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3550 North Parkway, Suite 100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Georgia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12/16/1996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Cumming, GA 30040</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Control Concepts Mechanical Services,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3550 North Parkway, Suite 100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Georgia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01/17/2008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Cumming, GA 30040</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CSUSA (10),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Drive,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10/21/2011</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Texas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CS53 Acquisition Corporation</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11/26/1999</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Delcard Associates,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06/23/2000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Design Mechanical Incorporated</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168 CTC Blvd., Suite #D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Colorado</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10/30/1997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Louisville, CO 80027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Dyna Ten Corporation</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4375 Diplomacy Road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3"/>
              </w:rPr>
              <w:t>Texas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06/26/1980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Fort Worth, TX 76155</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Dyna Ten Maintenance Services,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4375 Diplomacy Road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3"/>
              </w:rPr>
              <w:t>Texas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08/07/2006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Fort Worth, TX 76155</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Eastern Heating &amp; Cooling,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880 Broadway</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New York</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12/19/1988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Albany, NY 12207-1316</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8120" w:type="dxa"/>
            <w:vAlign w:val="bottom"/>
            <w:gridSpan w:val="2"/>
          </w:tcPr>
          <w:p>
            <w:pPr>
              <w:ind w:left="3480"/>
              <w:spacing w:after="0"/>
              <w:rPr>
                <w:sz w:val="20"/>
                <w:szCs w:val="20"/>
                <w:color w:val="auto"/>
              </w:rPr>
            </w:pPr>
            <w:r>
              <w:rPr>
                <w:rFonts w:ascii="Arial" w:cs="Arial" w:eastAsia="Arial" w:hAnsi="Arial"/>
                <w:sz w:val="18"/>
                <w:szCs w:val="18"/>
                <w:color w:val="auto"/>
              </w:rPr>
              <w:t>Schedule I to Security Agreement – Page 4</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70" w:name="page171"/>
    <w:bookmarkEnd w:id="1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60" w:type="dxa"/>
            <w:vAlign w:val="bottom"/>
            <w:tcBorders>
              <w:top w:val="single" w:sz="8" w:color="auto"/>
              <w:left w:val="single" w:sz="8" w:color="auto"/>
              <w:right w:val="single" w:sz="8" w:color="auto"/>
            </w:tcBorders>
            <w:vMerge w:val="restart"/>
            <w:shd w:val="clear" w:color="auto" w:fill="CCCCCC"/>
          </w:tcPr>
          <w:p>
            <w:pPr>
              <w:ind w:left="2200"/>
              <w:spacing w:after="0"/>
              <w:rPr>
                <w:sz w:val="20"/>
                <w:szCs w:val="20"/>
                <w:color w:val="auto"/>
              </w:rPr>
            </w:pPr>
            <w:r>
              <w:rPr>
                <w:rFonts w:ascii="Arial" w:cs="Arial" w:eastAsia="Arial" w:hAnsi="Arial"/>
                <w:sz w:val="22"/>
                <w:szCs w:val="22"/>
                <w:b w:val="1"/>
                <w:bCs w:val="1"/>
                <w:color w:val="auto"/>
              </w:rPr>
              <w:t>ENTITY NAME</w:t>
            </w:r>
          </w:p>
        </w:tc>
        <w:tc>
          <w:tcPr>
            <w:tcW w:w="21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DOMESTIC</w:t>
            </w:r>
          </w:p>
        </w:tc>
        <w:tc>
          <w:tcPr>
            <w:tcW w:w="19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c>
          <w:tcPr>
            <w:tcW w:w="0" w:type="dxa"/>
            <w:vAlign w:val="bottom"/>
          </w:tcPr>
          <w:p>
            <w:pPr>
              <w:spacing w:after="0"/>
              <w:rPr>
                <w:sz w:val="1"/>
                <w:szCs w:val="1"/>
                <w:color w:val="auto"/>
              </w:rPr>
            </w:pPr>
          </w:p>
        </w:tc>
      </w:tr>
      <w:tr>
        <w:trPr>
          <w:trHeight w:val="159"/>
        </w:trPr>
        <w:tc>
          <w:tcPr>
            <w:tcW w:w="5960" w:type="dxa"/>
            <w:vAlign w:val="bottom"/>
            <w:tcBorders>
              <w:left w:val="single" w:sz="8" w:color="auto"/>
              <w:right w:val="single" w:sz="8" w:color="auto"/>
            </w:tcBorders>
            <w:vMerge w:val="continue"/>
            <w:shd w:val="clear" w:color="auto" w:fill="CCCCCC"/>
          </w:tcPr>
          <w:p>
            <w:pPr>
              <w:spacing w:after="0"/>
              <w:rPr>
                <w:sz w:val="13"/>
                <w:szCs w:val="13"/>
                <w:color w:val="auto"/>
              </w:rPr>
            </w:pPr>
          </w:p>
        </w:tc>
        <w:tc>
          <w:tcPr>
            <w:tcW w:w="21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rPr>
              <w:t>JURISDICTION</w:t>
            </w:r>
          </w:p>
        </w:tc>
        <w:tc>
          <w:tcPr>
            <w:tcW w:w="19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c>
          <w:tcPr>
            <w:tcW w:w="0" w:type="dxa"/>
            <w:vAlign w:val="bottom"/>
          </w:tcPr>
          <w:p>
            <w:pPr>
              <w:spacing w:after="0"/>
              <w:rPr>
                <w:sz w:val="1"/>
                <w:szCs w:val="1"/>
                <w:color w:val="auto"/>
              </w:rPr>
            </w:pPr>
          </w:p>
        </w:tc>
      </w:tr>
      <w:tr>
        <w:trPr>
          <w:trHeight w:val="112"/>
        </w:trPr>
        <w:tc>
          <w:tcPr>
            <w:tcW w:w="596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21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Eastern Refrigeration Co.,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880 Broadway</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New York</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01/30/1990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Albany, NY 12207-1316</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Environmental Air Systems,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521 Banner Avenue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10/07/2011</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Greensboro, North Carolina 27401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Envirotrol,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114 Landmark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North Carolina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10/27/2011</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Greensboro, North Carolina 27409</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Granite State Holdings Company,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17 Oil Mill Rd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11/02/2005</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Weare, New Hampshire 03281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Granite State Plumbing &amp; Heating,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17 Oil Mill Rd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New Hampshire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07/31/2001</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Weare, New Hampshire 03281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Helm Corporation</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Colorado</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10/26/1972</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Hess Mechanical,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9600 Fallard Court</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Maryland</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01/07/2016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Upper Marlboro, MD 20772-6703</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Mechanical Technical Services,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1720 Royston Lane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3"/>
              </w:rPr>
              <w:t>Texas</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05/24/2007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Round Rock, TX 78664</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MJ Mechanical Services,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95 Pirson Parkway</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Virginia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12/12/1997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Tonawanda, New York 14150</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North American Mechanical,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4401 State Road 19</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03/17/1998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Windsor, WI 53598</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Quality Air Heating &amp; Cooling,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3395 Kraft Avenue, SE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Michigan</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09/10/1980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Grand Rapids, MI 49512</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Riddleberger Brothers,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6127 S. Valley Pike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5"/>
              </w:rPr>
              <w:t>Virginia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12/22/1958</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Mount Crawford, VA 22841</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Royalaire Holdings,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101 Dunbar Ave, Suite 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10/04/2006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Oldsmar, FL 34677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Royalaire Mechanical Services,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101 Dunbar Ave, Suite 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09/12/2006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Oldsmar, FL 34677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8120" w:type="dxa"/>
            <w:vAlign w:val="bottom"/>
            <w:gridSpan w:val="2"/>
          </w:tcPr>
          <w:p>
            <w:pPr>
              <w:ind w:left="3480"/>
              <w:spacing w:after="0"/>
              <w:rPr>
                <w:sz w:val="20"/>
                <w:szCs w:val="20"/>
                <w:color w:val="auto"/>
              </w:rPr>
            </w:pPr>
            <w:r>
              <w:rPr>
                <w:rFonts w:ascii="Arial" w:cs="Arial" w:eastAsia="Arial" w:hAnsi="Arial"/>
                <w:sz w:val="18"/>
                <w:szCs w:val="18"/>
                <w:color w:val="auto"/>
              </w:rPr>
              <w:t>Schedule I to Security Agreement – Page 5</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96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71" w:name="page172"/>
    <w:bookmarkEnd w:id="1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960" w:type="dxa"/>
            <w:vAlign w:val="bottom"/>
            <w:tcBorders>
              <w:top w:val="single" w:sz="8" w:color="auto"/>
              <w:left w:val="single" w:sz="8" w:color="auto"/>
              <w:right w:val="single" w:sz="8" w:color="auto"/>
            </w:tcBorders>
            <w:vMerge w:val="restart"/>
            <w:shd w:val="clear" w:color="auto" w:fill="CCCCCC"/>
          </w:tcPr>
          <w:p>
            <w:pPr>
              <w:ind w:left="2200"/>
              <w:spacing w:after="0"/>
              <w:rPr>
                <w:sz w:val="20"/>
                <w:szCs w:val="20"/>
                <w:color w:val="auto"/>
              </w:rPr>
            </w:pPr>
            <w:r>
              <w:rPr>
                <w:rFonts w:ascii="Arial" w:cs="Arial" w:eastAsia="Arial" w:hAnsi="Arial"/>
                <w:sz w:val="22"/>
                <w:szCs w:val="22"/>
                <w:b w:val="1"/>
                <w:bCs w:val="1"/>
                <w:color w:val="auto"/>
              </w:rPr>
              <w:t>ENTITY NAME</w:t>
            </w:r>
          </w:p>
        </w:tc>
        <w:tc>
          <w:tcPr>
            <w:tcW w:w="21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DOMESTIC</w:t>
            </w:r>
          </w:p>
        </w:tc>
        <w:tc>
          <w:tcPr>
            <w:tcW w:w="19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rPr>
              <w:t>FORMATION</w:t>
            </w:r>
          </w:p>
        </w:tc>
        <w:tc>
          <w:tcPr>
            <w:tcW w:w="0" w:type="dxa"/>
            <w:vAlign w:val="bottom"/>
          </w:tcPr>
          <w:p>
            <w:pPr>
              <w:spacing w:after="0"/>
              <w:rPr>
                <w:sz w:val="1"/>
                <w:szCs w:val="1"/>
                <w:color w:val="auto"/>
              </w:rPr>
            </w:pPr>
          </w:p>
        </w:tc>
      </w:tr>
      <w:tr>
        <w:trPr>
          <w:trHeight w:val="159"/>
        </w:trPr>
        <w:tc>
          <w:tcPr>
            <w:tcW w:w="5960" w:type="dxa"/>
            <w:vAlign w:val="bottom"/>
            <w:tcBorders>
              <w:left w:val="single" w:sz="8" w:color="auto"/>
              <w:right w:val="single" w:sz="8" w:color="auto"/>
            </w:tcBorders>
            <w:vMerge w:val="continue"/>
            <w:shd w:val="clear" w:color="auto" w:fill="CCCCCC"/>
          </w:tcPr>
          <w:p>
            <w:pPr>
              <w:spacing w:after="0"/>
              <w:rPr>
                <w:sz w:val="13"/>
                <w:szCs w:val="13"/>
                <w:color w:val="auto"/>
              </w:rPr>
            </w:pPr>
          </w:p>
        </w:tc>
        <w:tc>
          <w:tcPr>
            <w:tcW w:w="21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rPr>
              <w:t>JURISDICTION</w:t>
            </w:r>
          </w:p>
        </w:tc>
        <w:tc>
          <w:tcPr>
            <w:tcW w:w="19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6"/>
              </w:rPr>
              <w:t>DATE</w:t>
            </w:r>
          </w:p>
        </w:tc>
        <w:tc>
          <w:tcPr>
            <w:tcW w:w="0" w:type="dxa"/>
            <w:vAlign w:val="bottom"/>
          </w:tcPr>
          <w:p>
            <w:pPr>
              <w:spacing w:after="0"/>
              <w:rPr>
                <w:sz w:val="1"/>
                <w:szCs w:val="1"/>
                <w:color w:val="auto"/>
              </w:rPr>
            </w:pPr>
          </w:p>
        </w:tc>
      </w:tr>
      <w:tr>
        <w:trPr>
          <w:trHeight w:val="112"/>
        </w:trPr>
        <w:tc>
          <w:tcPr>
            <w:tcW w:w="596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21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9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Royalaire Mechanical Services II, LLC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101 Dunbar Ave, Suite D</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09/27/2010</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Oldsmar, FL 34677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S.I. Goldman Company,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799 Bennett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Florida</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10/04/1976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Longwood, FL 32750</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S.M. Lawrence Company,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1330 Murfreesboro Pike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0"/>
              </w:rPr>
              <w:t>Tennessee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03/08/1973</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Nashville, Tennessee 37217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Seasonair,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16001-A Industrial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2"/>
              </w:rPr>
              <w:t>Maryland</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10/28/1966</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Gaithersburg, MD 20877</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ShoffnerKalthoff MES,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3538, 3600 and 3626 Papermill Drive</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0"/>
              </w:rPr>
              <w:t>Tennessee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08/18/2005</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Knoxville, Tennessee 37909</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59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Temp Right Service, Inc.</w:t>
            </w:r>
          </w:p>
        </w:tc>
        <w:tc>
          <w:tcPr>
            <w:tcW w:w="2160" w:type="dxa"/>
            <w:vAlign w:val="bottom"/>
            <w:tcBorders>
              <w:right w:val="single" w:sz="8" w:color="auto"/>
            </w:tcBorders>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5818 Sandpiper Dr</w:t>
            </w:r>
          </w:p>
        </w:tc>
        <w:tc>
          <w:tcPr>
            <w:tcW w:w="21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Delaware</w:t>
            </w:r>
          </w:p>
        </w:tc>
        <w:tc>
          <w:tcPr>
            <w:tcW w:w="19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09/25/1997</w:t>
            </w:r>
          </w:p>
        </w:tc>
        <w:tc>
          <w:tcPr>
            <w:tcW w:w="0" w:type="dxa"/>
            <w:vAlign w:val="bottom"/>
          </w:tcPr>
          <w:p>
            <w:pPr>
              <w:spacing w:after="0"/>
              <w:rPr>
                <w:sz w:val="1"/>
                <w:szCs w:val="1"/>
                <w:color w:val="auto"/>
              </w:rPr>
            </w:pPr>
          </w:p>
        </w:tc>
      </w:tr>
      <w:tr>
        <w:trPr>
          <w:trHeight w:val="265"/>
        </w:trPr>
        <w:tc>
          <w:tcPr>
            <w:tcW w:w="5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Missoula, Montana 59808</w:t>
            </w:r>
          </w:p>
        </w:tc>
        <w:tc>
          <w:tcPr>
            <w:tcW w:w="2160" w:type="dxa"/>
            <w:vAlign w:val="bottom"/>
            <w:tcBorders>
              <w:bottom w:val="single" w:sz="8" w:color="auto"/>
              <w:right w:val="single" w:sz="8" w:color="auto"/>
            </w:tcBorders>
          </w:tcPr>
          <w:p>
            <w:pPr>
              <w:spacing w:after="0"/>
              <w:rPr>
                <w:sz w:val="23"/>
                <w:szCs w:val="23"/>
                <w:color w:val="auto"/>
              </w:rPr>
            </w:pPr>
          </w:p>
        </w:tc>
        <w:tc>
          <w:tcPr>
            <w:tcW w:w="19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 I to Security Agreement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172" w:name="page173"/>
    <w:bookmarkEnd w:id="172"/>
    <w:p>
      <w:pPr>
        <w:jc w:val="center"/>
        <w:ind w:right="20"/>
        <w:spacing w:after="0"/>
        <w:rPr>
          <w:sz w:val="20"/>
          <w:szCs w:val="20"/>
          <w:color w:val="auto"/>
        </w:rPr>
      </w:pPr>
      <w:r>
        <w:rPr>
          <w:rFonts w:ascii="Arial" w:cs="Arial" w:eastAsia="Arial" w:hAnsi="Arial"/>
          <w:sz w:val="22"/>
          <w:szCs w:val="22"/>
          <w:b w:val="1"/>
          <w:bCs w:val="1"/>
          <w:color w:val="auto"/>
        </w:rPr>
        <w:t>SCHEDULE III</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t>
      </w:r>
    </w:p>
    <w:p>
      <w:pPr>
        <w:jc w:val="center"/>
        <w:ind w:right="20"/>
        <w:spacing w:after="0"/>
        <w:rPr>
          <w:sz w:val="20"/>
          <w:szCs w:val="20"/>
          <w:color w:val="auto"/>
        </w:rPr>
      </w:pPr>
      <w:r>
        <w:rPr>
          <w:rFonts w:ascii="Arial" w:cs="Arial" w:eastAsia="Arial" w:hAnsi="Arial"/>
          <w:sz w:val="22"/>
          <w:szCs w:val="22"/>
          <w:b w:val="1"/>
          <w:bCs w:val="1"/>
          <w:color w:val="auto"/>
        </w:rPr>
        <w:t>SECOND AMENDED AND RESTATED SECURITY AGREEMENT</w:t>
      </w:r>
    </w:p>
    <w:p>
      <w:pPr>
        <w:spacing w:after="0" w:line="209"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Schedule of Organizational Identification, Offices, Locations of Collateral and Records Concerning Collateral</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60" w:type="dxa"/>
            <w:vAlign w:val="bottom"/>
            <w:tcBorders>
              <w:top w:val="single" w:sz="8" w:color="auto"/>
              <w:lef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1"/>
              </w:rPr>
              <w:t>Grantor Official Name, Address of</w:t>
            </w:r>
          </w:p>
        </w:tc>
        <w:tc>
          <w:tcPr>
            <w:tcW w:w="100" w:type="dxa"/>
            <w:vAlign w:val="bottom"/>
            <w:tcBorders>
              <w:top w:val="single" w:sz="8" w:color="auto"/>
              <w:right w:val="single" w:sz="8" w:color="auto"/>
            </w:tcBorders>
            <w:shd w:val="clear" w:color="auto" w:fill="CCCCCC"/>
          </w:tcPr>
          <w:p>
            <w:pPr>
              <w:spacing w:after="0"/>
              <w:rPr>
                <w:sz w:val="21"/>
                <w:szCs w:val="21"/>
                <w:color w:val="auto"/>
              </w:rPr>
            </w:pPr>
          </w:p>
        </w:tc>
        <w:tc>
          <w:tcPr>
            <w:tcW w:w="15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6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Entity Type</w:t>
            </w:r>
          </w:p>
        </w:tc>
        <w:tc>
          <w:tcPr>
            <w:tcW w:w="15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7"/>
              </w:rPr>
              <w:t>Charter/ID</w:t>
            </w:r>
          </w:p>
        </w:tc>
        <w:tc>
          <w:tcPr>
            <w:tcW w:w="21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Prior Names &amp; Trade</w:t>
            </w:r>
          </w:p>
        </w:tc>
      </w:tr>
      <w:tr>
        <w:trPr>
          <w:trHeight w:val="243"/>
        </w:trPr>
        <w:tc>
          <w:tcPr>
            <w:tcW w:w="3360" w:type="dxa"/>
            <w:vAlign w:val="bottom"/>
            <w:tcBorders>
              <w:lef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7"/>
              </w:rPr>
              <w:t>Principal Place of Business and</w:t>
            </w:r>
          </w:p>
        </w:tc>
        <w:tc>
          <w:tcPr>
            <w:tcW w:w="100" w:type="dxa"/>
            <w:vAlign w:val="bottom"/>
            <w:tcBorders>
              <w:right w:val="single" w:sz="8" w:color="auto"/>
            </w:tcBorders>
            <w:shd w:val="clear" w:color="auto" w:fill="CCCCCC"/>
          </w:tcPr>
          <w:p>
            <w:pPr>
              <w:spacing w:after="0"/>
              <w:rPr>
                <w:sz w:val="21"/>
                <w:szCs w:val="21"/>
                <w:color w:val="auto"/>
              </w:rPr>
            </w:pPr>
          </w:p>
        </w:tc>
        <w:tc>
          <w:tcPr>
            <w:tcW w:w="152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60" w:type="dxa"/>
            <w:vAlign w:val="bottom"/>
            <w:tcBorders>
              <w:right w:val="single" w:sz="8" w:color="auto"/>
            </w:tcBorders>
            <w:shd w:val="clear" w:color="auto" w:fill="CCCCCC"/>
          </w:tcPr>
          <w:p>
            <w:pPr>
              <w:spacing w:after="0"/>
              <w:rPr>
                <w:sz w:val="21"/>
                <w:szCs w:val="21"/>
                <w:color w:val="auto"/>
              </w:rPr>
            </w:pPr>
          </w:p>
        </w:tc>
        <w:tc>
          <w:tcPr>
            <w:tcW w:w="152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Number</w:t>
            </w:r>
          </w:p>
        </w:tc>
        <w:tc>
          <w:tcPr>
            <w:tcW w:w="212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8"/>
              </w:rPr>
              <w:t>Names</w:t>
            </w:r>
          </w:p>
        </w:tc>
      </w:tr>
      <w:tr>
        <w:trPr>
          <w:trHeight w:val="243"/>
        </w:trPr>
        <w:tc>
          <w:tcPr>
            <w:tcW w:w="3360" w:type="dxa"/>
            <w:vAlign w:val="bottom"/>
            <w:tcBorders>
              <w:lef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00" w:type="dxa"/>
            <w:vAlign w:val="bottom"/>
            <w:tcBorders>
              <w:right w:val="single" w:sz="8" w:color="auto"/>
            </w:tcBorders>
            <w:shd w:val="clear" w:color="auto" w:fill="CCCCCC"/>
          </w:tcPr>
          <w:p>
            <w:pPr>
              <w:spacing w:after="0"/>
              <w:rPr>
                <w:sz w:val="21"/>
                <w:szCs w:val="21"/>
                <w:color w:val="auto"/>
              </w:rPr>
            </w:pPr>
          </w:p>
        </w:tc>
        <w:tc>
          <w:tcPr>
            <w:tcW w:w="1520" w:type="dxa"/>
            <w:vAlign w:val="bottom"/>
            <w:tcBorders>
              <w:right w:val="single" w:sz="8" w:color="auto"/>
            </w:tcBorders>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1520" w:type="dxa"/>
            <w:vAlign w:val="bottom"/>
            <w:tcBorders>
              <w:right w:val="single" w:sz="8" w:color="auto"/>
            </w:tcBorders>
            <w:shd w:val="clear" w:color="auto" w:fill="CCCCCC"/>
          </w:tcPr>
          <w:p>
            <w:pPr>
              <w:spacing w:after="0"/>
              <w:rPr>
                <w:sz w:val="21"/>
                <w:szCs w:val="21"/>
                <w:color w:val="auto"/>
              </w:rPr>
            </w:pPr>
          </w:p>
        </w:tc>
        <w:tc>
          <w:tcPr>
            <w:tcW w:w="2120" w:type="dxa"/>
            <w:vAlign w:val="bottom"/>
            <w:tcBorders>
              <w:right w:val="single" w:sz="8" w:color="auto"/>
            </w:tcBorders>
            <w:shd w:val="clear" w:color="auto" w:fill="CCCCCC"/>
          </w:tcPr>
          <w:p>
            <w:pPr>
              <w:spacing w:after="0"/>
              <w:rPr>
                <w:sz w:val="21"/>
                <w:szCs w:val="21"/>
                <w:color w:val="auto"/>
              </w:rPr>
            </w:pPr>
          </w:p>
        </w:tc>
      </w:tr>
      <w:tr>
        <w:trPr>
          <w:trHeight w:val="291"/>
        </w:trPr>
        <w:tc>
          <w:tcPr>
            <w:tcW w:w="3360" w:type="dxa"/>
            <w:vAlign w:val="bottom"/>
            <w:tcBorders>
              <w:left w:val="single" w:sz="8" w:color="auto"/>
              <w:bottom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00" w:type="dxa"/>
            <w:vAlign w:val="bottom"/>
            <w:tcBorders>
              <w:bottom w:val="single" w:sz="8" w:color="auto"/>
              <w:right w:val="single" w:sz="8" w:color="auto"/>
            </w:tcBorders>
            <w:shd w:val="clear" w:color="auto" w:fill="CCCCCC"/>
          </w:tcPr>
          <w:p>
            <w:pPr>
              <w:spacing w:after="0"/>
              <w:rPr>
                <w:sz w:val="24"/>
                <w:szCs w:val="24"/>
                <w:color w:val="auto"/>
              </w:rPr>
            </w:pPr>
          </w:p>
        </w:tc>
        <w:tc>
          <w:tcPr>
            <w:tcW w:w="1520" w:type="dxa"/>
            <w:vAlign w:val="bottom"/>
            <w:tcBorders>
              <w:bottom w:val="single" w:sz="8" w:color="auto"/>
              <w:right w:val="single" w:sz="8" w:color="auto"/>
            </w:tcBorders>
            <w:shd w:val="clear" w:color="auto" w:fill="CCCCCC"/>
          </w:tcPr>
          <w:p>
            <w:pPr>
              <w:spacing w:after="0"/>
              <w:rPr>
                <w:sz w:val="24"/>
                <w:szCs w:val="24"/>
                <w:color w:val="auto"/>
              </w:rPr>
            </w:pPr>
          </w:p>
        </w:tc>
        <w:tc>
          <w:tcPr>
            <w:tcW w:w="1460" w:type="dxa"/>
            <w:vAlign w:val="bottom"/>
            <w:tcBorders>
              <w:bottom w:val="single" w:sz="8" w:color="auto"/>
              <w:right w:val="single" w:sz="8" w:color="auto"/>
            </w:tcBorders>
            <w:shd w:val="clear" w:color="auto" w:fill="CCCCCC"/>
          </w:tcPr>
          <w:p>
            <w:pPr>
              <w:spacing w:after="0"/>
              <w:rPr>
                <w:sz w:val="24"/>
                <w:szCs w:val="24"/>
                <w:color w:val="auto"/>
              </w:rPr>
            </w:pPr>
          </w:p>
        </w:tc>
        <w:tc>
          <w:tcPr>
            <w:tcW w:w="1520" w:type="dxa"/>
            <w:vAlign w:val="bottom"/>
            <w:tcBorders>
              <w:bottom w:val="single" w:sz="8" w:color="auto"/>
              <w:right w:val="single" w:sz="8" w:color="auto"/>
            </w:tcBorders>
            <w:shd w:val="clear" w:color="auto" w:fill="CCCCCC"/>
          </w:tcPr>
          <w:p>
            <w:pPr>
              <w:spacing w:after="0"/>
              <w:rPr>
                <w:sz w:val="24"/>
                <w:szCs w:val="24"/>
                <w:color w:val="auto"/>
              </w:rPr>
            </w:pPr>
          </w:p>
        </w:tc>
        <w:tc>
          <w:tcPr>
            <w:tcW w:w="212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62"/>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Accu-Temp GP, Inc.</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Delaware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Corporation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2898499</w:t>
            </w:r>
          </w:p>
        </w:tc>
        <w:tc>
          <w:tcPr>
            <w:tcW w:w="2120" w:type="dxa"/>
            <w:vAlign w:val="bottom"/>
            <w:tcBorders>
              <w:right w:val="single" w:sz="8" w:color="auto"/>
            </w:tcBorders>
          </w:tcPr>
          <w:p>
            <w:pPr>
              <w:spacing w:after="0"/>
              <w:rPr>
                <w:sz w:val="22"/>
                <w:szCs w:val="22"/>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675 Bering, Suite 400</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276"/>
        </w:trPr>
        <w:tc>
          <w:tcPr>
            <w:tcW w:w="3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Accu-Temp LP, Inc.</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Delaware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Corporation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2898748</w:t>
            </w:r>
          </w:p>
        </w:tc>
        <w:tc>
          <w:tcPr>
            <w:tcW w:w="2120" w:type="dxa"/>
            <w:vAlign w:val="bottom"/>
            <w:tcBorders>
              <w:right w:val="single" w:sz="8" w:color="auto"/>
            </w:tcBorders>
          </w:tcPr>
          <w:p>
            <w:pPr>
              <w:spacing w:after="0"/>
              <w:rPr>
                <w:sz w:val="22"/>
                <w:szCs w:val="22"/>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675 Bering, Suite 400</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276"/>
        </w:trPr>
        <w:tc>
          <w:tcPr>
            <w:tcW w:w="3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ACI Mechanical, Inc.</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Delaware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Corporation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2913899</w:t>
            </w:r>
          </w:p>
        </w:tc>
        <w:tc>
          <w:tcPr>
            <w:tcW w:w="2120" w:type="dxa"/>
            <w:vAlign w:val="bottom"/>
            <w:tcBorders>
              <w:right w:val="single" w:sz="8" w:color="auto"/>
            </w:tcBorders>
          </w:tcPr>
          <w:p>
            <w:pPr>
              <w:spacing w:after="0"/>
              <w:rPr>
                <w:sz w:val="22"/>
                <w:szCs w:val="22"/>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2182 231</w:t>
            </w:r>
            <w:r>
              <w:rPr>
                <w:rFonts w:ascii="Arial" w:cs="Arial" w:eastAsia="Arial" w:hAnsi="Arial"/>
                <w:sz w:val="10"/>
                <w:szCs w:val="10"/>
                <w:color w:val="auto"/>
              </w:rPr>
              <w:t>st</w:t>
            </w:r>
            <w:r>
              <w:rPr>
                <w:rFonts w:ascii="Arial" w:cs="Arial" w:eastAsia="Arial" w:hAnsi="Arial"/>
                <w:sz w:val="22"/>
                <w:szCs w:val="22"/>
                <w:color w:val="auto"/>
              </w:rPr>
              <w:t xml:space="preserve"> Lane</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276"/>
        </w:trPr>
        <w:tc>
          <w:tcPr>
            <w:tcW w:w="3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Ames, IA 50014</w:t>
            </w: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30"/>
        </w:trPr>
        <w:tc>
          <w:tcPr>
            <w:tcW w:w="3360" w:type="dxa"/>
            <w:vAlign w:val="bottom"/>
            <w:tcBorders>
              <w:left w:val="single" w:sz="8" w:color="auto"/>
            </w:tcBorders>
          </w:tcPr>
          <w:p>
            <w:pPr>
              <w:ind w:left="100"/>
              <w:spacing w:after="0" w:line="230" w:lineRule="exact"/>
              <w:rPr>
                <w:sz w:val="20"/>
                <w:szCs w:val="20"/>
                <w:color w:val="auto"/>
              </w:rPr>
            </w:pPr>
            <w:r>
              <w:rPr>
                <w:rFonts w:ascii="Arial" w:cs="Arial" w:eastAsia="Arial" w:hAnsi="Arial"/>
                <w:sz w:val="22"/>
                <w:szCs w:val="22"/>
                <w:color w:val="auto"/>
              </w:rPr>
              <w:t>Acorn Industrial, LLC</w:t>
            </w:r>
          </w:p>
        </w:tc>
        <w:tc>
          <w:tcPr>
            <w:tcW w:w="10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1"/>
              </w:rPr>
              <w:t>North Carolina</w:t>
            </w:r>
          </w:p>
        </w:tc>
        <w:tc>
          <w:tcPr>
            <w:tcW w:w="146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8"/>
              </w:rPr>
              <w:t>Limited</w:t>
            </w:r>
          </w:p>
        </w:tc>
        <w:tc>
          <w:tcPr>
            <w:tcW w:w="1520" w:type="dxa"/>
            <w:vAlign w:val="bottom"/>
            <w:tcBorders>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88"/>
              </w:rPr>
              <w:t>0414387</w:t>
            </w:r>
          </w:p>
        </w:tc>
        <w:tc>
          <w:tcPr>
            <w:tcW w:w="2120" w:type="dxa"/>
            <w:vAlign w:val="bottom"/>
            <w:tcBorders>
              <w:right w:val="single" w:sz="8" w:color="auto"/>
            </w:tcBorders>
          </w:tcPr>
          <w:p>
            <w:pPr>
              <w:spacing w:after="0"/>
              <w:rPr>
                <w:sz w:val="20"/>
                <w:szCs w:val="20"/>
                <w:color w:val="auto"/>
              </w:rPr>
            </w:pPr>
          </w:p>
        </w:tc>
      </w:tr>
      <w:tr>
        <w:trPr>
          <w:trHeight w:val="243"/>
        </w:trPr>
        <w:tc>
          <w:tcPr>
            <w:tcW w:w="3360" w:type="dxa"/>
            <w:vAlign w:val="bottom"/>
            <w:tcBorders>
              <w:left w:val="single" w:sz="8" w:color="auto"/>
            </w:tcBorders>
          </w:tcPr>
          <w:p>
            <w:pPr>
              <w:ind w:left="100"/>
              <w:spacing w:after="0" w:line="243" w:lineRule="exact"/>
              <w:rPr>
                <w:sz w:val="20"/>
                <w:szCs w:val="20"/>
                <w:color w:val="auto"/>
              </w:rPr>
            </w:pPr>
            <w:r>
              <w:rPr>
                <w:rFonts w:ascii="Arial" w:cs="Arial" w:eastAsia="Arial" w:hAnsi="Arial"/>
                <w:sz w:val="22"/>
                <w:szCs w:val="22"/>
                <w:color w:val="auto"/>
              </w:rPr>
              <w:t>7311 ACC Boulevard</w:t>
            </w:r>
          </w:p>
        </w:tc>
        <w:tc>
          <w:tcPr>
            <w:tcW w:w="10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2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r>
      <w:tr>
        <w:trPr>
          <w:trHeight w:val="317"/>
        </w:trPr>
        <w:tc>
          <w:tcPr>
            <w:tcW w:w="3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Raleigh, NC 27617</w:t>
            </w: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Advance Technology, Inc.</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Maine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Corporation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19950235 D</w:t>
            </w:r>
          </w:p>
        </w:tc>
        <w:tc>
          <w:tcPr>
            <w:tcW w:w="2120" w:type="dxa"/>
            <w:vAlign w:val="bottom"/>
            <w:tcBorders>
              <w:right w:val="single" w:sz="8" w:color="auto"/>
            </w:tcBorders>
          </w:tcPr>
          <w:p>
            <w:pPr>
              <w:spacing w:after="0"/>
              <w:rPr>
                <w:sz w:val="22"/>
                <w:szCs w:val="22"/>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4 Washington Avenue</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276"/>
        </w:trPr>
        <w:tc>
          <w:tcPr>
            <w:tcW w:w="3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Scarborough, ME 04074</w:t>
            </w: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Air Systems Engineering, Inc.</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Washington</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Corporation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600099211</w:t>
            </w:r>
          </w:p>
        </w:tc>
        <w:tc>
          <w:tcPr>
            <w:tcW w:w="2120" w:type="dxa"/>
            <w:vAlign w:val="bottom"/>
            <w:tcBorders>
              <w:right w:val="single" w:sz="8" w:color="auto"/>
            </w:tcBorders>
          </w:tcPr>
          <w:p>
            <w:pPr>
              <w:spacing w:after="0"/>
              <w:rPr>
                <w:sz w:val="22"/>
                <w:szCs w:val="22"/>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3602 South Pine Street</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276"/>
        </w:trPr>
        <w:tc>
          <w:tcPr>
            <w:tcW w:w="3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Tacoma, WA 98409</w:t>
            </w: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AIRTEMP, INC.</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0"/>
              </w:rPr>
              <w:t>Maine</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Corporation</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20130432D</w:t>
            </w:r>
          </w:p>
        </w:tc>
        <w:tc>
          <w:tcPr>
            <w:tcW w:w="2120" w:type="dxa"/>
            <w:vAlign w:val="bottom"/>
            <w:tcBorders>
              <w:right w:val="single" w:sz="8" w:color="auto"/>
            </w:tcBorders>
          </w:tcPr>
          <w:p>
            <w:pPr>
              <w:spacing w:after="0"/>
              <w:rPr>
                <w:sz w:val="22"/>
                <w:szCs w:val="22"/>
                <w:color w:val="auto"/>
              </w:rPr>
            </w:pPr>
          </w:p>
        </w:tc>
      </w:tr>
      <w:tr>
        <w:trPr>
          <w:trHeight w:val="257"/>
        </w:trPr>
        <w:tc>
          <w:tcPr>
            <w:tcW w:w="3360" w:type="dxa"/>
            <w:vAlign w:val="bottom"/>
            <w:tcBorders>
              <w:left w:val="single" w:sz="8" w:color="auto"/>
            </w:tcBorders>
          </w:tcPr>
          <w:p>
            <w:pPr>
              <w:ind w:left="100"/>
              <w:spacing w:after="0"/>
              <w:rPr>
                <w:sz w:val="20"/>
                <w:szCs w:val="20"/>
                <w:color w:val="auto"/>
              </w:rPr>
            </w:pPr>
            <w:r>
              <w:rPr>
                <w:rFonts w:ascii="Arial" w:cs="Arial" w:eastAsia="Arial" w:hAnsi="Arial"/>
                <w:sz w:val="22"/>
                <w:szCs w:val="22"/>
                <w:color w:val="auto"/>
              </w:rPr>
              <w:t>20 Thomas Drive</w:t>
            </w:r>
          </w:p>
        </w:tc>
        <w:tc>
          <w:tcPr>
            <w:tcW w:w="10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r>
      <w:tr>
        <w:trPr>
          <w:trHeight w:val="276"/>
        </w:trPr>
        <w:tc>
          <w:tcPr>
            <w:tcW w:w="33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22"/>
                <w:szCs w:val="22"/>
                <w:color w:val="auto"/>
              </w:rPr>
              <w:t>Westbook, Main 04092</w:t>
            </w:r>
          </w:p>
        </w:tc>
        <w:tc>
          <w:tcPr>
            <w:tcW w:w="10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r>
      <w:tr>
        <w:trPr>
          <w:trHeight w:val="860"/>
        </w:trPr>
        <w:tc>
          <w:tcPr>
            <w:tcW w:w="3360" w:type="dxa"/>
            <w:vAlign w:val="bottom"/>
          </w:tcPr>
          <w:p>
            <w:pPr>
              <w:spacing w:after="0"/>
              <w:rPr>
                <w:sz w:val="24"/>
                <w:szCs w:val="24"/>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Schedule III to Security Agreement – Page 1</w:t>
            </w:r>
          </w:p>
        </w:tc>
        <w:tc>
          <w:tcPr>
            <w:tcW w:w="2120" w:type="dxa"/>
            <w:vAlign w:val="bottom"/>
          </w:tcPr>
          <w:p>
            <w:pPr>
              <w:spacing w:after="0"/>
              <w:rPr>
                <w:sz w:val="24"/>
                <w:szCs w:val="24"/>
                <w:color w:val="auto"/>
              </w:rPr>
            </w:pPr>
          </w:p>
        </w:tc>
      </w:tr>
      <w:tr>
        <w:trPr>
          <w:trHeight w:val="129"/>
        </w:trPr>
        <w:tc>
          <w:tcPr>
            <w:tcW w:w="3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112" w:right="899" w:bottom="1440" w:gutter="0" w:footer="0" w:header="0"/>
        </w:sectPr>
      </w:pPr>
    </w:p>
    <w:bookmarkStart w:id="173" w:name="page174"/>
    <w:bookmarkEnd w:id="1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6"/>
              </w:rPr>
              <w:t>Grantor Official Name, Address</w:t>
            </w:r>
          </w:p>
        </w:tc>
        <w:tc>
          <w:tcPr>
            <w:tcW w:w="15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Entity Type</w:t>
            </w:r>
          </w:p>
        </w:tc>
        <w:tc>
          <w:tcPr>
            <w:tcW w:w="16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9"/>
              </w:rPr>
              <w:t>Charter/ID</w:t>
            </w:r>
          </w:p>
        </w:tc>
        <w:tc>
          <w:tcPr>
            <w:tcW w:w="224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Prior Names &amp; Trade</w:t>
            </w:r>
          </w:p>
        </w:tc>
      </w:tr>
      <w:tr>
        <w:trPr>
          <w:trHeight w:val="243"/>
        </w:trPr>
        <w:tc>
          <w:tcPr>
            <w:tcW w:w="33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of</w:t>
            </w:r>
          </w:p>
        </w:tc>
        <w:tc>
          <w:tcPr>
            <w:tcW w:w="152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20" w:type="dxa"/>
            <w:vAlign w:val="bottom"/>
            <w:tcBorders>
              <w:right w:val="single" w:sz="8" w:color="auto"/>
            </w:tcBorders>
            <w:shd w:val="clear" w:color="auto" w:fill="CCCCCC"/>
          </w:tcPr>
          <w:p>
            <w:pPr>
              <w:spacing w:after="0"/>
              <w:rPr>
                <w:sz w:val="21"/>
                <w:szCs w:val="21"/>
                <w:color w:val="auto"/>
              </w:rPr>
            </w:pPr>
          </w:p>
        </w:tc>
        <w:tc>
          <w:tcPr>
            <w:tcW w:w="16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3"/>
              </w:rPr>
              <w:t>Number</w:t>
            </w:r>
          </w:p>
        </w:tc>
        <w:tc>
          <w:tcPr>
            <w:tcW w:w="224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5"/>
              </w:rPr>
              <w:t>Names</w:t>
            </w:r>
          </w:p>
        </w:tc>
      </w:tr>
      <w:tr>
        <w:trPr>
          <w:trHeight w:val="243"/>
        </w:trPr>
        <w:tc>
          <w:tcPr>
            <w:tcW w:w="33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5"/>
              </w:rPr>
              <w:t>Principal Place of Business and</w:t>
            </w:r>
          </w:p>
        </w:tc>
        <w:tc>
          <w:tcPr>
            <w:tcW w:w="152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600" w:type="dxa"/>
            <w:vAlign w:val="bottom"/>
            <w:tcBorders>
              <w:right w:val="single" w:sz="8" w:color="auto"/>
            </w:tcBorders>
            <w:shd w:val="clear" w:color="auto" w:fill="CCCCCC"/>
          </w:tcPr>
          <w:p>
            <w:pPr>
              <w:spacing w:after="0"/>
              <w:rPr>
                <w:sz w:val="21"/>
                <w:szCs w:val="21"/>
                <w:color w:val="auto"/>
              </w:rPr>
            </w:pPr>
          </w:p>
        </w:tc>
        <w:tc>
          <w:tcPr>
            <w:tcW w:w="2240" w:type="dxa"/>
            <w:vAlign w:val="bottom"/>
            <w:tcBorders>
              <w:right w:val="single" w:sz="8" w:color="auto"/>
            </w:tcBorders>
            <w:shd w:val="clear" w:color="auto" w:fill="CCCCCC"/>
          </w:tcPr>
          <w:p>
            <w:pPr>
              <w:spacing w:after="0"/>
              <w:rPr>
                <w:sz w:val="21"/>
                <w:szCs w:val="21"/>
                <w:color w:val="auto"/>
              </w:rPr>
            </w:pPr>
          </w:p>
        </w:tc>
      </w:tr>
      <w:tr>
        <w:trPr>
          <w:trHeight w:val="243"/>
        </w:trPr>
        <w:tc>
          <w:tcPr>
            <w:tcW w:w="33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52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600" w:type="dxa"/>
            <w:vAlign w:val="bottom"/>
            <w:tcBorders>
              <w:right w:val="single" w:sz="8" w:color="auto"/>
            </w:tcBorders>
            <w:shd w:val="clear" w:color="auto" w:fill="CCCCCC"/>
          </w:tcPr>
          <w:p>
            <w:pPr>
              <w:spacing w:after="0"/>
              <w:rPr>
                <w:sz w:val="21"/>
                <w:szCs w:val="21"/>
                <w:color w:val="auto"/>
              </w:rPr>
            </w:pPr>
          </w:p>
        </w:tc>
        <w:tc>
          <w:tcPr>
            <w:tcW w:w="2240" w:type="dxa"/>
            <w:vAlign w:val="bottom"/>
            <w:tcBorders>
              <w:right w:val="single" w:sz="8" w:color="auto"/>
            </w:tcBorders>
            <w:shd w:val="clear" w:color="auto" w:fill="CCCCCC"/>
          </w:tcPr>
          <w:p>
            <w:pPr>
              <w:spacing w:after="0"/>
              <w:rPr>
                <w:sz w:val="21"/>
                <w:szCs w:val="21"/>
                <w:color w:val="auto"/>
              </w:rPr>
            </w:pPr>
          </w:p>
        </w:tc>
      </w:tr>
      <w:tr>
        <w:trPr>
          <w:trHeight w:val="291"/>
        </w:trPr>
        <w:tc>
          <w:tcPr>
            <w:tcW w:w="330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520" w:type="dxa"/>
            <w:vAlign w:val="bottom"/>
            <w:tcBorders>
              <w:bottom w:val="single" w:sz="8" w:color="auto"/>
              <w:right w:val="single" w:sz="8" w:color="auto"/>
            </w:tcBorders>
            <w:shd w:val="clear" w:color="auto" w:fill="CCCCCC"/>
          </w:tcPr>
          <w:p>
            <w:pPr>
              <w:spacing w:after="0"/>
              <w:rPr>
                <w:sz w:val="24"/>
                <w:szCs w:val="24"/>
                <w:color w:val="auto"/>
              </w:rPr>
            </w:pPr>
          </w:p>
        </w:tc>
        <w:tc>
          <w:tcPr>
            <w:tcW w:w="1420" w:type="dxa"/>
            <w:vAlign w:val="bottom"/>
            <w:tcBorders>
              <w:bottom w:val="single" w:sz="8" w:color="auto"/>
              <w:right w:val="single" w:sz="8" w:color="auto"/>
            </w:tcBorders>
            <w:shd w:val="clear" w:color="auto" w:fill="CCCCCC"/>
          </w:tcPr>
          <w:p>
            <w:pPr>
              <w:spacing w:after="0"/>
              <w:rPr>
                <w:sz w:val="24"/>
                <w:szCs w:val="24"/>
                <w:color w:val="auto"/>
              </w:rPr>
            </w:pPr>
          </w:p>
        </w:tc>
        <w:tc>
          <w:tcPr>
            <w:tcW w:w="1600" w:type="dxa"/>
            <w:vAlign w:val="bottom"/>
            <w:tcBorders>
              <w:bottom w:val="single" w:sz="8" w:color="auto"/>
              <w:right w:val="single" w:sz="8" w:color="auto"/>
            </w:tcBorders>
            <w:shd w:val="clear" w:color="auto" w:fill="CCCCCC"/>
          </w:tcPr>
          <w:p>
            <w:pPr>
              <w:spacing w:after="0"/>
              <w:rPr>
                <w:sz w:val="24"/>
                <w:szCs w:val="24"/>
                <w:color w:val="auto"/>
              </w:rPr>
            </w:pPr>
          </w:p>
        </w:tc>
        <w:tc>
          <w:tcPr>
            <w:tcW w:w="224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30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w w:val="98"/>
              </w:rPr>
              <w:t>ARC Comfort Systems USA, Inc.</w:t>
            </w:r>
          </w:p>
        </w:tc>
        <w:tc>
          <w:tcPr>
            <w:tcW w:w="15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8"/>
              </w:rPr>
              <w:t>Delaware</w:t>
            </w:r>
          </w:p>
        </w:tc>
        <w:tc>
          <w:tcPr>
            <w:tcW w:w="14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6"/>
              </w:rPr>
              <w:t>2872674</w:t>
            </w:r>
          </w:p>
        </w:tc>
        <w:tc>
          <w:tcPr>
            <w:tcW w:w="2240" w:type="dxa"/>
            <w:vAlign w:val="bottom"/>
            <w:tcBorders>
              <w:right w:val="single" w:sz="8" w:color="auto"/>
            </w:tcBorders>
          </w:tcPr>
          <w:p>
            <w:pPr>
              <w:spacing w:after="0"/>
              <w:rPr>
                <w:sz w:val="19"/>
                <w:szCs w:val="19"/>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Arstectum, Inc.</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New Hampshire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531921</w:t>
            </w:r>
          </w:p>
        </w:tc>
        <w:tc>
          <w:tcPr>
            <w:tcW w:w="224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 Washington Avenue</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Scarborough, ME 04074</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Atlas-Accurate Holdings, L.L.C.</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2985409</w:t>
            </w:r>
          </w:p>
        </w:tc>
        <w:tc>
          <w:tcPr>
            <w:tcW w:w="224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9"/>
              </w:rPr>
              <w:t>Batchelor’s Mechanical Contractors,</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Alabama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D/C 081 557</w:t>
            </w:r>
          </w:p>
        </w:tc>
        <w:tc>
          <w:tcPr>
            <w:tcW w:w="224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BCH Holdings, Inc.</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Florida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P04000172299</w:t>
            </w:r>
          </w:p>
        </w:tc>
        <w:tc>
          <w:tcPr>
            <w:tcW w:w="224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6350/6354 118th Ave N.</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Largo, FL 33773</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BCH Leasing, LLC</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Florida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L17000066187</w:t>
            </w:r>
          </w:p>
        </w:tc>
        <w:tc>
          <w:tcPr>
            <w:tcW w:w="22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BCH Leasing, Corp.</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6350/6354 118th Ave N.</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Largo, FL 33773</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BCH Mechanical, L.L.C.</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Florida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L17000066199</w:t>
            </w:r>
          </w:p>
        </w:tc>
        <w:tc>
          <w:tcPr>
            <w:tcW w:w="22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BCH Mechanical, Inc.</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6350/6354 118th Ave N.</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Largo, FL 33773</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BCM Controls Corporation</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Massachusetts</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042842193</w:t>
            </w:r>
          </w:p>
        </w:tc>
        <w:tc>
          <w:tcPr>
            <w:tcW w:w="224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30 Commerce Way</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Woburn, MA 01801</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California Comfort Systems USA,</w:t>
            </w:r>
          </w:p>
        </w:tc>
        <w:tc>
          <w:tcPr>
            <w:tcW w:w="15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4"/>
              </w:rPr>
              <w:t>California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1201196</w:t>
            </w:r>
          </w:p>
        </w:tc>
        <w:tc>
          <w:tcPr>
            <w:tcW w:w="22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TCP Company</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7740 Kenamar Court</w:t>
            </w:r>
          </w:p>
        </w:tc>
        <w:tc>
          <w:tcPr>
            <w:tcW w:w="152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San Diego, CA 92121</w:t>
            </w:r>
          </w:p>
        </w:tc>
        <w:tc>
          <w:tcPr>
            <w:tcW w:w="152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858"/>
        </w:trPr>
        <w:tc>
          <w:tcPr>
            <w:tcW w:w="3300" w:type="dxa"/>
            <w:vAlign w:val="bottom"/>
          </w:tcPr>
          <w:p>
            <w:pPr>
              <w:spacing w:after="0"/>
              <w:rPr>
                <w:sz w:val="24"/>
                <w:szCs w:val="24"/>
                <w:color w:val="auto"/>
              </w:rPr>
            </w:pPr>
          </w:p>
        </w:tc>
        <w:tc>
          <w:tcPr>
            <w:tcW w:w="4540" w:type="dxa"/>
            <w:vAlign w:val="bottom"/>
            <w:gridSpan w:val="3"/>
          </w:tcPr>
          <w:p>
            <w:pPr>
              <w:ind w:left="120"/>
              <w:spacing w:after="0"/>
              <w:rPr>
                <w:sz w:val="20"/>
                <w:szCs w:val="20"/>
                <w:color w:val="auto"/>
              </w:rPr>
            </w:pPr>
            <w:r>
              <w:rPr>
                <w:rFonts w:ascii="Arial" w:cs="Arial" w:eastAsia="Arial" w:hAnsi="Arial"/>
                <w:sz w:val="18"/>
                <w:szCs w:val="18"/>
                <w:color w:val="auto"/>
              </w:rPr>
              <w:t>Schedule III to Security Agreement – Page 2</w:t>
            </w:r>
          </w:p>
        </w:tc>
        <w:tc>
          <w:tcPr>
            <w:tcW w:w="2240" w:type="dxa"/>
            <w:vAlign w:val="bottom"/>
          </w:tcPr>
          <w:p>
            <w:pPr>
              <w:spacing w:after="0"/>
              <w:rPr>
                <w:sz w:val="24"/>
                <w:szCs w:val="24"/>
                <w:color w:val="auto"/>
              </w:rPr>
            </w:pPr>
          </w:p>
        </w:tc>
      </w:tr>
      <w:tr>
        <w:trPr>
          <w:trHeight w:val="129"/>
        </w:trPr>
        <w:tc>
          <w:tcPr>
            <w:tcW w:w="330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160" w:right="899" w:bottom="1440" w:gutter="0" w:footer="0" w:header="0"/>
        </w:sectPr>
      </w:pPr>
    </w:p>
    <w:bookmarkStart w:id="174" w:name="page175"/>
    <w:bookmarkEnd w:id="1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6"/>
              </w:rPr>
              <w:t>Grantor Official Name, Address</w:t>
            </w:r>
          </w:p>
        </w:tc>
        <w:tc>
          <w:tcPr>
            <w:tcW w:w="148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2"/>
              </w:rPr>
              <w:t>Entity Type</w:t>
            </w:r>
          </w:p>
        </w:tc>
        <w:tc>
          <w:tcPr>
            <w:tcW w:w="16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9"/>
              </w:rPr>
              <w:t>Charter/ID</w:t>
            </w:r>
          </w:p>
        </w:tc>
        <w:tc>
          <w:tcPr>
            <w:tcW w:w="2260" w:type="dxa"/>
            <w:vAlign w:val="bottom"/>
            <w:tcBorders>
              <w:top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7"/>
              </w:rPr>
              <w:t>Prior Names &amp; Trade</w:t>
            </w:r>
          </w:p>
        </w:tc>
      </w:tr>
      <w:tr>
        <w:trPr>
          <w:trHeight w:val="243"/>
        </w:trPr>
        <w:tc>
          <w:tcPr>
            <w:tcW w:w="33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of</w:t>
            </w:r>
          </w:p>
        </w:tc>
        <w:tc>
          <w:tcPr>
            <w:tcW w:w="148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20" w:type="dxa"/>
            <w:vAlign w:val="bottom"/>
            <w:tcBorders>
              <w:right w:val="single" w:sz="8" w:color="auto"/>
            </w:tcBorders>
            <w:shd w:val="clear" w:color="auto" w:fill="CCCCCC"/>
          </w:tcPr>
          <w:p>
            <w:pPr>
              <w:spacing w:after="0"/>
              <w:rPr>
                <w:sz w:val="21"/>
                <w:szCs w:val="21"/>
                <w:color w:val="auto"/>
              </w:rPr>
            </w:pPr>
          </w:p>
        </w:tc>
        <w:tc>
          <w:tcPr>
            <w:tcW w:w="162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3"/>
              </w:rPr>
              <w:t>Number</w:t>
            </w:r>
          </w:p>
        </w:tc>
        <w:tc>
          <w:tcPr>
            <w:tcW w:w="2260" w:type="dxa"/>
            <w:vAlign w:val="bottom"/>
            <w:tcBorders>
              <w:right w:val="single" w:sz="8" w:color="auto"/>
            </w:tcBorders>
            <w:shd w:val="clear" w:color="auto" w:fill="CCCCCC"/>
          </w:tcPr>
          <w:p>
            <w:pPr>
              <w:ind w:left="800"/>
              <w:spacing w:after="0" w:line="243" w:lineRule="exact"/>
              <w:rPr>
                <w:sz w:val="20"/>
                <w:szCs w:val="20"/>
                <w:color w:val="auto"/>
              </w:rPr>
            </w:pPr>
            <w:r>
              <w:rPr>
                <w:rFonts w:ascii="Arial" w:cs="Arial" w:eastAsia="Arial" w:hAnsi="Arial"/>
                <w:sz w:val="22"/>
                <w:szCs w:val="22"/>
                <w:b w:val="1"/>
                <w:bCs w:val="1"/>
                <w:color w:val="auto"/>
              </w:rPr>
              <w:t>Names</w:t>
            </w:r>
          </w:p>
        </w:tc>
      </w:tr>
      <w:tr>
        <w:trPr>
          <w:trHeight w:val="243"/>
        </w:trPr>
        <w:tc>
          <w:tcPr>
            <w:tcW w:w="33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5"/>
              </w:rPr>
              <w:t>Principal Place of Business and</w:t>
            </w:r>
          </w:p>
        </w:tc>
        <w:tc>
          <w:tcPr>
            <w:tcW w:w="148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620" w:type="dxa"/>
            <w:vAlign w:val="bottom"/>
            <w:tcBorders>
              <w:right w:val="single" w:sz="8" w:color="auto"/>
            </w:tcBorders>
            <w:shd w:val="clear" w:color="auto" w:fill="CCCCCC"/>
          </w:tcPr>
          <w:p>
            <w:pPr>
              <w:spacing w:after="0"/>
              <w:rPr>
                <w:sz w:val="21"/>
                <w:szCs w:val="21"/>
                <w:color w:val="auto"/>
              </w:rPr>
            </w:pPr>
          </w:p>
        </w:tc>
        <w:tc>
          <w:tcPr>
            <w:tcW w:w="2260" w:type="dxa"/>
            <w:vAlign w:val="bottom"/>
            <w:tcBorders>
              <w:right w:val="single" w:sz="8" w:color="auto"/>
            </w:tcBorders>
            <w:shd w:val="clear" w:color="auto" w:fill="CCCCCC"/>
          </w:tcPr>
          <w:p>
            <w:pPr>
              <w:spacing w:after="0"/>
              <w:rPr>
                <w:sz w:val="21"/>
                <w:szCs w:val="21"/>
                <w:color w:val="auto"/>
              </w:rPr>
            </w:pPr>
          </w:p>
        </w:tc>
      </w:tr>
      <w:tr>
        <w:trPr>
          <w:trHeight w:val="243"/>
        </w:trPr>
        <w:tc>
          <w:tcPr>
            <w:tcW w:w="33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48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620" w:type="dxa"/>
            <w:vAlign w:val="bottom"/>
            <w:tcBorders>
              <w:right w:val="single" w:sz="8" w:color="auto"/>
            </w:tcBorders>
            <w:shd w:val="clear" w:color="auto" w:fill="CCCCCC"/>
          </w:tcPr>
          <w:p>
            <w:pPr>
              <w:spacing w:after="0"/>
              <w:rPr>
                <w:sz w:val="21"/>
                <w:szCs w:val="21"/>
                <w:color w:val="auto"/>
              </w:rPr>
            </w:pPr>
          </w:p>
        </w:tc>
        <w:tc>
          <w:tcPr>
            <w:tcW w:w="2260" w:type="dxa"/>
            <w:vAlign w:val="bottom"/>
            <w:tcBorders>
              <w:right w:val="single" w:sz="8" w:color="auto"/>
            </w:tcBorders>
            <w:shd w:val="clear" w:color="auto" w:fill="CCCCCC"/>
          </w:tcPr>
          <w:p>
            <w:pPr>
              <w:spacing w:after="0"/>
              <w:rPr>
                <w:sz w:val="21"/>
                <w:szCs w:val="21"/>
                <w:color w:val="auto"/>
              </w:rPr>
            </w:pPr>
          </w:p>
        </w:tc>
      </w:tr>
      <w:tr>
        <w:trPr>
          <w:trHeight w:val="291"/>
        </w:trPr>
        <w:tc>
          <w:tcPr>
            <w:tcW w:w="330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480" w:type="dxa"/>
            <w:vAlign w:val="bottom"/>
            <w:tcBorders>
              <w:bottom w:val="single" w:sz="8" w:color="auto"/>
              <w:right w:val="single" w:sz="8" w:color="auto"/>
            </w:tcBorders>
            <w:shd w:val="clear" w:color="auto" w:fill="CCCCCC"/>
          </w:tcPr>
          <w:p>
            <w:pPr>
              <w:spacing w:after="0"/>
              <w:rPr>
                <w:sz w:val="24"/>
                <w:szCs w:val="24"/>
                <w:color w:val="auto"/>
              </w:rPr>
            </w:pPr>
          </w:p>
        </w:tc>
        <w:tc>
          <w:tcPr>
            <w:tcW w:w="1420" w:type="dxa"/>
            <w:vAlign w:val="bottom"/>
            <w:tcBorders>
              <w:bottom w:val="single" w:sz="8" w:color="auto"/>
              <w:right w:val="single" w:sz="8" w:color="auto"/>
            </w:tcBorders>
            <w:shd w:val="clear" w:color="auto" w:fill="CCCCCC"/>
          </w:tcPr>
          <w:p>
            <w:pPr>
              <w:spacing w:after="0"/>
              <w:rPr>
                <w:sz w:val="24"/>
                <w:szCs w:val="24"/>
                <w:color w:val="auto"/>
              </w:rPr>
            </w:pPr>
          </w:p>
        </w:tc>
        <w:tc>
          <w:tcPr>
            <w:tcW w:w="1620" w:type="dxa"/>
            <w:vAlign w:val="bottom"/>
            <w:tcBorders>
              <w:bottom w:val="single" w:sz="8" w:color="auto"/>
              <w:right w:val="single" w:sz="8" w:color="auto"/>
            </w:tcBorders>
            <w:shd w:val="clear" w:color="auto" w:fill="CCCCCC"/>
          </w:tcPr>
          <w:p>
            <w:pPr>
              <w:spacing w:after="0"/>
              <w:rPr>
                <w:sz w:val="24"/>
                <w:szCs w:val="24"/>
                <w:color w:val="auto"/>
              </w:rPr>
            </w:pPr>
          </w:p>
        </w:tc>
        <w:tc>
          <w:tcPr>
            <w:tcW w:w="226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30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w w:val="93"/>
              </w:rPr>
              <w:t>Century Mechanical Solutions, Inc.</w:t>
            </w:r>
          </w:p>
        </w:tc>
        <w:tc>
          <w:tcPr>
            <w:tcW w:w="148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4"/>
              </w:rPr>
              <w:t>Ohio</w:t>
            </w:r>
          </w:p>
        </w:tc>
        <w:tc>
          <w:tcPr>
            <w:tcW w:w="14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2"/>
              </w:rPr>
              <w:t>Corporation</w:t>
            </w:r>
          </w:p>
        </w:tc>
        <w:tc>
          <w:tcPr>
            <w:tcW w:w="16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9"/>
              </w:rPr>
              <w:t>198974</w:t>
            </w:r>
          </w:p>
        </w:tc>
        <w:tc>
          <w:tcPr>
            <w:tcW w:w="226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Lienhart Heating &amp; Air</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1554 Chase Ave</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Conditioning; Century</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Cincinnati, OH 45223</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 Solutions;</w:t>
            </w:r>
          </w:p>
        </w:tc>
      </w:tr>
      <w:tr>
        <w:trPr>
          <w:trHeight w:val="243"/>
        </w:trPr>
        <w:tc>
          <w:tcPr>
            <w:tcW w:w="330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20</w:t>
            </w:r>
            <w:r>
              <w:rPr>
                <w:rFonts w:ascii="Arial" w:cs="Arial" w:eastAsia="Arial" w:hAnsi="Arial"/>
                <w:sz w:val="10"/>
                <w:szCs w:val="10"/>
                <w:color w:val="auto"/>
              </w:rPr>
              <w:t>th</w:t>
            </w:r>
            <w:r>
              <w:rPr>
                <w:rFonts w:ascii="Arial" w:cs="Arial" w:eastAsia="Arial" w:hAnsi="Arial"/>
                <w:sz w:val="22"/>
                <w:szCs w:val="22"/>
                <w:color w:val="auto"/>
              </w:rPr>
              <w:t xml:space="preserve"> Century</w:t>
            </w:r>
          </w:p>
        </w:tc>
      </w:tr>
      <w:tr>
        <w:trPr>
          <w:trHeight w:val="243"/>
        </w:trPr>
        <w:tc>
          <w:tcPr>
            <w:tcW w:w="330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2"/>
              </w:rPr>
              <w:t>Refrigeration Company;</w:t>
            </w:r>
          </w:p>
        </w:tc>
      </w:tr>
      <w:tr>
        <w:trPr>
          <w:trHeight w:val="243"/>
        </w:trPr>
        <w:tc>
          <w:tcPr>
            <w:tcW w:w="330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20</w:t>
            </w:r>
            <w:r>
              <w:rPr>
                <w:rFonts w:ascii="Arial" w:cs="Arial" w:eastAsia="Arial" w:hAnsi="Arial"/>
                <w:sz w:val="10"/>
                <w:szCs w:val="10"/>
                <w:color w:val="auto"/>
              </w:rPr>
              <w:t>th</w:t>
            </w:r>
            <w:r>
              <w:rPr>
                <w:rFonts w:ascii="Arial" w:cs="Arial" w:eastAsia="Arial" w:hAnsi="Arial"/>
                <w:sz w:val="22"/>
                <w:szCs w:val="22"/>
                <w:color w:val="auto"/>
              </w:rPr>
              <w:t xml:space="preserve"> Century Air</w:t>
            </w:r>
          </w:p>
        </w:tc>
      </w:tr>
      <w:tr>
        <w:trPr>
          <w:trHeight w:val="243"/>
        </w:trPr>
        <w:tc>
          <w:tcPr>
            <w:tcW w:w="330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Conditioning Co.;</w:t>
            </w:r>
          </w:p>
        </w:tc>
      </w:tr>
      <w:tr>
        <w:trPr>
          <w:trHeight w:val="243"/>
        </w:trPr>
        <w:tc>
          <w:tcPr>
            <w:tcW w:w="330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Glasier Refrigeration</w:t>
            </w:r>
          </w:p>
        </w:tc>
      </w:tr>
      <w:tr>
        <w:trPr>
          <w:trHeight w:val="265"/>
        </w:trPr>
        <w:tc>
          <w:tcPr>
            <w:tcW w:w="3300" w:type="dxa"/>
            <w:vAlign w:val="bottom"/>
            <w:tcBorders>
              <w:left w:val="single" w:sz="8" w:color="auto"/>
              <w:bottom w:val="single" w:sz="8" w:color="auto"/>
              <w:right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Service Company</w:t>
            </w: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ColonialWebb Contractors</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Virginia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0137512-0</w:t>
            </w:r>
          </w:p>
        </w:tc>
        <w:tc>
          <w:tcPr>
            <w:tcW w:w="22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8"/>
              </w:rPr>
              <w:t>Comfort Systems USA</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Company</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(Carolinas), LLC</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2820 Ackley Avenue</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Richmond, VA 23228</w:t>
            </w: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3"/>
              </w:rPr>
              <w:t>Comfort Systems USA (Arkansas),</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Arkansas</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5"/>
              </w:rPr>
              <w:t>811120406</w:t>
            </w:r>
          </w:p>
        </w:tc>
        <w:tc>
          <w:tcPr>
            <w:tcW w:w="226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4806 Rixey Road</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North Little Rock, AR 72117</w:t>
            </w: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Comfort Systems USA (Baltimore),</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Limited</w:t>
            </w:r>
          </w:p>
        </w:tc>
        <w:tc>
          <w:tcPr>
            <w:tcW w:w="1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2955787</w:t>
            </w:r>
          </w:p>
        </w:tc>
        <w:tc>
          <w:tcPr>
            <w:tcW w:w="226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Drive, Suite 400</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(Bristol),</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2783665</w:t>
            </w:r>
          </w:p>
        </w:tc>
        <w:tc>
          <w:tcPr>
            <w:tcW w:w="22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8"/>
              </w:rPr>
              <w:t>Comfort Systems USA</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New River (Bristol)</w:t>
            </w: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294 Blevins Blvd.</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Bristol, VA 24202</w:t>
            </w: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Energy</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2788605</w:t>
            </w:r>
          </w:p>
        </w:tc>
        <w:tc>
          <w:tcPr>
            <w:tcW w:w="226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Services, Inc.</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5"/>
              </w:rPr>
              <w:t>2655 Fortune Circle West, Suite E</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Indianapolis, IN 46241</w:t>
            </w: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9"/>
              </w:rPr>
              <w:t>Comfort Systems USA G.P., Inc.</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2932812</w:t>
            </w:r>
          </w:p>
        </w:tc>
        <w:tc>
          <w:tcPr>
            <w:tcW w:w="226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215"/>
        </w:trPr>
        <w:tc>
          <w:tcPr>
            <w:tcW w:w="33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9"/>
              </w:rPr>
              <w:t>Comfort Systems USA (Indiana),</w:t>
            </w:r>
          </w:p>
        </w:tc>
        <w:tc>
          <w:tcPr>
            <w:tcW w:w="14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Indiana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Limited</w:t>
            </w:r>
          </w:p>
        </w:tc>
        <w:tc>
          <w:tcPr>
            <w:tcW w:w="16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2015060800753</w:t>
            </w:r>
          </w:p>
        </w:tc>
        <w:tc>
          <w:tcPr>
            <w:tcW w:w="2260" w:type="dxa"/>
            <w:vAlign w:val="bottom"/>
            <w:tcBorders>
              <w:right w:val="single" w:sz="8" w:color="auto"/>
            </w:tcBorders>
          </w:tcPr>
          <w:p>
            <w:pPr>
              <w:spacing w:after="0"/>
              <w:rPr>
                <w:sz w:val="18"/>
                <w:szCs w:val="18"/>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3"/>
              </w:rPr>
              <w:t>2701 Fortune Circle East, Suites F</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43"/>
        </w:trPr>
        <w:tc>
          <w:tcPr>
            <w:tcW w:w="33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&amp; G</w:t>
            </w:r>
          </w:p>
        </w:tc>
        <w:tc>
          <w:tcPr>
            <w:tcW w:w="148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spacing w:after="0"/>
              <w:rPr>
                <w:sz w:val="21"/>
                <w:szCs w:val="21"/>
                <w:color w:val="auto"/>
              </w:rPr>
            </w:pPr>
          </w:p>
        </w:tc>
      </w:tr>
      <w:tr>
        <w:trPr>
          <w:trHeight w:val="265"/>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Indianapolis, Indiana 46241</w:t>
            </w:r>
          </w:p>
        </w:tc>
        <w:tc>
          <w:tcPr>
            <w:tcW w:w="148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c>
          <w:tcPr>
            <w:tcW w:w="2260" w:type="dxa"/>
            <w:vAlign w:val="bottom"/>
            <w:tcBorders>
              <w:bottom w:val="single" w:sz="8" w:color="auto"/>
              <w:right w:val="single" w:sz="8" w:color="auto"/>
            </w:tcBorders>
          </w:tcPr>
          <w:p>
            <w:pPr>
              <w:spacing w:after="0"/>
              <w:rPr>
                <w:sz w:val="23"/>
                <w:szCs w:val="23"/>
                <w:color w:val="auto"/>
              </w:rPr>
            </w:pPr>
          </w:p>
        </w:tc>
      </w:tr>
      <w:tr>
        <w:trPr>
          <w:trHeight w:val="858"/>
        </w:trPr>
        <w:tc>
          <w:tcPr>
            <w:tcW w:w="3300" w:type="dxa"/>
            <w:vAlign w:val="bottom"/>
          </w:tcPr>
          <w:p>
            <w:pPr>
              <w:spacing w:after="0"/>
              <w:rPr>
                <w:sz w:val="24"/>
                <w:szCs w:val="24"/>
                <w:color w:val="auto"/>
              </w:rPr>
            </w:pPr>
          </w:p>
        </w:tc>
        <w:tc>
          <w:tcPr>
            <w:tcW w:w="4520" w:type="dxa"/>
            <w:vAlign w:val="bottom"/>
            <w:gridSpan w:val="3"/>
          </w:tcPr>
          <w:p>
            <w:pPr>
              <w:ind w:left="120"/>
              <w:spacing w:after="0"/>
              <w:rPr>
                <w:sz w:val="20"/>
                <w:szCs w:val="20"/>
                <w:color w:val="auto"/>
              </w:rPr>
            </w:pPr>
            <w:r>
              <w:rPr>
                <w:rFonts w:ascii="Arial" w:cs="Arial" w:eastAsia="Arial" w:hAnsi="Arial"/>
                <w:sz w:val="18"/>
                <w:szCs w:val="18"/>
                <w:color w:val="auto"/>
              </w:rPr>
              <w:t>Schedule III to Security Agreement – Page 3</w:t>
            </w:r>
          </w:p>
        </w:tc>
        <w:tc>
          <w:tcPr>
            <w:tcW w:w="2260" w:type="dxa"/>
            <w:vAlign w:val="bottom"/>
          </w:tcPr>
          <w:p>
            <w:pPr>
              <w:spacing w:after="0"/>
              <w:rPr>
                <w:sz w:val="24"/>
                <w:szCs w:val="24"/>
                <w:color w:val="auto"/>
              </w:rPr>
            </w:pPr>
          </w:p>
        </w:tc>
      </w:tr>
      <w:tr>
        <w:trPr>
          <w:trHeight w:val="129"/>
        </w:trPr>
        <w:tc>
          <w:tcPr>
            <w:tcW w:w="33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160" w:right="899" w:bottom="1440" w:gutter="0" w:footer="0" w:header="0"/>
        </w:sectPr>
      </w:pPr>
    </w:p>
    <w:bookmarkStart w:id="175" w:name="page176"/>
    <w:bookmarkEnd w:id="1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40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1"/>
              </w:rPr>
              <w:t>Grantor Official Name, Address of</w:t>
            </w:r>
          </w:p>
        </w:tc>
        <w:tc>
          <w:tcPr>
            <w:tcW w:w="15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4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Entity Type</w:t>
            </w:r>
          </w:p>
        </w:tc>
        <w:tc>
          <w:tcPr>
            <w:tcW w:w="146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9"/>
              </w:rPr>
              <w:t>Charter/ID</w:t>
            </w:r>
          </w:p>
        </w:tc>
        <w:tc>
          <w:tcPr>
            <w:tcW w:w="2280" w:type="dxa"/>
            <w:vAlign w:val="bottom"/>
            <w:tcBorders>
              <w:top w:val="single" w:sz="8" w:color="auto"/>
              <w:right w:val="single" w:sz="8" w:color="auto"/>
            </w:tcBorders>
            <w:shd w:val="clear" w:color="auto" w:fill="CCCCCC"/>
          </w:tcPr>
          <w:p>
            <w:pPr>
              <w:ind w:left="120"/>
              <w:spacing w:after="0" w:line="243" w:lineRule="exact"/>
              <w:rPr>
                <w:sz w:val="20"/>
                <w:szCs w:val="20"/>
                <w:color w:val="auto"/>
              </w:rPr>
            </w:pPr>
            <w:r>
              <w:rPr>
                <w:rFonts w:ascii="Arial" w:cs="Arial" w:eastAsia="Arial" w:hAnsi="Arial"/>
                <w:sz w:val="22"/>
                <w:szCs w:val="22"/>
                <w:b w:val="1"/>
                <w:bCs w:val="1"/>
                <w:color w:val="auto"/>
                <w:w w:val="97"/>
              </w:rPr>
              <w:t>Prior Names &amp; Trade</w:t>
            </w:r>
          </w:p>
        </w:tc>
      </w:tr>
      <w:tr>
        <w:trPr>
          <w:trHeight w:val="243"/>
        </w:trPr>
        <w:tc>
          <w:tcPr>
            <w:tcW w:w="34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8"/>
              </w:rPr>
              <w:t>Principal Place of Business and</w:t>
            </w:r>
          </w:p>
        </w:tc>
        <w:tc>
          <w:tcPr>
            <w:tcW w:w="15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40" w:type="dxa"/>
            <w:vAlign w:val="bottom"/>
            <w:tcBorders>
              <w:right w:val="single" w:sz="8" w:color="auto"/>
            </w:tcBorders>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3"/>
              </w:rPr>
              <w:t>Number</w:t>
            </w:r>
          </w:p>
        </w:tc>
        <w:tc>
          <w:tcPr>
            <w:tcW w:w="2280" w:type="dxa"/>
            <w:vAlign w:val="bottom"/>
            <w:tcBorders>
              <w:right w:val="single" w:sz="8" w:color="auto"/>
            </w:tcBorders>
            <w:shd w:val="clear" w:color="auto" w:fill="CCCCCC"/>
          </w:tcPr>
          <w:p>
            <w:pPr>
              <w:ind w:left="800"/>
              <w:spacing w:after="0" w:line="243" w:lineRule="exact"/>
              <w:rPr>
                <w:sz w:val="20"/>
                <w:szCs w:val="20"/>
                <w:color w:val="auto"/>
              </w:rPr>
            </w:pPr>
            <w:r>
              <w:rPr>
                <w:rFonts w:ascii="Arial" w:cs="Arial" w:eastAsia="Arial" w:hAnsi="Arial"/>
                <w:sz w:val="22"/>
                <w:szCs w:val="22"/>
                <w:b w:val="1"/>
                <w:bCs w:val="1"/>
                <w:color w:val="auto"/>
              </w:rPr>
              <w:t>Names</w:t>
            </w:r>
          </w:p>
        </w:tc>
      </w:tr>
      <w:tr>
        <w:trPr>
          <w:trHeight w:val="243"/>
        </w:trPr>
        <w:tc>
          <w:tcPr>
            <w:tcW w:w="340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500" w:type="dxa"/>
            <w:vAlign w:val="bottom"/>
            <w:tcBorders>
              <w:right w:val="single" w:sz="8" w:color="auto"/>
            </w:tcBorders>
            <w:shd w:val="clear" w:color="auto" w:fill="CCCCCC"/>
          </w:tcPr>
          <w:p>
            <w:pPr>
              <w:spacing w:after="0"/>
              <w:rPr>
                <w:sz w:val="21"/>
                <w:szCs w:val="21"/>
                <w:color w:val="auto"/>
              </w:rPr>
            </w:pPr>
          </w:p>
        </w:tc>
        <w:tc>
          <w:tcPr>
            <w:tcW w:w="1440" w:type="dxa"/>
            <w:vAlign w:val="bottom"/>
            <w:tcBorders>
              <w:right w:val="single" w:sz="8" w:color="auto"/>
            </w:tcBorders>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2280" w:type="dxa"/>
            <w:vAlign w:val="bottom"/>
            <w:tcBorders>
              <w:right w:val="single" w:sz="8" w:color="auto"/>
            </w:tcBorders>
            <w:shd w:val="clear" w:color="auto" w:fill="CCCCCC"/>
          </w:tcPr>
          <w:p>
            <w:pPr>
              <w:spacing w:after="0"/>
              <w:rPr>
                <w:sz w:val="21"/>
                <w:szCs w:val="21"/>
                <w:color w:val="auto"/>
              </w:rPr>
            </w:pPr>
          </w:p>
        </w:tc>
      </w:tr>
      <w:tr>
        <w:trPr>
          <w:trHeight w:val="291"/>
        </w:trPr>
        <w:tc>
          <w:tcPr>
            <w:tcW w:w="340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500" w:type="dxa"/>
            <w:vAlign w:val="bottom"/>
            <w:tcBorders>
              <w:bottom w:val="single" w:sz="8" w:color="auto"/>
              <w:right w:val="single" w:sz="8" w:color="auto"/>
            </w:tcBorders>
            <w:shd w:val="clear" w:color="auto" w:fill="CCCCCC"/>
          </w:tcPr>
          <w:p>
            <w:pPr>
              <w:spacing w:after="0"/>
              <w:rPr>
                <w:sz w:val="24"/>
                <w:szCs w:val="24"/>
                <w:color w:val="auto"/>
              </w:rPr>
            </w:pPr>
          </w:p>
        </w:tc>
        <w:tc>
          <w:tcPr>
            <w:tcW w:w="1440" w:type="dxa"/>
            <w:vAlign w:val="bottom"/>
            <w:tcBorders>
              <w:bottom w:val="single" w:sz="8" w:color="auto"/>
              <w:right w:val="single" w:sz="8" w:color="auto"/>
            </w:tcBorders>
            <w:shd w:val="clear" w:color="auto" w:fill="CCCCCC"/>
          </w:tcPr>
          <w:p>
            <w:pPr>
              <w:spacing w:after="0"/>
              <w:rPr>
                <w:sz w:val="24"/>
                <w:szCs w:val="24"/>
                <w:color w:val="auto"/>
              </w:rPr>
            </w:pPr>
          </w:p>
        </w:tc>
        <w:tc>
          <w:tcPr>
            <w:tcW w:w="1460" w:type="dxa"/>
            <w:vAlign w:val="bottom"/>
            <w:tcBorders>
              <w:bottom w:val="single" w:sz="8" w:color="auto"/>
              <w:right w:val="single" w:sz="8" w:color="auto"/>
            </w:tcBorders>
            <w:shd w:val="clear" w:color="auto" w:fill="CCCCCC"/>
          </w:tcPr>
          <w:p>
            <w:pPr>
              <w:spacing w:after="0"/>
              <w:rPr>
                <w:sz w:val="24"/>
                <w:szCs w:val="24"/>
                <w:color w:val="auto"/>
              </w:rPr>
            </w:pPr>
          </w:p>
        </w:tc>
        <w:tc>
          <w:tcPr>
            <w:tcW w:w="228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40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Comfort Systems USA</w:t>
            </w:r>
          </w:p>
        </w:tc>
        <w:tc>
          <w:tcPr>
            <w:tcW w:w="15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0"/>
              </w:rPr>
              <w:t>Utah</w:t>
            </w:r>
          </w:p>
        </w:tc>
        <w:tc>
          <w:tcPr>
            <w:tcW w:w="144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0"/>
              </w:rPr>
              <w:t>Corporation</w:t>
            </w:r>
          </w:p>
        </w:tc>
        <w:tc>
          <w:tcPr>
            <w:tcW w:w="146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8"/>
              </w:rPr>
              <w:t>04982</w:t>
            </w:r>
          </w:p>
        </w:tc>
        <w:tc>
          <w:tcPr>
            <w:tcW w:w="228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rPr>
              <w:t>Contract Services;</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(Intermountain), Inc.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Martin Heating &amp;</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2035 S. Milestone Drive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7"/>
              </w:rPr>
              <w:t>Cooling; Cox Precision</w:t>
            </w: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Salt Lake City, UT 84104</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Air</w:t>
            </w: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Comfort Systems USA (Kentucky),</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Kentucky</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0153687</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MELCO Industries, Inc.</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3405 Robards Court</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Louisville, KY 40218</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Virginia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S313150-7</w:t>
            </w:r>
          </w:p>
        </w:tc>
        <w:tc>
          <w:tcPr>
            <w:tcW w:w="2280" w:type="dxa"/>
            <w:vAlign w:val="bottom"/>
            <w:tcBorders>
              <w:right w:val="single" w:sz="8" w:color="auto"/>
            </w:tcBorders>
          </w:tcPr>
          <w:p>
            <w:pPr>
              <w:spacing w:after="0"/>
              <w:rPr>
                <w:sz w:val="18"/>
                <w:szCs w:val="18"/>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(MidAtlantic), LLC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1057 Bill Tuck Highway</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South Boston, VA 24592</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9"/>
              </w:rPr>
              <w:t>Comfort Systems USA (Midwest),</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Iowa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387726</w:t>
            </w:r>
          </w:p>
        </w:tc>
        <w:tc>
          <w:tcPr>
            <w:tcW w:w="2280" w:type="dxa"/>
            <w:vAlign w:val="bottom"/>
            <w:tcBorders>
              <w:right w:val="single" w:sz="8" w:color="auto"/>
            </w:tcBorders>
          </w:tcPr>
          <w:p>
            <w:pPr>
              <w:spacing w:after="0"/>
              <w:rPr>
                <w:sz w:val="18"/>
                <w:szCs w:val="18"/>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2182 231st Lane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Ames, IA 50014</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Comfort Systems USA (Mid South),</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Alabama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912-998</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The Capital</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3"/>
              </w:rPr>
              <w:t>Refrigeration Company;</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3100 Richard Arrington Jr. Blvd.</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MidSouth Controls</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North</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LLC; Huntsville</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Birmingham, AL 35203</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3"/>
              </w:rPr>
              <w:t>Refrigeration Service; H</w:t>
            </w:r>
          </w:p>
        </w:tc>
      </w:tr>
      <w:tr>
        <w:trPr>
          <w:trHeight w:val="265"/>
        </w:trPr>
        <w:tc>
          <w:tcPr>
            <w:tcW w:w="340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&amp; M Mechanical, Inc.</w:t>
            </w: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4"/>
              </w:rPr>
              <w:t>Comfort Systems USA (Northwest),</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Washington</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600517946</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Merit Mechanical, Inc.</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6"/>
              </w:rPr>
              <w:t>18702 North Creek Parkway, Suite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110</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Bothell, WA 98011</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7"/>
              </w:rPr>
              <w:t>Comfort Systems USA (Ohio),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Ohio</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543269</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Innovative Energy</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7401 First Place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Solutions, LLC</w:t>
            </w: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Oakwood Village, OH 44146</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3"/>
              </w:rPr>
              <w:t>Comfort Systems USA Puerto Rico,</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Puerto Rico</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6"/>
              </w:rPr>
              <w:t>78,907</w:t>
            </w:r>
          </w:p>
        </w:tc>
        <w:tc>
          <w:tcPr>
            <w:tcW w:w="2280" w:type="dxa"/>
            <w:vAlign w:val="bottom"/>
            <w:tcBorders>
              <w:right w:val="single" w:sz="8" w:color="auto"/>
            </w:tcBorders>
          </w:tcPr>
          <w:p>
            <w:pPr>
              <w:spacing w:after="0"/>
              <w:rPr>
                <w:sz w:val="18"/>
                <w:szCs w:val="18"/>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Drive, Suite 400</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Texas 77057</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40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(South</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3"/>
              </w:rPr>
              <w:t>Texas</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801702880</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7"/>
              </w:rPr>
              <w:t>Atlas Comfort Systems</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Central), Inc.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w:t>
            </w:r>
          </w:p>
        </w:tc>
      </w:tr>
      <w:tr>
        <w:trPr>
          <w:trHeight w:val="243"/>
        </w:trPr>
        <w:tc>
          <w:tcPr>
            <w:tcW w:w="340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9745 Bent Oak Drive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4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77040</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858"/>
        </w:trPr>
        <w:tc>
          <w:tcPr>
            <w:tcW w:w="3400" w:type="dxa"/>
            <w:vAlign w:val="bottom"/>
          </w:tcPr>
          <w:p>
            <w:pPr>
              <w:spacing w:after="0"/>
              <w:rPr>
                <w:sz w:val="24"/>
                <w:szCs w:val="24"/>
                <w:color w:val="auto"/>
              </w:rPr>
            </w:pPr>
          </w:p>
        </w:tc>
        <w:tc>
          <w:tcPr>
            <w:tcW w:w="4400" w:type="dxa"/>
            <w:vAlign w:val="bottom"/>
            <w:gridSpan w:val="3"/>
          </w:tcPr>
          <w:p>
            <w:pPr>
              <w:ind w:left="20"/>
              <w:spacing w:after="0"/>
              <w:rPr>
                <w:sz w:val="20"/>
                <w:szCs w:val="20"/>
                <w:color w:val="auto"/>
              </w:rPr>
            </w:pPr>
            <w:r>
              <w:rPr>
                <w:rFonts w:ascii="Arial" w:cs="Arial" w:eastAsia="Arial" w:hAnsi="Arial"/>
                <w:sz w:val="18"/>
                <w:szCs w:val="18"/>
                <w:color w:val="auto"/>
              </w:rPr>
              <w:t>Schedule III to Security Agreement – Page 4</w:t>
            </w:r>
          </w:p>
        </w:tc>
        <w:tc>
          <w:tcPr>
            <w:tcW w:w="2280" w:type="dxa"/>
            <w:vAlign w:val="bottom"/>
          </w:tcPr>
          <w:p>
            <w:pPr>
              <w:spacing w:after="0"/>
              <w:rPr>
                <w:sz w:val="24"/>
                <w:szCs w:val="24"/>
                <w:color w:val="auto"/>
              </w:rPr>
            </w:pPr>
          </w:p>
        </w:tc>
      </w:tr>
      <w:tr>
        <w:trPr>
          <w:trHeight w:val="129"/>
        </w:trPr>
        <w:tc>
          <w:tcPr>
            <w:tcW w:w="34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0" w:right="919" w:bottom="1440" w:gutter="0" w:footer="0" w:header="0"/>
        </w:sectPr>
      </w:pPr>
    </w:p>
    <w:bookmarkStart w:id="176" w:name="page177"/>
    <w:bookmarkEnd w:id="1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28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5"/>
              </w:rPr>
              <w:t>Grantor Official Name, Address</w:t>
            </w:r>
          </w:p>
        </w:tc>
        <w:tc>
          <w:tcPr>
            <w:tcW w:w="15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Entity Type</w:t>
            </w:r>
          </w:p>
        </w:tc>
        <w:tc>
          <w:tcPr>
            <w:tcW w:w="16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9"/>
              </w:rPr>
              <w:t>Charter/ID</w:t>
            </w:r>
          </w:p>
        </w:tc>
        <w:tc>
          <w:tcPr>
            <w:tcW w:w="2280" w:type="dxa"/>
            <w:vAlign w:val="bottom"/>
            <w:tcBorders>
              <w:top w:val="single" w:sz="8" w:color="auto"/>
              <w:right w:val="single" w:sz="8" w:color="auto"/>
            </w:tcBorders>
            <w:shd w:val="clear" w:color="auto" w:fill="CCCCCC"/>
          </w:tcPr>
          <w:p>
            <w:pPr>
              <w:ind w:left="120"/>
              <w:spacing w:after="0" w:line="243" w:lineRule="exact"/>
              <w:rPr>
                <w:sz w:val="20"/>
                <w:szCs w:val="20"/>
                <w:color w:val="auto"/>
              </w:rPr>
            </w:pPr>
            <w:r>
              <w:rPr>
                <w:rFonts w:ascii="Arial" w:cs="Arial" w:eastAsia="Arial" w:hAnsi="Arial"/>
                <w:sz w:val="22"/>
                <w:szCs w:val="22"/>
                <w:b w:val="1"/>
                <w:bCs w:val="1"/>
                <w:color w:val="auto"/>
                <w:w w:val="97"/>
              </w:rPr>
              <w:t>Prior Names &amp; Trade</w:t>
            </w:r>
          </w:p>
        </w:tc>
      </w:tr>
      <w:tr>
        <w:trPr>
          <w:trHeight w:val="243"/>
        </w:trPr>
        <w:tc>
          <w:tcPr>
            <w:tcW w:w="328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of</w:t>
            </w:r>
          </w:p>
        </w:tc>
        <w:tc>
          <w:tcPr>
            <w:tcW w:w="15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20" w:type="dxa"/>
            <w:vAlign w:val="bottom"/>
            <w:tcBorders>
              <w:right w:val="single" w:sz="8" w:color="auto"/>
            </w:tcBorders>
            <w:shd w:val="clear" w:color="auto" w:fill="CCCCCC"/>
          </w:tcPr>
          <w:p>
            <w:pPr>
              <w:spacing w:after="0"/>
              <w:rPr>
                <w:sz w:val="21"/>
                <w:szCs w:val="21"/>
                <w:color w:val="auto"/>
              </w:rPr>
            </w:pPr>
          </w:p>
        </w:tc>
        <w:tc>
          <w:tcPr>
            <w:tcW w:w="16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3"/>
              </w:rPr>
              <w:t>Number</w:t>
            </w:r>
          </w:p>
        </w:tc>
        <w:tc>
          <w:tcPr>
            <w:tcW w:w="2280" w:type="dxa"/>
            <w:vAlign w:val="bottom"/>
            <w:tcBorders>
              <w:right w:val="single" w:sz="8" w:color="auto"/>
            </w:tcBorders>
            <w:shd w:val="clear" w:color="auto" w:fill="CCCCCC"/>
          </w:tcPr>
          <w:p>
            <w:pPr>
              <w:ind w:left="800"/>
              <w:spacing w:after="0" w:line="243" w:lineRule="exact"/>
              <w:rPr>
                <w:sz w:val="20"/>
                <w:szCs w:val="20"/>
                <w:color w:val="auto"/>
              </w:rPr>
            </w:pPr>
            <w:r>
              <w:rPr>
                <w:rFonts w:ascii="Arial" w:cs="Arial" w:eastAsia="Arial" w:hAnsi="Arial"/>
                <w:sz w:val="22"/>
                <w:szCs w:val="22"/>
                <w:b w:val="1"/>
                <w:bCs w:val="1"/>
                <w:color w:val="auto"/>
              </w:rPr>
              <w:t>Names</w:t>
            </w:r>
          </w:p>
        </w:tc>
      </w:tr>
      <w:tr>
        <w:trPr>
          <w:trHeight w:val="243"/>
        </w:trPr>
        <w:tc>
          <w:tcPr>
            <w:tcW w:w="328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4"/>
              </w:rPr>
              <w:t>Principal Place of Business and</w:t>
            </w:r>
          </w:p>
        </w:tc>
        <w:tc>
          <w:tcPr>
            <w:tcW w:w="150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600" w:type="dxa"/>
            <w:vAlign w:val="bottom"/>
            <w:tcBorders>
              <w:right w:val="single" w:sz="8" w:color="auto"/>
            </w:tcBorders>
            <w:shd w:val="clear" w:color="auto" w:fill="CCCCCC"/>
          </w:tcPr>
          <w:p>
            <w:pPr>
              <w:spacing w:after="0"/>
              <w:rPr>
                <w:sz w:val="21"/>
                <w:szCs w:val="21"/>
                <w:color w:val="auto"/>
              </w:rPr>
            </w:pPr>
          </w:p>
        </w:tc>
        <w:tc>
          <w:tcPr>
            <w:tcW w:w="2280" w:type="dxa"/>
            <w:vAlign w:val="bottom"/>
            <w:tcBorders>
              <w:right w:val="single" w:sz="8" w:color="auto"/>
            </w:tcBorders>
            <w:shd w:val="clear" w:color="auto" w:fill="CCCCCC"/>
          </w:tcPr>
          <w:p>
            <w:pPr>
              <w:spacing w:after="0"/>
              <w:rPr>
                <w:sz w:val="21"/>
                <w:szCs w:val="21"/>
                <w:color w:val="auto"/>
              </w:rPr>
            </w:pPr>
          </w:p>
        </w:tc>
      </w:tr>
      <w:tr>
        <w:trPr>
          <w:trHeight w:val="243"/>
        </w:trPr>
        <w:tc>
          <w:tcPr>
            <w:tcW w:w="328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50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600" w:type="dxa"/>
            <w:vAlign w:val="bottom"/>
            <w:tcBorders>
              <w:right w:val="single" w:sz="8" w:color="auto"/>
            </w:tcBorders>
            <w:shd w:val="clear" w:color="auto" w:fill="CCCCCC"/>
          </w:tcPr>
          <w:p>
            <w:pPr>
              <w:spacing w:after="0"/>
              <w:rPr>
                <w:sz w:val="21"/>
                <w:szCs w:val="21"/>
                <w:color w:val="auto"/>
              </w:rPr>
            </w:pPr>
          </w:p>
        </w:tc>
        <w:tc>
          <w:tcPr>
            <w:tcW w:w="2280" w:type="dxa"/>
            <w:vAlign w:val="bottom"/>
            <w:tcBorders>
              <w:right w:val="single" w:sz="8" w:color="auto"/>
            </w:tcBorders>
            <w:shd w:val="clear" w:color="auto" w:fill="CCCCCC"/>
          </w:tcPr>
          <w:p>
            <w:pPr>
              <w:spacing w:after="0"/>
              <w:rPr>
                <w:sz w:val="21"/>
                <w:szCs w:val="21"/>
                <w:color w:val="auto"/>
              </w:rPr>
            </w:pPr>
          </w:p>
        </w:tc>
      </w:tr>
      <w:tr>
        <w:trPr>
          <w:trHeight w:val="291"/>
        </w:trPr>
        <w:tc>
          <w:tcPr>
            <w:tcW w:w="328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500" w:type="dxa"/>
            <w:vAlign w:val="bottom"/>
            <w:tcBorders>
              <w:bottom w:val="single" w:sz="8" w:color="auto"/>
              <w:right w:val="single" w:sz="8" w:color="auto"/>
            </w:tcBorders>
            <w:shd w:val="clear" w:color="auto" w:fill="CCCCCC"/>
          </w:tcPr>
          <w:p>
            <w:pPr>
              <w:spacing w:after="0"/>
              <w:rPr>
                <w:sz w:val="24"/>
                <w:szCs w:val="24"/>
                <w:color w:val="auto"/>
              </w:rPr>
            </w:pPr>
          </w:p>
        </w:tc>
        <w:tc>
          <w:tcPr>
            <w:tcW w:w="1420" w:type="dxa"/>
            <w:vAlign w:val="bottom"/>
            <w:tcBorders>
              <w:bottom w:val="single" w:sz="8" w:color="auto"/>
              <w:right w:val="single" w:sz="8" w:color="auto"/>
            </w:tcBorders>
            <w:shd w:val="clear" w:color="auto" w:fill="CCCCCC"/>
          </w:tcPr>
          <w:p>
            <w:pPr>
              <w:spacing w:after="0"/>
              <w:rPr>
                <w:sz w:val="24"/>
                <w:szCs w:val="24"/>
                <w:color w:val="auto"/>
              </w:rPr>
            </w:pPr>
          </w:p>
        </w:tc>
        <w:tc>
          <w:tcPr>
            <w:tcW w:w="1600" w:type="dxa"/>
            <w:vAlign w:val="bottom"/>
            <w:tcBorders>
              <w:bottom w:val="single" w:sz="8" w:color="auto"/>
              <w:right w:val="single" w:sz="8" w:color="auto"/>
            </w:tcBorders>
            <w:shd w:val="clear" w:color="auto" w:fill="CCCCCC"/>
          </w:tcPr>
          <w:p>
            <w:pPr>
              <w:spacing w:after="0"/>
              <w:rPr>
                <w:sz w:val="24"/>
                <w:szCs w:val="24"/>
                <w:color w:val="auto"/>
              </w:rPr>
            </w:pPr>
          </w:p>
        </w:tc>
        <w:tc>
          <w:tcPr>
            <w:tcW w:w="228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2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w w:val="90"/>
              </w:rPr>
              <w:t>Comfort Systems USA (Southeast),</w:t>
            </w:r>
          </w:p>
        </w:tc>
        <w:tc>
          <w:tcPr>
            <w:tcW w:w="15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8"/>
              </w:rPr>
              <w:t>Delaware</w:t>
            </w:r>
          </w:p>
        </w:tc>
        <w:tc>
          <w:tcPr>
            <w:tcW w:w="14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6"/>
              </w:rPr>
              <w:t>2875705</w:t>
            </w:r>
          </w:p>
        </w:tc>
        <w:tc>
          <w:tcPr>
            <w:tcW w:w="2280" w:type="dxa"/>
            <w:vAlign w:val="bottom"/>
            <w:tcBorders>
              <w:right w:val="single" w:sz="8" w:color="auto"/>
            </w:tcBorders>
          </w:tcPr>
          <w:p>
            <w:pPr>
              <w:ind w:left="60"/>
              <w:spacing w:after="0" w:line="222" w:lineRule="exact"/>
              <w:rPr>
                <w:sz w:val="20"/>
                <w:szCs w:val="20"/>
                <w:color w:val="auto"/>
              </w:rPr>
            </w:pPr>
            <w:r>
              <w:rPr>
                <w:rFonts w:ascii="Arial" w:cs="Arial" w:eastAsia="Arial" w:hAnsi="Arial"/>
                <w:sz w:val="22"/>
                <w:szCs w:val="22"/>
                <w:color w:val="auto"/>
                <w:w w:val="96"/>
              </w:rPr>
              <w:t>Batchelor’s Mechanical</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Contractors; Control</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435 Corday Street</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Concepts, Inc.</w:t>
            </w:r>
          </w:p>
        </w:tc>
      </w:tr>
      <w:tr>
        <w:trPr>
          <w:trHeight w:val="265"/>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Pensacola, FL 32503</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2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9"/>
              </w:rPr>
              <w:t>Comfort Systems USA (Southwest),</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Arizona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113419</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Tri-City Mechanical,</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Inc.; Air Management</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6875 W. Galveston</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Services, Inc.;</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Chandler, AZ 85226</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2"/>
              </w:rPr>
              <w:t>Commercial Mechanical</w:t>
            </w:r>
          </w:p>
        </w:tc>
      </w:tr>
      <w:tr>
        <w:trPr>
          <w:trHeight w:val="265"/>
        </w:trPr>
        <w:tc>
          <w:tcPr>
            <w:tcW w:w="328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Service, Inc.</w:t>
            </w:r>
          </w:p>
        </w:tc>
      </w:tr>
      <w:tr>
        <w:trPr>
          <w:trHeight w:val="215"/>
        </w:trPr>
        <w:tc>
          <w:tcPr>
            <w:tcW w:w="32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Comfort Systems USA Strategic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Indiana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1998071673</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9"/>
              </w:rPr>
              <w:t>Comfort Systems USA</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Accounts, 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4"/>
              </w:rPr>
              <w:t>National Accounts, LLC</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2655 Fortune Circle West, Suite E</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Indianapolis, IN 46241</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2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2"/>
              </w:rPr>
              <w:t>Comfort Systems USA (Syracuse),</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4"/>
              </w:rPr>
              <w:t>New York</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Armani Plumbing &amp;</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 ABJ Fire</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6500 New Venture Gear Drive</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Protection Company;</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East Syracuse, NY 13057</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Woodcock &amp; Armani;</w:t>
            </w:r>
          </w:p>
        </w:tc>
      </w:tr>
      <w:tr>
        <w:trPr>
          <w:trHeight w:val="243"/>
        </w:trPr>
        <w:tc>
          <w:tcPr>
            <w:tcW w:w="328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Billone Mechanical</w:t>
            </w:r>
          </w:p>
        </w:tc>
      </w:tr>
      <w:tr>
        <w:trPr>
          <w:trHeight w:val="265"/>
        </w:trPr>
        <w:tc>
          <w:tcPr>
            <w:tcW w:w="328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Contractors</w:t>
            </w:r>
          </w:p>
        </w:tc>
      </w:tr>
      <w:tr>
        <w:trPr>
          <w:trHeight w:val="215"/>
        </w:trPr>
        <w:tc>
          <w:tcPr>
            <w:tcW w:w="32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9"/>
              </w:rPr>
              <w:t>Comfort Systems USA (Texas), L.P.</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3"/>
              </w:rPr>
              <w:t>Texas</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00111578-10</w:t>
            </w:r>
          </w:p>
        </w:tc>
        <w:tc>
          <w:tcPr>
            <w:tcW w:w="2280" w:type="dxa"/>
            <w:vAlign w:val="bottom"/>
            <w:tcBorders>
              <w:right w:val="single" w:sz="8" w:color="auto"/>
            </w:tcBorders>
          </w:tcPr>
          <w:p>
            <w:pPr>
              <w:spacing w:after="0"/>
              <w:rPr>
                <w:sz w:val="18"/>
                <w:szCs w:val="18"/>
                <w:color w:val="auto"/>
              </w:rPr>
            </w:pP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Partnership</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2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LLC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Florida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L17000066222</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ConServ Building</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206 Reece Way Ste 1542</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Services, Inc.</w:t>
            </w:r>
          </w:p>
        </w:tc>
      </w:tr>
      <w:tr>
        <w:trPr>
          <w:trHeight w:val="265"/>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Casselberry, Florida 32707</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2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Alabama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271-625</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ConServ Building</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Alabama, 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Services of Alabama,</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1025 County Road 6</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Inc.</w:t>
            </w:r>
          </w:p>
        </w:tc>
      </w:tr>
      <w:tr>
        <w:trPr>
          <w:trHeight w:val="265"/>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Piedmont, AL 36272</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215"/>
        </w:trPr>
        <w:tc>
          <w:tcPr>
            <w:tcW w:w="32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Georgia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6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333333"/>
                <w:w w:val="87"/>
              </w:rPr>
              <w:t>08083393</w:t>
            </w:r>
          </w:p>
        </w:tc>
        <w:tc>
          <w:tcPr>
            <w:tcW w:w="22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ConServ Building</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Georgia, 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0"/>
              </w:rPr>
              <w:t>Services of Georgia, Inc.</w:t>
            </w:r>
          </w:p>
        </w:tc>
      </w:tr>
      <w:tr>
        <w:trPr>
          <w:trHeight w:val="243"/>
        </w:trPr>
        <w:tc>
          <w:tcPr>
            <w:tcW w:w="32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456 Ethan Drive</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60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r>
      <w:tr>
        <w:trPr>
          <w:trHeight w:val="265"/>
        </w:trPr>
        <w:tc>
          <w:tcPr>
            <w:tcW w:w="32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Fayetteville, GA 30214</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600" w:type="dxa"/>
            <w:vAlign w:val="bottom"/>
            <w:tcBorders>
              <w:bottom w:val="single" w:sz="8" w:color="auto"/>
              <w:right w:val="single" w:sz="8" w:color="auto"/>
            </w:tcBorders>
          </w:tcPr>
          <w:p>
            <w:pPr>
              <w:spacing w:after="0"/>
              <w:rPr>
                <w:sz w:val="23"/>
                <w:szCs w:val="23"/>
                <w:color w:val="auto"/>
              </w:rPr>
            </w:pPr>
          </w:p>
        </w:tc>
        <w:tc>
          <w:tcPr>
            <w:tcW w:w="2280" w:type="dxa"/>
            <w:vAlign w:val="bottom"/>
            <w:tcBorders>
              <w:bottom w:val="single" w:sz="8" w:color="auto"/>
              <w:right w:val="single" w:sz="8" w:color="auto"/>
            </w:tcBorders>
          </w:tcPr>
          <w:p>
            <w:pPr>
              <w:spacing w:after="0"/>
              <w:rPr>
                <w:sz w:val="23"/>
                <w:szCs w:val="23"/>
                <w:color w:val="auto"/>
              </w:rPr>
            </w:pPr>
          </w:p>
        </w:tc>
      </w:tr>
      <w:tr>
        <w:trPr>
          <w:trHeight w:val="858"/>
        </w:trPr>
        <w:tc>
          <w:tcPr>
            <w:tcW w:w="3280" w:type="dxa"/>
            <w:vAlign w:val="bottom"/>
          </w:tcPr>
          <w:p>
            <w:pPr>
              <w:spacing w:after="0"/>
              <w:rPr>
                <w:sz w:val="24"/>
                <w:szCs w:val="24"/>
                <w:color w:val="auto"/>
              </w:rPr>
            </w:pPr>
          </w:p>
        </w:tc>
        <w:tc>
          <w:tcPr>
            <w:tcW w:w="4520" w:type="dxa"/>
            <w:vAlign w:val="bottom"/>
            <w:gridSpan w:val="3"/>
          </w:tcPr>
          <w:p>
            <w:pPr>
              <w:ind w:left="140"/>
              <w:spacing w:after="0"/>
              <w:rPr>
                <w:sz w:val="20"/>
                <w:szCs w:val="20"/>
                <w:color w:val="auto"/>
              </w:rPr>
            </w:pPr>
            <w:r>
              <w:rPr>
                <w:rFonts w:ascii="Arial" w:cs="Arial" w:eastAsia="Arial" w:hAnsi="Arial"/>
                <w:sz w:val="18"/>
                <w:szCs w:val="18"/>
                <w:color w:val="auto"/>
              </w:rPr>
              <w:t>Schedule III to Security Agreement – Page 5</w:t>
            </w:r>
          </w:p>
        </w:tc>
        <w:tc>
          <w:tcPr>
            <w:tcW w:w="2280" w:type="dxa"/>
            <w:vAlign w:val="bottom"/>
          </w:tcPr>
          <w:p>
            <w:pPr>
              <w:spacing w:after="0"/>
              <w:rPr>
                <w:sz w:val="24"/>
                <w:szCs w:val="24"/>
                <w:color w:val="auto"/>
              </w:rPr>
            </w:pPr>
          </w:p>
        </w:tc>
      </w:tr>
      <w:tr>
        <w:trPr>
          <w:trHeight w:val="129"/>
        </w:trPr>
        <w:tc>
          <w:tcPr>
            <w:tcW w:w="32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0" w:right="919" w:bottom="1440" w:gutter="0" w:footer="0" w:header="0"/>
        </w:sectPr>
      </w:pPr>
    </w:p>
    <w:bookmarkStart w:id="177" w:name="page178"/>
    <w:bookmarkEnd w:id="17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2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7"/>
              </w:rPr>
              <w:t>Grantor Official Name, Address</w:t>
            </w:r>
          </w:p>
        </w:tc>
        <w:tc>
          <w:tcPr>
            <w:tcW w:w="15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Entity Type</w:t>
            </w:r>
          </w:p>
        </w:tc>
        <w:tc>
          <w:tcPr>
            <w:tcW w:w="154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7"/>
              </w:rPr>
              <w:t>Charter/ID</w:t>
            </w:r>
          </w:p>
        </w:tc>
        <w:tc>
          <w:tcPr>
            <w:tcW w:w="2300" w:type="dxa"/>
            <w:vAlign w:val="bottom"/>
            <w:tcBorders>
              <w:top w:val="single" w:sz="8" w:color="auto"/>
              <w:right w:val="single" w:sz="8" w:color="auto"/>
            </w:tcBorders>
            <w:shd w:val="clear" w:color="auto" w:fill="CCCCCC"/>
          </w:tcPr>
          <w:p>
            <w:pPr>
              <w:ind w:left="140"/>
              <w:spacing w:after="0" w:line="243" w:lineRule="exact"/>
              <w:rPr>
                <w:sz w:val="20"/>
                <w:szCs w:val="20"/>
                <w:color w:val="auto"/>
              </w:rPr>
            </w:pPr>
            <w:r>
              <w:rPr>
                <w:rFonts w:ascii="Arial" w:cs="Arial" w:eastAsia="Arial" w:hAnsi="Arial"/>
                <w:sz w:val="22"/>
                <w:szCs w:val="22"/>
                <w:b w:val="1"/>
                <w:bCs w:val="1"/>
                <w:color w:val="auto"/>
                <w:w w:val="97"/>
              </w:rPr>
              <w:t>Prior Names &amp; Trade</w:t>
            </w:r>
          </w:p>
        </w:tc>
      </w:tr>
      <w:tr>
        <w:trPr>
          <w:trHeight w:val="243"/>
        </w:trPr>
        <w:tc>
          <w:tcPr>
            <w:tcW w:w="332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of</w:t>
            </w:r>
          </w:p>
        </w:tc>
        <w:tc>
          <w:tcPr>
            <w:tcW w:w="15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20" w:type="dxa"/>
            <w:vAlign w:val="bottom"/>
            <w:tcBorders>
              <w:right w:val="single" w:sz="8" w:color="auto"/>
            </w:tcBorders>
            <w:shd w:val="clear" w:color="auto" w:fill="CCCCCC"/>
          </w:tcPr>
          <w:p>
            <w:pPr>
              <w:spacing w:after="0"/>
              <w:rPr>
                <w:sz w:val="21"/>
                <w:szCs w:val="21"/>
                <w:color w:val="auto"/>
              </w:rPr>
            </w:pPr>
          </w:p>
        </w:tc>
        <w:tc>
          <w:tcPr>
            <w:tcW w:w="154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Number</w:t>
            </w:r>
          </w:p>
        </w:tc>
        <w:tc>
          <w:tcPr>
            <w:tcW w:w="2300" w:type="dxa"/>
            <w:vAlign w:val="bottom"/>
            <w:tcBorders>
              <w:right w:val="single" w:sz="8" w:color="auto"/>
            </w:tcBorders>
            <w:shd w:val="clear" w:color="auto" w:fill="CCCCCC"/>
          </w:tcPr>
          <w:p>
            <w:pPr>
              <w:ind w:left="820"/>
              <w:spacing w:after="0" w:line="243" w:lineRule="exact"/>
              <w:rPr>
                <w:sz w:val="20"/>
                <w:szCs w:val="20"/>
                <w:color w:val="auto"/>
              </w:rPr>
            </w:pPr>
            <w:r>
              <w:rPr>
                <w:rFonts w:ascii="Arial" w:cs="Arial" w:eastAsia="Arial" w:hAnsi="Arial"/>
                <w:sz w:val="22"/>
                <w:szCs w:val="22"/>
                <w:b w:val="1"/>
                <w:bCs w:val="1"/>
                <w:color w:val="auto"/>
              </w:rPr>
              <w:t>Names</w:t>
            </w:r>
          </w:p>
        </w:tc>
      </w:tr>
      <w:tr>
        <w:trPr>
          <w:trHeight w:val="243"/>
        </w:trPr>
        <w:tc>
          <w:tcPr>
            <w:tcW w:w="332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5"/>
              </w:rPr>
              <w:t>Principal Place of Business and</w:t>
            </w:r>
          </w:p>
        </w:tc>
        <w:tc>
          <w:tcPr>
            <w:tcW w:w="150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540" w:type="dxa"/>
            <w:vAlign w:val="bottom"/>
            <w:tcBorders>
              <w:right w:val="single" w:sz="8" w:color="auto"/>
            </w:tcBorders>
            <w:shd w:val="clear" w:color="auto" w:fill="CCCCCC"/>
          </w:tcPr>
          <w:p>
            <w:pPr>
              <w:spacing w:after="0"/>
              <w:rPr>
                <w:sz w:val="21"/>
                <w:szCs w:val="21"/>
                <w:color w:val="auto"/>
              </w:rPr>
            </w:pPr>
          </w:p>
        </w:tc>
        <w:tc>
          <w:tcPr>
            <w:tcW w:w="2300" w:type="dxa"/>
            <w:vAlign w:val="bottom"/>
            <w:tcBorders>
              <w:right w:val="single" w:sz="8" w:color="auto"/>
            </w:tcBorders>
            <w:shd w:val="clear" w:color="auto" w:fill="CCCCCC"/>
          </w:tcPr>
          <w:p>
            <w:pPr>
              <w:spacing w:after="0"/>
              <w:rPr>
                <w:sz w:val="21"/>
                <w:szCs w:val="21"/>
                <w:color w:val="auto"/>
              </w:rPr>
            </w:pPr>
          </w:p>
        </w:tc>
      </w:tr>
      <w:tr>
        <w:trPr>
          <w:trHeight w:val="243"/>
        </w:trPr>
        <w:tc>
          <w:tcPr>
            <w:tcW w:w="332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50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540" w:type="dxa"/>
            <w:vAlign w:val="bottom"/>
            <w:tcBorders>
              <w:right w:val="single" w:sz="8" w:color="auto"/>
            </w:tcBorders>
            <w:shd w:val="clear" w:color="auto" w:fill="CCCCCC"/>
          </w:tcPr>
          <w:p>
            <w:pPr>
              <w:spacing w:after="0"/>
              <w:rPr>
                <w:sz w:val="21"/>
                <w:szCs w:val="21"/>
                <w:color w:val="auto"/>
              </w:rPr>
            </w:pPr>
          </w:p>
        </w:tc>
        <w:tc>
          <w:tcPr>
            <w:tcW w:w="2300" w:type="dxa"/>
            <w:vAlign w:val="bottom"/>
            <w:tcBorders>
              <w:right w:val="single" w:sz="8" w:color="auto"/>
            </w:tcBorders>
            <w:shd w:val="clear" w:color="auto" w:fill="CCCCCC"/>
          </w:tcPr>
          <w:p>
            <w:pPr>
              <w:spacing w:after="0"/>
              <w:rPr>
                <w:sz w:val="21"/>
                <w:szCs w:val="21"/>
                <w:color w:val="auto"/>
              </w:rPr>
            </w:pPr>
          </w:p>
        </w:tc>
      </w:tr>
      <w:tr>
        <w:trPr>
          <w:trHeight w:val="291"/>
        </w:trPr>
        <w:tc>
          <w:tcPr>
            <w:tcW w:w="332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500" w:type="dxa"/>
            <w:vAlign w:val="bottom"/>
            <w:tcBorders>
              <w:bottom w:val="single" w:sz="8" w:color="auto"/>
              <w:right w:val="single" w:sz="8" w:color="auto"/>
            </w:tcBorders>
            <w:shd w:val="clear" w:color="auto" w:fill="CCCCCC"/>
          </w:tcPr>
          <w:p>
            <w:pPr>
              <w:spacing w:after="0"/>
              <w:rPr>
                <w:sz w:val="24"/>
                <w:szCs w:val="24"/>
                <w:color w:val="auto"/>
              </w:rPr>
            </w:pPr>
          </w:p>
        </w:tc>
        <w:tc>
          <w:tcPr>
            <w:tcW w:w="1420" w:type="dxa"/>
            <w:vAlign w:val="bottom"/>
            <w:tcBorders>
              <w:bottom w:val="single" w:sz="8" w:color="auto"/>
              <w:right w:val="single" w:sz="8" w:color="auto"/>
            </w:tcBorders>
            <w:shd w:val="clear" w:color="auto" w:fill="CCCCCC"/>
          </w:tcPr>
          <w:p>
            <w:pPr>
              <w:spacing w:after="0"/>
              <w:rPr>
                <w:sz w:val="24"/>
                <w:szCs w:val="24"/>
                <w:color w:val="auto"/>
              </w:rPr>
            </w:pPr>
          </w:p>
        </w:tc>
        <w:tc>
          <w:tcPr>
            <w:tcW w:w="1540" w:type="dxa"/>
            <w:vAlign w:val="bottom"/>
            <w:tcBorders>
              <w:bottom w:val="single" w:sz="8" w:color="auto"/>
              <w:right w:val="single" w:sz="8" w:color="auto"/>
            </w:tcBorders>
            <w:shd w:val="clear" w:color="auto" w:fill="CCCCCC"/>
          </w:tcPr>
          <w:p>
            <w:pPr>
              <w:spacing w:after="0"/>
              <w:rPr>
                <w:sz w:val="24"/>
                <w:szCs w:val="24"/>
                <w:color w:val="auto"/>
              </w:rPr>
            </w:pPr>
          </w:p>
        </w:tc>
        <w:tc>
          <w:tcPr>
            <w:tcW w:w="230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32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w w:val="92"/>
              </w:rPr>
              <w:t>ConServ Building Services of North</w:t>
            </w:r>
          </w:p>
        </w:tc>
        <w:tc>
          <w:tcPr>
            <w:tcW w:w="15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1"/>
              </w:rPr>
              <w:t>North Carolina</w:t>
            </w:r>
          </w:p>
        </w:tc>
        <w:tc>
          <w:tcPr>
            <w:tcW w:w="14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5"/>
              </w:rPr>
              <w:t>Limited</w:t>
            </w:r>
          </w:p>
        </w:tc>
        <w:tc>
          <w:tcPr>
            <w:tcW w:w="154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8"/>
              </w:rPr>
              <w:t>1141416</w:t>
            </w:r>
          </w:p>
        </w:tc>
        <w:tc>
          <w:tcPr>
            <w:tcW w:w="2300" w:type="dxa"/>
            <w:vAlign w:val="bottom"/>
            <w:tcBorders>
              <w:right w:val="single" w:sz="8" w:color="auto"/>
            </w:tcBorders>
          </w:tcPr>
          <w:p>
            <w:pPr>
              <w:ind w:left="80"/>
              <w:spacing w:after="0" w:line="222" w:lineRule="exact"/>
              <w:rPr>
                <w:sz w:val="20"/>
                <w:szCs w:val="20"/>
                <w:color w:val="auto"/>
              </w:rPr>
            </w:pPr>
            <w:r>
              <w:rPr>
                <w:rFonts w:ascii="Arial" w:cs="Arial" w:eastAsia="Arial" w:hAnsi="Arial"/>
                <w:sz w:val="22"/>
                <w:szCs w:val="22"/>
                <w:color w:val="auto"/>
              </w:rPr>
              <w:t>ConServ Building</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Carolina, 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Services of North</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2803 Gray Fox Road</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Carolina, Inc.</w:t>
            </w: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Indian Trail, NC 28079</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ConServ Building Services of</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2"/>
              </w:rPr>
              <w:t>Tennessee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000621466</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ConServ Building</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Tennessee, 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Services of Tennessee,</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1330 Murfreesboro Pike</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Inc.</w:t>
            </w: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Nashville, TN 37217</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9"/>
              </w:rPr>
              <w:t>ConServ Building Services of Texas,</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3"/>
              </w:rPr>
              <w:t>Texas</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801221549</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ConServ Building</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7"/>
              </w:rPr>
              <w:t>Services of Texas, Inc.</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5301 Big Six Street</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Alvarado, TX 76009</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Control Concepts, LLC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Georgia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12058032</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Control Concepts, Inc.</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3550 North Parkway, Suite 100</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Cumming, GA 30040</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Control Concepts Mechanical</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Georgia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12058034</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Control Concepts</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Services, 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Mechanical Services,</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3550 North Parkway, Suite 100</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Inc.</w:t>
            </w: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Cumming, GA 30040</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CSUSA (10), LLC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North Carolina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1226798</w:t>
            </w:r>
          </w:p>
        </w:tc>
        <w:tc>
          <w:tcPr>
            <w:tcW w:w="2300" w:type="dxa"/>
            <w:vAlign w:val="bottom"/>
            <w:tcBorders>
              <w:right w:val="single" w:sz="8" w:color="auto"/>
            </w:tcBorders>
          </w:tcPr>
          <w:p>
            <w:pPr>
              <w:spacing w:after="0"/>
              <w:rPr>
                <w:sz w:val="18"/>
                <w:szCs w:val="18"/>
                <w:color w:val="auto"/>
              </w:rPr>
            </w:pP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Drive, Suite 400</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Texas 77057</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CS53 Acquisition Corporation</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2997337</w:t>
            </w:r>
          </w:p>
        </w:tc>
        <w:tc>
          <w:tcPr>
            <w:tcW w:w="2300" w:type="dxa"/>
            <w:vAlign w:val="bottom"/>
            <w:tcBorders>
              <w:right w:val="single" w:sz="8" w:color="auto"/>
            </w:tcBorders>
          </w:tcPr>
          <w:p>
            <w:pPr>
              <w:spacing w:after="0"/>
              <w:rPr>
                <w:sz w:val="18"/>
                <w:szCs w:val="18"/>
                <w:color w:val="auto"/>
              </w:rPr>
            </w:pP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Delcard Associates, LLC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3250401</w:t>
            </w:r>
          </w:p>
        </w:tc>
        <w:tc>
          <w:tcPr>
            <w:tcW w:w="2300" w:type="dxa"/>
            <w:vAlign w:val="bottom"/>
            <w:tcBorders>
              <w:right w:val="single" w:sz="8" w:color="auto"/>
            </w:tcBorders>
          </w:tcPr>
          <w:p>
            <w:pPr>
              <w:spacing w:after="0"/>
              <w:rPr>
                <w:sz w:val="18"/>
                <w:szCs w:val="18"/>
                <w:color w:val="auto"/>
              </w:rPr>
            </w:pP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3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32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Design Mechanical Incorporated</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Colorado</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20031376007</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Rocky Mountain</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168 CTC Blvd., Suite #D</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Mechanical Systems,</w:t>
            </w:r>
          </w:p>
        </w:tc>
      </w:tr>
      <w:tr>
        <w:trPr>
          <w:trHeight w:val="243"/>
        </w:trPr>
        <w:tc>
          <w:tcPr>
            <w:tcW w:w="332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Louisville, CO 80027</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Inc.; Breckenridge</w:t>
            </w:r>
          </w:p>
        </w:tc>
      </w:tr>
      <w:tr>
        <w:trPr>
          <w:trHeight w:val="265"/>
        </w:trPr>
        <w:tc>
          <w:tcPr>
            <w:tcW w:w="332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Mechanical, Inc.</w:t>
            </w:r>
          </w:p>
        </w:tc>
      </w:tr>
      <w:tr>
        <w:trPr>
          <w:trHeight w:val="858"/>
        </w:trPr>
        <w:tc>
          <w:tcPr>
            <w:tcW w:w="3320" w:type="dxa"/>
            <w:vAlign w:val="bottom"/>
          </w:tcPr>
          <w:p>
            <w:pPr>
              <w:spacing w:after="0"/>
              <w:rPr>
                <w:sz w:val="24"/>
                <w:szCs w:val="24"/>
                <w:color w:val="auto"/>
              </w:rPr>
            </w:pPr>
          </w:p>
        </w:tc>
        <w:tc>
          <w:tcPr>
            <w:tcW w:w="4460" w:type="dxa"/>
            <w:vAlign w:val="bottom"/>
            <w:gridSpan w:val="3"/>
          </w:tcPr>
          <w:p>
            <w:pPr>
              <w:ind w:left="100"/>
              <w:spacing w:after="0"/>
              <w:rPr>
                <w:sz w:val="20"/>
                <w:szCs w:val="20"/>
                <w:color w:val="auto"/>
              </w:rPr>
            </w:pPr>
            <w:r>
              <w:rPr>
                <w:rFonts w:ascii="Arial" w:cs="Arial" w:eastAsia="Arial" w:hAnsi="Arial"/>
                <w:sz w:val="18"/>
                <w:szCs w:val="18"/>
                <w:color w:val="auto"/>
              </w:rPr>
              <w:t>Schedule III to Security Agreement – Page 6</w:t>
            </w:r>
          </w:p>
        </w:tc>
        <w:tc>
          <w:tcPr>
            <w:tcW w:w="2300" w:type="dxa"/>
            <w:vAlign w:val="bottom"/>
          </w:tcPr>
          <w:p>
            <w:pPr>
              <w:spacing w:after="0"/>
              <w:rPr>
                <w:sz w:val="24"/>
                <w:szCs w:val="24"/>
                <w:color w:val="auto"/>
              </w:rPr>
            </w:pPr>
          </w:p>
        </w:tc>
      </w:tr>
      <w:tr>
        <w:trPr>
          <w:trHeight w:val="129"/>
        </w:trPr>
        <w:tc>
          <w:tcPr>
            <w:tcW w:w="33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160" w:right="899" w:bottom="1440" w:gutter="0" w:footer="0" w:header="0"/>
        </w:sectPr>
      </w:pPr>
    </w:p>
    <w:bookmarkStart w:id="178" w:name="page179"/>
    <w:bookmarkEnd w:id="17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8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1"/>
              </w:rPr>
              <w:t>Grantor Official Name, Address of</w:t>
            </w:r>
          </w:p>
        </w:tc>
        <w:tc>
          <w:tcPr>
            <w:tcW w:w="15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2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2"/>
              </w:rPr>
              <w:t>Entity Type</w:t>
            </w:r>
          </w:p>
        </w:tc>
        <w:tc>
          <w:tcPr>
            <w:tcW w:w="154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7"/>
              </w:rPr>
              <w:t>Charter/ID</w:t>
            </w:r>
          </w:p>
        </w:tc>
        <w:tc>
          <w:tcPr>
            <w:tcW w:w="2240" w:type="dxa"/>
            <w:vAlign w:val="bottom"/>
            <w:tcBorders>
              <w:top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6"/>
              </w:rPr>
              <w:t>Prior Names &amp; Trade</w:t>
            </w:r>
          </w:p>
        </w:tc>
      </w:tr>
      <w:tr>
        <w:trPr>
          <w:trHeight w:val="243"/>
        </w:trPr>
        <w:tc>
          <w:tcPr>
            <w:tcW w:w="338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7"/>
              </w:rPr>
              <w:t>Principal Place of Business and</w:t>
            </w:r>
          </w:p>
        </w:tc>
        <w:tc>
          <w:tcPr>
            <w:tcW w:w="15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20" w:type="dxa"/>
            <w:vAlign w:val="bottom"/>
            <w:tcBorders>
              <w:right w:val="single" w:sz="8" w:color="auto"/>
            </w:tcBorders>
            <w:shd w:val="clear" w:color="auto" w:fill="CCCCCC"/>
          </w:tcPr>
          <w:p>
            <w:pPr>
              <w:spacing w:after="0"/>
              <w:rPr>
                <w:sz w:val="21"/>
                <w:szCs w:val="21"/>
                <w:color w:val="auto"/>
              </w:rPr>
            </w:pPr>
          </w:p>
        </w:tc>
        <w:tc>
          <w:tcPr>
            <w:tcW w:w="154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Number</w:t>
            </w:r>
          </w:p>
        </w:tc>
        <w:tc>
          <w:tcPr>
            <w:tcW w:w="2240" w:type="dxa"/>
            <w:vAlign w:val="bottom"/>
            <w:tcBorders>
              <w:right w:val="single" w:sz="8" w:color="auto"/>
            </w:tcBorders>
            <w:shd w:val="clear" w:color="auto" w:fill="CCCCCC"/>
          </w:tcPr>
          <w:p>
            <w:pPr>
              <w:ind w:left="780"/>
              <w:spacing w:after="0" w:line="243" w:lineRule="exact"/>
              <w:rPr>
                <w:sz w:val="20"/>
                <w:szCs w:val="20"/>
                <w:color w:val="auto"/>
              </w:rPr>
            </w:pPr>
            <w:r>
              <w:rPr>
                <w:rFonts w:ascii="Arial" w:cs="Arial" w:eastAsia="Arial" w:hAnsi="Arial"/>
                <w:sz w:val="22"/>
                <w:szCs w:val="22"/>
                <w:b w:val="1"/>
                <w:bCs w:val="1"/>
                <w:color w:val="auto"/>
              </w:rPr>
              <w:t>Names</w:t>
            </w:r>
          </w:p>
        </w:tc>
      </w:tr>
      <w:tr>
        <w:trPr>
          <w:trHeight w:val="243"/>
        </w:trPr>
        <w:tc>
          <w:tcPr>
            <w:tcW w:w="338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500" w:type="dxa"/>
            <w:vAlign w:val="bottom"/>
            <w:tcBorders>
              <w:right w:val="single" w:sz="8" w:color="auto"/>
            </w:tcBorders>
            <w:shd w:val="clear" w:color="auto" w:fill="CCCCCC"/>
          </w:tcPr>
          <w:p>
            <w:pPr>
              <w:spacing w:after="0"/>
              <w:rPr>
                <w:sz w:val="21"/>
                <w:szCs w:val="21"/>
                <w:color w:val="auto"/>
              </w:rPr>
            </w:pPr>
          </w:p>
        </w:tc>
        <w:tc>
          <w:tcPr>
            <w:tcW w:w="1420" w:type="dxa"/>
            <w:vAlign w:val="bottom"/>
            <w:tcBorders>
              <w:right w:val="single" w:sz="8" w:color="auto"/>
            </w:tcBorders>
            <w:shd w:val="clear" w:color="auto" w:fill="CCCCCC"/>
          </w:tcPr>
          <w:p>
            <w:pPr>
              <w:spacing w:after="0"/>
              <w:rPr>
                <w:sz w:val="21"/>
                <w:szCs w:val="21"/>
                <w:color w:val="auto"/>
              </w:rPr>
            </w:pPr>
          </w:p>
        </w:tc>
        <w:tc>
          <w:tcPr>
            <w:tcW w:w="1540" w:type="dxa"/>
            <w:vAlign w:val="bottom"/>
            <w:tcBorders>
              <w:right w:val="single" w:sz="8" w:color="auto"/>
            </w:tcBorders>
            <w:shd w:val="clear" w:color="auto" w:fill="CCCCCC"/>
          </w:tcPr>
          <w:p>
            <w:pPr>
              <w:spacing w:after="0"/>
              <w:rPr>
                <w:sz w:val="21"/>
                <w:szCs w:val="21"/>
                <w:color w:val="auto"/>
              </w:rPr>
            </w:pPr>
          </w:p>
        </w:tc>
        <w:tc>
          <w:tcPr>
            <w:tcW w:w="2240" w:type="dxa"/>
            <w:vAlign w:val="bottom"/>
            <w:tcBorders>
              <w:right w:val="single" w:sz="8" w:color="auto"/>
            </w:tcBorders>
            <w:shd w:val="clear" w:color="auto" w:fill="CCCCCC"/>
          </w:tcPr>
          <w:p>
            <w:pPr>
              <w:spacing w:after="0"/>
              <w:rPr>
                <w:sz w:val="21"/>
                <w:szCs w:val="21"/>
                <w:color w:val="auto"/>
              </w:rPr>
            </w:pPr>
          </w:p>
        </w:tc>
      </w:tr>
      <w:tr>
        <w:trPr>
          <w:trHeight w:val="291"/>
        </w:trPr>
        <w:tc>
          <w:tcPr>
            <w:tcW w:w="338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500" w:type="dxa"/>
            <w:vAlign w:val="bottom"/>
            <w:tcBorders>
              <w:bottom w:val="single" w:sz="8" w:color="auto"/>
              <w:right w:val="single" w:sz="8" w:color="auto"/>
            </w:tcBorders>
            <w:shd w:val="clear" w:color="auto" w:fill="CCCCCC"/>
          </w:tcPr>
          <w:p>
            <w:pPr>
              <w:spacing w:after="0"/>
              <w:rPr>
                <w:sz w:val="24"/>
                <w:szCs w:val="24"/>
                <w:color w:val="auto"/>
              </w:rPr>
            </w:pPr>
          </w:p>
        </w:tc>
        <w:tc>
          <w:tcPr>
            <w:tcW w:w="1420" w:type="dxa"/>
            <w:vAlign w:val="bottom"/>
            <w:tcBorders>
              <w:bottom w:val="single" w:sz="8" w:color="auto"/>
              <w:right w:val="single" w:sz="8" w:color="auto"/>
            </w:tcBorders>
            <w:shd w:val="clear" w:color="auto" w:fill="CCCCCC"/>
          </w:tcPr>
          <w:p>
            <w:pPr>
              <w:spacing w:after="0"/>
              <w:rPr>
                <w:sz w:val="24"/>
                <w:szCs w:val="24"/>
                <w:color w:val="auto"/>
              </w:rPr>
            </w:pPr>
          </w:p>
        </w:tc>
        <w:tc>
          <w:tcPr>
            <w:tcW w:w="1540" w:type="dxa"/>
            <w:vAlign w:val="bottom"/>
            <w:tcBorders>
              <w:bottom w:val="single" w:sz="8" w:color="auto"/>
              <w:right w:val="single" w:sz="8" w:color="auto"/>
            </w:tcBorders>
            <w:shd w:val="clear" w:color="auto" w:fill="CCCCCC"/>
          </w:tcPr>
          <w:p>
            <w:pPr>
              <w:spacing w:after="0"/>
              <w:rPr>
                <w:sz w:val="24"/>
                <w:szCs w:val="24"/>
                <w:color w:val="auto"/>
              </w:rPr>
            </w:pPr>
          </w:p>
        </w:tc>
        <w:tc>
          <w:tcPr>
            <w:tcW w:w="224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38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Dyna Ten Corporation</w:t>
            </w:r>
          </w:p>
        </w:tc>
        <w:tc>
          <w:tcPr>
            <w:tcW w:w="15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3"/>
              </w:rPr>
              <w:t>Texas</w:t>
            </w:r>
          </w:p>
        </w:tc>
        <w:tc>
          <w:tcPr>
            <w:tcW w:w="14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2"/>
              </w:rPr>
              <w:t>Corporation</w:t>
            </w:r>
          </w:p>
        </w:tc>
        <w:tc>
          <w:tcPr>
            <w:tcW w:w="154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9"/>
              </w:rPr>
              <w:t>00523341-00</w:t>
            </w:r>
          </w:p>
        </w:tc>
        <w:tc>
          <w:tcPr>
            <w:tcW w:w="2240" w:type="dxa"/>
            <w:vAlign w:val="bottom"/>
            <w:tcBorders>
              <w:right w:val="single" w:sz="8" w:color="auto"/>
            </w:tcBorders>
          </w:tcPr>
          <w:p>
            <w:pPr>
              <w:spacing w:after="0"/>
              <w:rPr>
                <w:sz w:val="19"/>
                <w:szCs w:val="19"/>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4375 Diplomacy Road</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Fort Worth, TX 76155</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9"/>
              </w:rPr>
              <w:t>Dyna Ten Maintenance Systems,</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3"/>
              </w:rPr>
              <w:t>Texas</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800690724</w:t>
            </w:r>
          </w:p>
        </w:tc>
        <w:tc>
          <w:tcPr>
            <w:tcW w:w="2240" w:type="dxa"/>
            <w:vAlign w:val="bottom"/>
            <w:tcBorders>
              <w:right w:val="single" w:sz="8" w:color="auto"/>
            </w:tcBorders>
          </w:tcPr>
          <w:p>
            <w:pPr>
              <w:spacing w:after="0"/>
              <w:rPr>
                <w:sz w:val="18"/>
                <w:szCs w:val="18"/>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4375 Diplomacy Road</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Fort Worth, TX 76155</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Eastern Heating &amp; Cooling,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New York</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2240" w:type="dxa"/>
            <w:vAlign w:val="bottom"/>
            <w:tcBorders>
              <w:right w:val="single" w:sz="8" w:color="auto"/>
            </w:tcBorders>
          </w:tcPr>
          <w:p>
            <w:pPr>
              <w:spacing w:after="0"/>
              <w:rPr>
                <w:sz w:val="18"/>
                <w:szCs w:val="18"/>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880 Broadway</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Albany, NY 12207-1316</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Eastern Refrigeration Co.,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New York</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2240" w:type="dxa"/>
            <w:vAlign w:val="bottom"/>
            <w:tcBorders>
              <w:right w:val="single" w:sz="8" w:color="auto"/>
            </w:tcBorders>
          </w:tcPr>
          <w:p>
            <w:pPr>
              <w:spacing w:after="0"/>
              <w:rPr>
                <w:sz w:val="18"/>
                <w:szCs w:val="18"/>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880 Broadway</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Albany, NY 12207-1316</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Environmental Air Systems, LLC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North Carolina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1224823</w:t>
            </w:r>
          </w:p>
        </w:tc>
        <w:tc>
          <w:tcPr>
            <w:tcW w:w="22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EAS Holdings, LLC</w:t>
            </w: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521 Banner Avenue</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5"/>
              </w:rPr>
              <w:t>Greensboro, North Carolina 27401</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Envirotrol, LLC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North Carolina</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1227732</w:t>
            </w:r>
          </w:p>
        </w:tc>
        <w:tc>
          <w:tcPr>
            <w:tcW w:w="22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Envirotrol Holdings,</w:t>
            </w: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114 Landmark Drive</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LLC</w:t>
            </w: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5"/>
              </w:rPr>
              <w:t>Greensboro, North Carolina 27409</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Granite State Holdings Company,</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Delaware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4054936</w:t>
            </w:r>
          </w:p>
        </w:tc>
        <w:tc>
          <w:tcPr>
            <w:tcW w:w="2240" w:type="dxa"/>
            <w:vAlign w:val="bottom"/>
            <w:tcBorders>
              <w:right w:val="single" w:sz="8" w:color="auto"/>
            </w:tcBorders>
          </w:tcPr>
          <w:p>
            <w:pPr>
              <w:spacing w:after="0"/>
              <w:rPr>
                <w:sz w:val="18"/>
                <w:szCs w:val="18"/>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Inc.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17 Oil Mill Rd</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Weare, New Hampshire 03281</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6"/>
              </w:rPr>
              <w:t>Granite State Plumbing &amp; Heating,</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New Hampshire</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Limited</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382434</w:t>
            </w:r>
          </w:p>
        </w:tc>
        <w:tc>
          <w:tcPr>
            <w:tcW w:w="22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Delta Mechanical</w:t>
            </w: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17 Oil Mill Rd</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Weare, New Hampshire 03281</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215"/>
        </w:trPr>
        <w:tc>
          <w:tcPr>
            <w:tcW w:w="338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Helm Corporation</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Colorado</w:t>
            </w:r>
          </w:p>
        </w:tc>
        <w:tc>
          <w:tcPr>
            <w:tcW w:w="14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Corporation</w:t>
            </w: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19871249912</w:t>
            </w:r>
          </w:p>
        </w:tc>
        <w:tc>
          <w:tcPr>
            <w:tcW w:w="2240" w:type="dxa"/>
            <w:vAlign w:val="bottom"/>
            <w:tcBorders>
              <w:right w:val="single" w:sz="8" w:color="auto"/>
            </w:tcBorders>
          </w:tcPr>
          <w:p>
            <w:pPr>
              <w:spacing w:after="0"/>
              <w:rPr>
                <w:sz w:val="18"/>
                <w:szCs w:val="18"/>
                <w:color w:val="auto"/>
              </w:rPr>
            </w:pPr>
          </w:p>
        </w:tc>
      </w:tr>
      <w:tr>
        <w:trPr>
          <w:trHeight w:val="243"/>
        </w:trPr>
        <w:tc>
          <w:tcPr>
            <w:tcW w:w="338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675 Bering, Suite 400</w:t>
            </w:r>
          </w:p>
        </w:tc>
        <w:tc>
          <w:tcPr>
            <w:tcW w:w="1500" w:type="dxa"/>
            <w:vAlign w:val="bottom"/>
            <w:tcBorders>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2240" w:type="dxa"/>
            <w:vAlign w:val="bottom"/>
            <w:tcBorders>
              <w:right w:val="single" w:sz="8" w:color="auto"/>
            </w:tcBorders>
          </w:tcPr>
          <w:p>
            <w:pPr>
              <w:spacing w:after="0"/>
              <w:rPr>
                <w:sz w:val="21"/>
                <w:szCs w:val="21"/>
                <w:color w:val="auto"/>
              </w:rPr>
            </w:pPr>
          </w:p>
        </w:tc>
      </w:tr>
      <w:tr>
        <w:trPr>
          <w:trHeight w:val="265"/>
        </w:trPr>
        <w:tc>
          <w:tcPr>
            <w:tcW w:w="33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Houston, TX 77057</w:t>
            </w:r>
          </w:p>
        </w:tc>
        <w:tc>
          <w:tcPr>
            <w:tcW w:w="1500" w:type="dxa"/>
            <w:vAlign w:val="bottom"/>
            <w:tcBorders>
              <w:bottom w:val="single" w:sz="8" w:color="auto"/>
              <w:right w:val="single" w:sz="8" w:color="auto"/>
            </w:tcBorders>
          </w:tcPr>
          <w:p>
            <w:pPr>
              <w:spacing w:after="0"/>
              <w:rPr>
                <w:sz w:val="23"/>
                <w:szCs w:val="23"/>
                <w:color w:val="auto"/>
              </w:rPr>
            </w:pPr>
          </w:p>
        </w:tc>
        <w:tc>
          <w:tcPr>
            <w:tcW w:w="142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2240" w:type="dxa"/>
            <w:vAlign w:val="bottom"/>
            <w:tcBorders>
              <w:bottom w:val="single" w:sz="8" w:color="auto"/>
              <w:right w:val="single" w:sz="8" w:color="auto"/>
            </w:tcBorders>
          </w:tcPr>
          <w:p>
            <w:pPr>
              <w:spacing w:after="0"/>
              <w:rPr>
                <w:sz w:val="23"/>
                <w:szCs w:val="23"/>
                <w:color w:val="auto"/>
              </w:rPr>
            </w:pPr>
          </w:p>
        </w:tc>
      </w:tr>
      <w:tr>
        <w:trPr>
          <w:trHeight w:val="858"/>
        </w:trPr>
        <w:tc>
          <w:tcPr>
            <w:tcW w:w="3380" w:type="dxa"/>
            <w:vAlign w:val="bottom"/>
          </w:tcPr>
          <w:p>
            <w:pPr>
              <w:spacing w:after="0"/>
              <w:rPr>
                <w:sz w:val="24"/>
                <w:szCs w:val="24"/>
                <w:color w:val="auto"/>
              </w:rPr>
            </w:pPr>
          </w:p>
        </w:tc>
        <w:tc>
          <w:tcPr>
            <w:tcW w:w="4460" w:type="dxa"/>
            <w:vAlign w:val="bottom"/>
            <w:gridSpan w:val="3"/>
          </w:tcPr>
          <w:p>
            <w:pPr>
              <w:ind w:left="40"/>
              <w:spacing w:after="0"/>
              <w:rPr>
                <w:sz w:val="20"/>
                <w:szCs w:val="20"/>
                <w:color w:val="auto"/>
              </w:rPr>
            </w:pPr>
            <w:r>
              <w:rPr>
                <w:rFonts w:ascii="Arial" w:cs="Arial" w:eastAsia="Arial" w:hAnsi="Arial"/>
                <w:sz w:val="18"/>
                <w:szCs w:val="18"/>
                <w:color w:val="auto"/>
              </w:rPr>
              <w:t>Schedule III to Security Agreement – Page 7</w:t>
            </w:r>
          </w:p>
        </w:tc>
        <w:tc>
          <w:tcPr>
            <w:tcW w:w="2240" w:type="dxa"/>
            <w:vAlign w:val="bottom"/>
          </w:tcPr>
          <w:p>
            <w:pPr>
              <w:spacing w:after="0"/>
              <w:rPr>
                <w:sz w:val="24"/>
                <w:szCs w:val="24"/>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0" w:right="919" w:bottom="1440" w:gutter="0" w:footer="0" w:header="0"/>
        </w:sectPr>
      </w:pPr>
    </w:p>
    <w:bookmarkStart w:id="179" w:name="page180"/>
    <w:bookmarkEnd w:id="1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5"/>
              </w:rPr>
              <w:t>Grantor Official Name, Address</w:t>
            </w:r>
          </w:p>
        </w:tc>
        <w:tc>
          <w:tcPr>
            <w:tcW w:w="15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4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Entity Type</w:t>
            </w:r>
          </w:p>
        </w:tc>
        <w:tc>
          <w:tcPr>
            <w:tcW w:w="158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7"/>
              </w:rPr>
              <w:t>Charter/ID</w:t>
            </w:r>
          </w:p>
        </w:tc>
        <w:tc>
          <w:tcPr>
            <w:tcW w:w="2300" w:type="dxa"/>
            <w:vAlign w:val="bottom"/>
            <w:tcBorders>
              <w:top w:val="single" w:sz="8" w:color="auto"/>
              <w:right w:val="single" w:sz="8" w:color="auto"/>
            </w:tcBorders>
            <w:shd w:val="clear" w:color="auto" w:fill="CCCCCC"/>
          </w:tcPr>
          <w:p>
            <w:pPr>
              <w:ind w:left="140"/>
              <w:spacing w:after="0" w:line="243" w:lineRule="exact"/>
              <w:rPr>
                <w:sz w:val="20"/>
                <w:szCs w:val="20"/>
                <w:color w:val="auto"/>
              </w:rPr>
            </w:pPr>
            <w:r>
              <w:rPr>
                <w:rFonts w:ascii="Arial" w:cs="Arial" w:eastAsia="Arial" w:hAnsi="Arial"/>
                <w:sz w:val="22"/>
                <w:szCs w:val="22"/>
                <w:b w:val="1"/>
                <w:bCs w:val="1"/>
                <w:color w:val="auto"/>
                <w:w w:val="97"/>
              </w:rPr>
              <w:t>Prior Names &amp; Trade</w:t>
            </w:r>
          </w:p>
        </w:tc>
      </w:tr>
      <w:tr>
        <w:trPr>
          <w:trHeight w:val="243"/>
        </w:trPr>
        <w:tc>
          <w:tcPr>
            <w:tcW w:w="326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of</w:t>
            </w:r>
          </w:p>
        </w:tc>
        <w:tc>
          <w:tcPr>
            <w:tcW w:w="15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40" w:type="dxa"/>
            <w:vAlign w:val="bottom"/>
            <w:tcBorders>
              <w:right w:val="single" w:sz="8" w:color="auto"/>
            </w:tcBorders>
            <w:shd w:val="clear" w:color="auto" w:fill="CCCCCC"/>
          </w:tcPr>
          <w:p>
            <w:pPr>
              <w:spacing w:after="0"/>
              <w:rPr>
                <w:sz w:val="21"/>
                <w:szCs w:val="21"/>
                <w:color w:val="auto"/>
              </w:rPr>
            </w:pPr>
          </w:p>
        </w:tc>
        <w:tc>
          <w:tcPr>
            <w:tcW w:w="158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Number</w:t>
            </w:r>
          </w:p>
        </w:tc>
        <w:tc>
          <w:tcPr>
            <w:tcW w:w="2300" w:type="dxa"/>
            <w:vAlign w:val="bottom"/>
            <w:tcBorders>
              <w:right w:val="single" w:sz="8" w:color="auto"/>
            </w:tcBorders>
            <w:shd w:val="clear" w:color="auto" w:fill="CCCCCC"/>
          </w:tcPr>
          <w:p>
            <w:pPr>
              <w:ind w:left="820"/>
              <w:spacing w:after="0" w:line="243" w:lineRule="exact"/>
              <w:rPr>
                <w:sz w:val="20"/>
                <w:szCs w:val="20"/>
                <w:color w:val="auto"/>
              </w:rPr>
            </w:pPr>
            <w:r>
              <w:rPr>
                <w:rFonts w:ascii="Arial" w:cs="Arial" w:eastAsia="Arial" w:hAnsi="Arial"/>
                <w:sz w:val="22"/>
                <w:szCs w:val="22"/>
                <w:b w:val="1"/>
                <w:bCs w:val="1"/>
                <w:color w:val="auto"/>
              </w:rPr>
              <w:t>Names</w:t>
            </w:r>
          </w:p>
        </w:tc>
      </w:tr>
      <w:tr>
        <w:trPr>
          <w:trHeight w:val="243"/>
        </w:trPr>
        <w:tc>
          <w:tcPr>
            <w:tcW w:w="326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3"/>
              </w:rPr>
              <w:t>Principal Place of Business and</w:t>
            </w:r>
          </w:p>
        </w:tc>
        <w:tc>
          <w:tcPr>
            <w:tcW w:w="1500" w:type="dxa"/>
            <w:vAlign w:val="bottom"/>
            <w:tcBorders>
              <w:right w:val="single" w:sz="8" w:color="auto"/>
            </w:tcBorders>
            <w:shd w:val="clear" w:color="auto" w:fill="CCCCCC"/>
          </w:tcPr>
          <w:p>
            <w:pPr>
              <w:spacing w:after="0"/>
              <w:rPr>
                <w:sz w:val="21"/>
                <w:szCs w:val="21"/>
                <w:color w:val="auto"/>
              </w:rPr>
            </w:pPr>
          </w:p>
        </w:tc>
        <w:tc>
          <w:tcPr>
            <w:tcW w:w="1440" w:type="dxa"/>
            <w:vAlign w:val="bottom"/>
            <w:tcBorders>
              <w:right w:val="single" w:sz="8" w:color="auto"/>
            </w:tcBorders>
            <w:shd w:val="clear" w:color="auto" w:fill="CCCCCC"/>
          </w:tcPr>
          <w:p>
            <w:pPr>
              <w:spacing w:after="0"/>
              <w:rPr>
                <w:sz w:val="21"/>
                <w:szCs w:val="21"/>
                <w:color w:val="auto"/>
              </w:rPr>
            </w:pPr>
          </w:p>
        </w:tc>
        <w:tc>
          <w:tcPr>
            <w:tcW w:w="1580" w:type="dxa"/>
            <w:vAlign w:val="bottom"/>
            <w:tcBorders>
              <w:right w:val="single" w:sz="8" w:color="auto"/>
            </w:tcBorders>
            <w:shd w:val="clear" w:color="auto" w:fill="CCCCCC"/>
          </w:tcPr>
          <w:p>
            <w:pPr>
              <w:spacing w:after="0"/>
              <w:rPr>
                <w:sz w:val="21"/>
                <w:szCs w:val="21"/>
                <w:color w:val="auto"/>
              </w:rPr>
            </w:pPr>
          </w:p>
        </w:tc>
        <w:tc>
          <w:tcPr>
            <w:tcW w:w="2300" w:type="dxa"/>
            <w:vAlign w:val="bottom"/>
            <w:tcBorders>
              <w:right w:val="single" w:sz="8" w:color="auto"/>
            </w:tcBorders>
            <w:shd w:val="clear" w:color="auto" w:fill="CCCCCC"/>
          </w:tcPr>
          <w:p>
            <w:pPr>
              <w:spacing w:after="0"/>
              <w:rPr>
                <w:sz w:val="21"/>
                <w:szCs w:val="21"/>
                <w:color w:val="auto"/>
              </w:rPr>
            </w:pPr>
          </w:p>
        </w:tc>
      </w:tr>
      <w:tr>
        <w:trPr>
          <w:trHeight w:val="243"/>
        </w:trPr>
        <w:tc>
          <w:tcPr>
            <w:tcW w:w="326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500" w:type="dxa"/>
            <w:vAlign w:val="bottom"/>
            <w:tcBorders>
              <w:right w:val="single" w:sz="8" w:color="auto"/>
            </w:tcBorders>
            <w:shd w:val="clear" w:color="auto" w:fill="CCCCCC"/>
          </w:tcPr>
          <w:p>
            <w:pPr>
              <w:spacing w:after="0"/>
              <w:rPr>
                <w:sz w:val="21"/>
                <w:szCs w:val="21"/>
                <w:color w:val="auto"/>
              </w:rPr>
            </w:pPr>
          </w:p>
        </w:tc>
        <w:tc>
          <w:tcPr>
            <w:tcW w:w="1440" w:type="dxa"/>
            <w:vAlign w:val="bottom"/>
            <w:tcBorders>
              <w:right w:val="single" w:sz="8" w:color="auto"/>
            </w:tcBorders>
            <w:shd w:val="clear" w:color="auto" w:fill="CCCCCC"/>
          </w:tcPr>
          <w:p>
            <w:pPr>
              <w:spacing w:after="0"/>
              <w:rPr>
                <w:sz w:val="21"/>
                <w:szCs w:val="21"/>
                <w:color w:val="auto"/>
              </w:rPr>
            </w:pPr>
          </w:p>
        </w:tc>
        <w:tc>
          <w:tcPr>
            <w:tcW w:w="1580" w:type="dxa"/>
            <w:vAlign w:val="bottom"/>
            <w:tcBorders>
              <w:right w:val="single" w:sz="8" w:color="auto"/>
            </w:tcBorders>
            <w:shd w:val="clear" w:color="auto" w:fill="CCCCCC"/>
          </w:tcPr>
          <w:p>
            <w:pPr>
              <w:spacing w:after="0"/>
              <w:rPr>
                <w:sz w:val="21"/>
                <w:szCs w:val="21"/>
                <w:color w:val="auto"/>
              </w:rPr>
            </w:pPr>
          </w:p>
        </w:tc>
        <w:tc>
          <w:tcPr>
            <w:tcW w:w="2300" w:type="dxa"/>
            <w:vAlign w:val="bottom"/>
            <w:tcBorders>
              <w:right w:val="single" w:sz="8" w:color="auto"/>
            </w:tcBorders>
            <w:shd w:val="clear" w:color="auto" w:fill="CCCCCC"/>
          </w:tcPr>
          <w:p>
            <w:pPr>
              <w:spacing w:after="0"/>
              <w:rPr>
                <w:sz w:val="21"/>
                <w:szCs w:val="21"/>
                <w:color w:val="auto"/>
              </w:rPr>
            </w:pPr>
          </w:p>
        </w:tc>
      </w:tr>
      <w:tr>
        <w:trPr>
          <w:trHeight w:val="291"/>
        </w:trPr>
        <w:tc>
          <w:tcPr>
            <w:tcW w:w="326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500" w:type="dxa"/>
            <w:vAlign w:val="bottom"/>
            <w:tcBorders>
              <w:bottom w:val="single" w:sz="8" w:color="auto"/>
              <w:right w:val="single" w:sz="8" w:color="auto"/>
            </w:tcBorders>
            <w:shd w:val="clear" w:color="auto" w:fill="CCCCCC"/>
          </w:tcPr>
          <w:p>
            <w:pPr>
              <w:spacing w:after="0"/>
              <w:rPr>
                <w:sz w:val="24"/>
                <w:szCs w:val="24"/>
                <w:color w:val="auto"/>
              </w:rPr>
            </w:pPr>
          </w:p>
        </w:tc>
        <w:tc>
          <w:tcPr>
            <w:tcW w:w="1440" w:type="dxa"/>
            <w:vAlign w:val="bottom"/>
            <w:tcBorders>
              <w:bottom w:val="single" w:sz="8" w:color="auto"/>
              <w:right w:val="single" w:sz="8" w:color="auto"/>
            </w:tcBorders>
            <w:shd w:val="clear" w:color="auto" w:fill="CCCCCC"/>
          </w:tcPr>
          <w:p>
            <w:pPr>
              <w:spacing w:after="0"/>
              <w:rPr>
                <w:sz w:val="24"/>
                <w:szCs w:val="24"/>
                <w:color w:val="auto"/>
              </w:rPr>
            </w:pPr>
          </w:p>
        </w:tc>
        <w:tc>
          <w:tcPr>
            <w:tcW w:w="1580" w:type="dxa"/>
            <w:vAlign w:val="bottom"/>
            <w:tcBorders>
              <w:bottom w:val="single" w:sz="8" w:color="auto"/>
              <w:right w:val="single" w:sz="8" w:color="auto"/>
            </w:tcBorders>
            <w:shd w:val="clear" w:color="auto" w:fill="CCCCCC"/>
          </w:tcPr>
          <w:p>
            <w:pPr>
              <w:spacing w:after="0"/>
              <w:rPr>
                <w:sz w:val="24"/>
                <w:szCs w:val="24"/>
                <w:color w:val="auto"/>
              </w:rPr>
            </w:pPr>
          </w:p>
        </w:tc>
        <w:tc>
          <w:tcPr>
            <w:tcW w:w="230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26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Hess Mechanical, LLC</w:t>
            </w:r>
          </w:p>
        </w:tc>
        <w:tc>
          <w:tcPr>
            <w:tcW w:w="15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2"/>
              </w:rPr>
              <w:t>Maryland</w:t>
            </w:r>
          </w:p>
        </w:tc>
        <w:tc>
          <w:tcPr>
            <w:tcW w:w="144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5"/>
              </w:rPr>
              <w:t>Limited</w:t>
            </w:r>
          </w:p>
        </w:tc>
        <w:tc>
          <w:tcPr>
            <w:tcW w:w="158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8"/>
              </w:rPr>
              <w:t>2872661</w:t>
            </w:r>
          </w:p>
        </w:tc>
        <w:tc>
          <w:tcPr>
            <w:tcW w:w="2300" w:type="dxa"/>
            <w:vAlign w:val="bottom"/>
            <w:tcBorders>
              <w:right w:val="single" w:sz="8" w:color="auto"/>
            </w:tcBorders>
          </w:tcPr>
          <w:p>
            <w:pPr>
              <w:ind w:left="80"/>
              <w:spacing w:after="0" w:line="222" w:lineRule="exact"/>
              <w:rPr>
                <w:sz w:val="20"/>
                <w:szCs w:val="20"/>
                <w:color w:val="auto"/>
              </w:rPr>
            </w:pPr>
            <w:r>
              <w:rPr>
                <w:rFonts w:ascii="Arial" w:cs="Arial" w:eastAsia="Arial" w:hAnsi="Arial"/>
                <w:sz w:val="22"/>
                <w:szCs w:val="22"/>
                <w:color w:val="auto"/>
              </w:rPr>
              <w:t>Hess Mechanical</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9600 Fallard Court</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Corporation</w:t>
            </w:r>
          </w:p>
        </w:tc>
      </w:tr>
      <w:tr>
        <w:trPr>
          <w:trHeight w:val="265"/>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w w:val="96"/>
              </w:rPr>
              <w:t>Upper Marlboro, MD 20772-6703</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89"/>
              </w:rPr>
              <w:t>Mechanical Technical Services,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3"/>
              </w:rPr>
              <w:t>Texas</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801702874</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MTECH; ICON</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1720 Royston Lane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Plumbing, Heating &amp;</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Round Rock, TX 78664</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Air; Mtech-Icon; ICON</w:t>
            </w:r>
          </w:p>
        </w:tc>
      </w:tr>
      <w:tr>
        <w:trPr>
          <w:trHeight w:val="265"/>
        </w:trPr>
        <w:tc>
          <w:tcPr>
            <w:tcW w:w="326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Mechanical</w:t>
            </w: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MJ Mechanical Services,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Virginia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7"/>
              </w:rPr>
              <w:t>08122939</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JM State Refrigeration;</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95 Pirson Parkway</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Vastola Heating &amp; Air</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Tonawanda, New York 14150</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4"/>
              </w:rPr>
              <w:t>Conditioning; Northeast</w:t>
            </w:r>
          </w:p>
        </w:tc>
      </w:tr>
      <w:tr>
        <w:trPr>
          <w:trHeight w:val="265"/>
        </w:trPr>
        <w:tc>
          <w:tcPr>
            <w:tcW w:w="326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Mechanical</w:t>
            </w: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8"/>
              </w:rPr>
              <w:t>North American Mechanical,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Delaware</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2872663</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Masterson Plumbing</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4401 State Road 19</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Windsor, WI 53598</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3"/>
              </w:rPr>
              <w:t>Quality Air Heating &amp; Cooling,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Michigan</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233-444</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Control Logic</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3395 Kraft Avenue, SE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Grand Rapids, MI 49512</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Riddleberger Brothers,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Virginia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Corporation</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0081890</w:t>
            </w:r>
          </w:p>
        </w:tc>
        <w:tc>
          <w:tcPr>
            <w:tcW w:w="2300" w:type="dxa"/>
            <w:vAlign w:val="bottom"/>
            <w:tcBorders>
              <w:right w:val="single" w:sz="8" w:color="auto"/>
            </w:tcBorders>
          </w:tcPr>
          <w:p>
            <w:pPr>
              <w:spacing w:after="0"/>
              <w:rPr>
                <w:sz w:val="18"/>
                <w:szCs w:val="18"/>
                <w:color w:val="auto"/>
              </w:rPr>
            </w:pP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6127 S. Valley Pike</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Mount Crawford, VA 22841</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Royalaire Holdings, LLC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Florida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L17000064530</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Royalaire Holdings, Inc.</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101 Dunbar Ave, Suite D</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Oldsmar, FL 34677</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Company</w:t>
            </w: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Royalaire Mechanical Services,</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Florida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L17000064523</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Royalaire Mechanical</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Services, Inc.</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101 Dunbar Ave, Suite D</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Oldsmar, FL 34677</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215"/>
        </w:trPr>
        <w:tc>
          <w:tcPr>
            <w:tcW w:w="326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w w:val="95"/>
              </w:rPr>
              <w:t>Royalaire Mechanical Services II,</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Florida</w:t>
            </w:r>
          </w:p>
        </w:tc>
        <w:tc>
          <w:tcPr>
            <w:tcW w:w="14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5"/>
              </w:rPr>
              <w:t>Limited</w:t>
            </w:r>
          </w:p>
        </w:tc>
        <w:tc>
          <w:tcPr>
            <w:tcW w:w="15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0"/>
              </w:rPr>
              <w:t>L1000064517</w:t>
            </w:r>
          </w:p>
        </w:tc>
        <w:tc>
          <w:tcPr>
            <w:tcW w:w="230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Royalaire Mechanical</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LLC</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rPr>
              <w:t>Liability</w:t>
            </w: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Services II, Inc.</w:t>
            </w:r>
          </w:p>
        </w:tc>
      </w:tr>
      <w:tr>
        <w:trPr>
          <w:trHeight w:val="243"/>
        </w:trPr>
        <w:tc>
          <w:tcPr>
            <w:tcW w:w="326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101 Dunbar Ave, Suite D</w:t>
            </w:r>
          </w:p>
        </w:tc>
        <w:tc>
          <w:tcPr>
            <w:tcW w:w="150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Company</w:t>
            </w:r>
          </w:p>
        </w:tc>
        <w:tc>
          <w:tcPr>
            <w:tcW w:w="1580" w:type="dxa"/>
            <w:vAlign w:val="bottom"/>
            <w:tcBorders>
              <w:right w:val="single" w:sz="8" w:color="auto"/>
            </w:tcBorders>
          </w:tcPr>
          <w:p>
            <w:pPr>
              <w:spacing w:after="0"/>
              <w:rPr>
                <w:sz w:val="21"/>
                <w:szCs w:val="21"/>
                <w:color w:val="auto"/>
              </w:rPr>
            </w:pPr>
          </w:p>
        </w:tc>
        <w:tc>
          <w:tcPr>
            <w:tcW w:w="2300" w:type="dxa"/>
            <w:vAlign w:val="bottom"/>
            <w:tcBorders>
              <w:right w:val="single" w:sz="8" w:color="auto"/>
            </w:tcBorders>
          </w:tcPr>
          <w:p>
            <w:pPr>
              <w:spacing w:after="0"/>
              <w:rPr>
                <w:sz w:val="21"/>
                <w:szCs w:val="21"/>
                <w:color w:val="auto"/>
              </w:rPr>
            </w:pPr>
          </w:p>
        </w:tc>
      </w:tr>
      <w:tr>
        <w:trPr>
          <w:trHeight w:val="265"/>
        </w:trPr>
        <w:tc>
          <w:tcPr>
            <w:tcW w:w="3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Oldsmar, FL 34677</w:t>
            </w:r>
          </w:p>
        </w:tc>
        <w:tc>
          <w:tcPr>
            <w:tcW w:w="150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right w:val="single" w:sz="8" w:color="auto"/>
            </w:tcBorders>
          </w:tcPr>
          <w:p>
            <w:pPr>
              <w:spacing w:after="0"/>
              <w:rPr>
                <w:sz w:val="23"/>
                <w:szCs w:val="23"/>
                <w:color w:val="auto"/>
              </w:rPr>
            </w:pPr>
          </w:p>
        </w:tc>
        <w:tc>
          <w:tcPr>
            <w:tcW w:w="2300" w:type="dxa"/>
            <w:vAlign w:val="bottom"/>
            <w:tcBorders>
              <w:bottom w:val="single" w:sz="8" w:color="auto"/>
              <w:right w:val="single" w:sz="8" w:color="auto"/>
            </w:tcBorders>
          </w:tcPr>
          <w:p>
            <w:pPr>
              <w:spacing w:after="0"/>
              <w:rPr>
                <w:sz w:val="23"/>
                <w:szCs w:val="23"/>
                <w:color w:val="auto"/>
              </w:rPr>
            </w:pPr>
          </w:p>
        </w:tc>
      </w:tr>
      <w:tr>
        <w:trPr>
          <w:trHeight w:val="858"/>
        </w:trPr>
        <w:tc>
          <w:tcPr>
            <w:tcW w:w="3260" w:type="dxa"/>
            <w:vAlign w:val="bottom"/>
          </w:tcPr>
          <w:p>
            <w:pPr>
              <w:spacing w:after="0"/>
              <w:rPr>
                <w:sz w:val="24"/>
                <w:szCs w:val="24"/>
                <w:color w:val="auto"/>
              </w:rPr>
            </w:pPr>
          </w:p>
        </w:tc>
        <w:tc>
          <w:tcPr>
            <w:tcW w:w="4520" w:type="dxa"/>
            <w:vAlign w:val="bottom"/>
            <w:gridSpan w:val="3"/>
          </w:tcPr>
          <w:p>
            <w:pPr>
              <w:ind w:left="160"/>
              <w:spacing w:after="0"/>
              <w:rPr>
                <w:sz w:val="20"/>
                <w:szCs w:val="20"/>
                <w:color w:val="auto"/>
              </w:rPr>
            </w:pPr>
            <w:r>
              <w:rPr>
                <w:rFonts w:ascii="Arial" w:cs="Arial" w:eastAsia="Arial" w:hAnsi="Arial"/>
                <w:sz w:val="18"/>
                <w:szCs w:val="18"/>
                <w:color w:val="auto"/>
              </w:rPr>
              <w:t>Schedule III to Security Agreement – Page 8</w:t>
            </w:r>
          </w:p>
        </w:tc>
        <w:tc>
          <w:tcPr>
            <w:tcW w:w="2300" w:type="dxa"/>
            <w:vAlign w:val="bottom"/>
          </w:tcPr>
          <w:p>
            <w:pPr>
              <w:spacing w:after="0"/>
              <w:rPr>
                <w:sz w:val="24"/>
                <w:szCs w:val="24"/>
                <w:color w:val="auto"/>
              </w:rPr>
            </w:pPr>
          </w:p>
        </w:tc>
      </w:tr>
      <w:tr>
        <w:trPr>
          <w:trHeight w:val="129"/>
        </w:trPr>
        <w:tc>
          <w:tcPr>
            <w:tcW w:w="32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r>
    </w:tbl>
    <w:p>
      <w:pPr>
        <w:sectPr>
          <w:pgSz w:w="11900" w:h="16838" w:orient="portrait"/>
          <w:cols w:equalWidth="0" w:num="1">
            <w:col w:w="10080"/>
          </w:cols>
          <w:pgMar w:left="920" w:top="160" w:right="899" w:bottom="1440" w:gutter="0" w:footer="0" w:header="0"/>
        </w:sectPr>
      </w:pPr>
    </w:p>
    <w:bookmarkStart w:id="180" w:name="page181"/>
    <w:bookmarkEnd w:id="1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40" w:type="dxa"/>
            <w:vAlign w:val="bottom"/>
            <w:tcBorders>
              <w:top w:val="single" w:sz="8" w:color="auto"/>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0"/>
              </w:rPr>
              <w:t>Grantor Official Name, Address of</w:t>
            </w:r>
          </w:p>
        </w:tc>
        <w:tc>
          <w:tcPr>
            <w:tcW w:w="150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86"/>
              </w:rPr>
              <w:t>State of</w:t>
            </w:r>
          </w:p>
        </w:tc>
        <w:tc>
          <w:tcPr>
            <w:tcW w:w="1400" w:type="dxa"/>
            <w:vAlign w:val="bottom"/>
            <w:tcBorders>
              <w:top w:val="single" w:sz="8" w:color="auto"/>
              <w:right w:val="single" w:sz="8" w:color="auto"/>
            </w:tcBorders>
            <w:shd w:val="clear" w:color="auto" w:fill="CCCCCC"/>
          </w:tcPr>
          <w:p>
            <w:pPr>
              <w:ind w:left="140"/>
              <w:spacing w:after="0" w:line="243" w:lineRule="exact"/>
              <w:rPr>
                <w:sz w:val="20"/>
                <w:szCs w:val="20"/>
                <w:color w:val="auto"/>
              </w:rPr>
            </w:pPr>
            <w:r>
              <w:rPr>
                <w:rFonts w:ascii="Arial" w:cs="Arial" w:eastAsia="Arial" w:hAnsi="Arial"/>
                <w:sz w:val="22"/>
                <w:szCs w:val="22"/>
                <w:b w:val="1"/>
                <w:bCs w:val="1"/>
                <w:color w:val="auto"/>
              </w:rPr>
              <w:t>Entity Type</w:t>
            </w:r>
          </w:p>
        </w:tc>
        <w:tc>
          <w:tcPr>
            <w:tcW w:w="1460" w:type="dxa"/>
            <w:vAlign w:val="bottom"/>
            <w:tcBorders>
              <w:top w:val="single" w:sz="8" w:color="auto"/>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7"/>
              </w:rPr>
              <w:t>Charter/ID</w:t>
            </w:r>
          </w:p>
        </w:tc>
        <w:tc>
          <w:tcPr>
            <w:tcW w:w="2380" w:type="dxa"/>
            <w:vAlign w:val="bottom"/>
            <w:tcBorders>
              <w:top w:val="single" w:sz="8" w:color="auto"/>
              <w:right w:val="single" w:sz="8" w:color="auto"/>
            </w:tcBorders>
            <w:shd w:val="clear" w:color="auto" w:fill="CCCCCC"/>
          </w:tcPr>
          <w:p>
            <w:pPr>
              <w:ind w:left="160"/>
              <w:spacing w:after="0" w:line="243" w:lineRule="exact"/>
              <w:rPr>
                <w:sz w:val="20"/>
                <w:szCs w:val="20"/>
                <w:color w:val="auto"/>
              </w:rPr>
            </w:pPr>
            <w:r>
              <w:rPr>
                <w:rFonts w:ascii="Arial" w:cs="Arial" w:eastAsia="Arial" w:hAnsi="Arial"/>
                <w:sz w:val="22"/>
                <w:szCs w:val="22"/>
                <w:b w:val="1"/>
                <w:bCs w:val="1"/>
                <w:color w:val="auto"/>
              </w:rPr>
              <w:t>Prior Names &amp; Trade</w:t>
            </w:r>
          </w:p>
        </w:tc>
      </w:tr>
      <w:tr>
        <w:trPr>
          <w:trHeight w:val="243"/>
        </w:trPr>
        <w:tc>
          <w:tcPr>
            <w:tcW w:w="334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w w:val="96"/>
              </w:rPr>
              <w:t>Principal Place of Business and</w:t>
            </w:r>
          </w:p>
        </w:tc>
        <w:tc>
          <w:tcPr>
            <w:tcW w:w="150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0"/>
              </w:rPr>
              <w:t>Organization</w:t>
            </w:r>
          </w:p>
        </w:tc>
        <w:tc>
          <w:tcPr>
            <w:tcW w:w="1400" w:type="dxa"/>
            <w:vAlign w:val="bottom"/>
            <w:tcBorders>
              <w:right w:val="single" w:sz="8" w:color="auto"/>
            </w:tcBorders>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3"/>
              </w:rPr>
              <w:t>Number</w:t>
            </w:r>
          </w:p>
        </w:tc>
        <w:tc>
          <w:tcPr>
            <w:tcW w:w="2380" w:type="dxa"/>
            <w:vAlign w:val="bottom"/>
            <w:tcBorders>
              <w:right w:val="single" w:sz="8" w:color="auto"/>
            </w:tcBorders>
            <w:shd w:val="clear" w:color="auto" w:fill="CCCCCC"/>
          </w:tcPr>
          <w:p>
            <w:pPr>
              <w:ind w:left="860"/>
              <w:spacing w:after="0" w:line="243" w:lineRule="exact"/>
              <w:rPr>
                <w:sz w:val="20"/>
                <w:szCs w:val="20"/>
                <w:color w:val="auto"/>
              </w:rPr>
            </w:pPr>
            <w:r>
              <w:rPr>
                <w:rFonts w:ascii="Arial" w:cs="Arial" w:eastAsia="Arial" w:hAnsi="Arial"/>
                <w:sz w:val="22"/>
                <w:szCs w:val="22"/>
                <w:b w:val="1"/>
                <w:bCs w:val="1"/>
                <w:color w:val="auto"/>
              </w:rPr>
              <w:t>Names</w:t>
            </w:r>
          </w:p>
        </w:tc>
      </w:tr>
      <w:tr>
        <w:trPr>
          <w:trHeight w:val="243"/>
        </w:trPr>
        <w:tc>
          <w:tcPr>
            <w:tcW w:w="3340" w:type="dxa"/>
            <w:vAlign w:val="bottom"/>
            <w:tcBorders>
              <w:left w:val="single" w:sz="8" w:color="auto"/>
              <w:right w:val="single" w:sz="8" w:color="auto"/>
            </w:tcBorders>
            <w:shd w:val="clear" w:color="auto" w:fill="CCCCCC"/>
          </w:tcPr>
          <w:p>
            <w:pPr>
              <w:ind w:left="100"/>
              <w:spacing w:after="0" w:line="243" w:lineRule="exact"/>
              <w:rPr>
                <w:sz w:val="20"/>
                <w:szCs w:val="20"/>
                <w:color w:val="auto"/>
              </w:rPr>
            </w:pPr>
            <w:r>
              <w:rPr>
                <w:rFonts w:ascii="Arial" w:cs="Arial" w:eastAsia="Arial" w:hAnsi="Arial"/>
                <w:sz w:val="22"/>
                <w:szCs w:val="22"/>
                <w:b w:val="1"/>
                <w:bCs w:val="1"/>
                <w:color w:val="auto"/>
              </w:rPr>
              <w:t>Location of</w:t>
            </w:r>
          </w:p>
        </w:tc>
        <w:tc>
          <w:tcPr>
            <w:tcW w:w="1500" w:type="dxa"/>
            <w:vAlign w:val="bottom"/>
            <w:tcBorders>
              <w:right w:val="single" w:sz="8" w:color="auto"/>
            </w:tcBorders>
            <w:shd w:val="clear" w:color="auto" w:fill="CCCCCC"/>
          </w:tcPr>
          <w:p>
            <w:pPr>
              <w:spacing w:after="0"/>
              <w:rPr>
                <w:sz w:val="21"/>
                <w:szCs w:val="21"/>
                <w:color w:val="auto"/>
              </w:rPr>
            </w:pPr>
          </w:p>
        </w:tc>
        <w:tc>
          <w:tcPr>
            <w:tcW w:w="1400" w:type="dxa"/>
            <w:vAlign w:val="bottom"/>
            <w:tcBorders>
              <w:right w:val="single" w:sz="8" w:color="auto"/>
            </w:tcBorders>
            <w:shd w:val="clear" w:color="auto" w:fill="CCCCCC"/>
          </w:tcPr>
          <w:p>
            <w:pPr>
              <w:spacing w:after="0"/>
              <w:rPr>
                <w:sz w:val="21"/>
                <w:szCs w:val="21"/>
                <w:color w:val="auto"/>
              </w:rPr>
            </w:pPr>
          </w:p>
        </w:tc>
        <w:tc>
          <w:tcPr>
            <w:tcW w:w="1460" w:type="dxa"/>
            <w:vAlign w:val="bottom"/>
            <w:tcBorders>
              <w:right w:val="single" w:sz="8" w:color="auto"/>
            </w:tcBorders>
            <w:shd w:val="clear" w:color="auto" w:fill="CCCCCC"/>
          </w:tcPr>
          <w:p>
            <w:pPr>
              <w:spacing w:after="0"/>
              <w:rPr>
                <w:sz w:val="21"/>
                <w:szCs w:val="21"/>
                <w:color w:val="auto"/>
              </w:rPr>
            </w:pPr>
          </w:p>
        </w:tc>
        <w:tc>
          <w:tcPr>
            <w:tcW w:w="2380" w:type="dxa"/>
            <w:vAlign w:val="bottom"/>
            <w:tcBorders>
              <w:right w:val="single" w:sz="8" w:color="auto"/>
            </w:tcBorders>
            <w:shd w:val="clear" w:color="auto" w:fill="CCCCCC"/>
          </w:tcPr>
          <w:p>
            <w:pPr>
              <w:spacing w:after="0"/>
              <w:rPr>
                <w:sz w:val="21"/>
                <w:szCs w:val="21"/>
                <w:color w:val="auto"/>
              </w:rPr>
            </w:pPr>
          </w:p>
        </w:tc>
      </w:tr>
      <w:tr>
        <w:trPr>
          <w:trHeight w:val="291"/>
        </w:trPr>
        <w:tc>
          <w:tcPr>
            <w:tcW w:w="3340" w:type="dxa"/>
            <w:vAlign w:val="bottom"/>
            <w:tcBorders>
              <w:left w:val="single" w:sz="8" w:color="auto"/>
              <w:bottom w:val="single" w:sz="8" w:color="auto"/>
              <w:right w:val="single" w:sz="8" w:color="auto"/>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Records of Collateral</w:t>
            </w:r>
          </w:p>
        </w:tc>
        <w:tc>
          <w:tcPr>
            <w:tcW w:w="1500" w:type="dxa"/>
            <w:vAlign w:val="bottom"/>
            <w:tcBorders>
              <w:bottom w:val="single" w:sz="8" w:color="auto"/>
              <w:right w:val="single" w:sz="8" w:color="auto"/>
            </w:tcBorders>
            <w:shd w:val="clear" w:color="auto" w:fill="CCCCCC"/>
          </w:tcPr>
          <w:p>
            <w:pPr>
              <w:spacing w:after="0"/>
              <w:rPr>
                <w:sz w:val="24"/>
                <w:szCs w:val="24"/>
                <w:color w:val="auto"/>
              </w:rPr>
            </w:pPr>
          </w:p>
        </w:tc>
        <w:tc>
          <w:tcPr>
            <w:tcW w:w="1400" w:type="dxa"/>
            <w:vAlign w:val="bottom"/>
            <w:tcBorders>
              <w:bottom w:val="single" w:sz="8" w:color="auto"/>
              <w:right w:val="single" w:sz="8" w:color="auto"/>
            </w:tcBorders>
            <w:shd w:val="clear" w:color="auto" w:fill="CCCCCC"/>
          </w:tcPr>
          <w:p>
            <w:pPr>
              <w:spacing w:after="0"/>
              <w:rPr>
                <w:sz w:val="24"/>
                <w:szCs w:val="24"/>
                <w:color w:val="auto"/>
              </w:rPr>
            </w:pPr>
          </w:p>
        </w:tc>
        <w:tc>
          <w:tcPr>
            <w:tcW w:w="1460" w:type="dxa"/>
            <w:vAlign w:val="bottom"/>
            <w:tcBorders>
              <w:bottom w:val="single" w:sz="8" w:color="auto"/>
              <w:right w:val="single" w:sz="8" w:color="auto"/>
            </w:tcBorders>
            <w:shd w:val="clear" w:color="auto" w:fill="CCCCCC"/>
          </w:tcPr>
          <w:p>
            <w:pPr>
              <w:spacing w:after="0"/>
              <w:rPr>
                <w:sz w:val="24"/>
                <w:szCs w:val="24"/>
                <w:color w:val="auto"/>
              </w:rPr>
            </w:pPr>
          </w:p>
        </w:tc>
        <w:tc>
          <w:tcPr>
            <w:tcW w:w="2380" w:type="dxa"/>
            <w:vAlign w:val="bottom"/>
            <w:tcBorders>
              <w:bottom w:val="single" w:sz="8" w:color="auto"/>
              <w:right w:val="single" w:sz="8" w:color="auto"/>
            </w:tcBorders>
            <w:shd w:val="clear" w:color="auto" w:fill="CCCCCC"/>
          </w:tcPr>
          <w:p>
            <w:pPr>
              <w:spacing w:after="0"/>
              <w:rPr>
                <w:sz w:val="24"/>
                <w:szCs w:val="24"/>
                <w:color w:val="auto"/>
              </w:rPr>
            </w:pPr>
          </w:p>
        </w:tc>
      </w:tr>
      <w:tr>
        <w:trPr>
          <w:trHeight w:val="222"/>
        </w:trPr>
        <w:tc>
          <w:tcPr>
            <w:tcW w:w="3340" w:type="dxa"/>
            <w:vAlign w:val="bottom"/>
            <w:tcBorders>
              <w:left w:val="single" w:sz="8" w:color="auto"/>
              <w:right w:val="single" w:sz="8" w:color="auto"/>
            </w:tcBorders>
          </w:tcPr>
          <w:p>
            <w:pPr>
              <w:ind w:left="100"/>
              <w:spacing w:after="0" w:line="222" w:lineRule="exact"/>
              <w:rPr>
                <w:sz w:val="20"/>
                <w:szCs w:val="20"/>
                <w:color w:val="auto"/>
              </w:rPr>
            </w:pPr>
            <w:r>
              <w:rPr>
                <w:rFonts w:ascii="Arial" w:cs="Arial" w:eastAsia="Arial" w:hAnsi="Arial"/>
                <w:sz w:val="22"/>
                <w:szCs w:val="22"/>
                <w:color w:val="auto"/>
              </w:rPr>
              <w:t>S.I. Goldman Company, Inc.</w:t>
            </w:r>
          </w:p>
        </w:tc>
        <w:tc>
          <w:tcPr>
            <w:tcW w:w="150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92"/>
              </w:rPr>
              <w:t>Florida</w:t>
            </w:r>
          </w:p>
        </w:tc>
        <w:tc>
          <w:tcPr>
            <w:tcW w:w="1400" w:type="dxa"/>
            <w:vAlign w:val="bottom"/>
            <w:tcBorders>
              <w:right w:val="single" w:sz="8" w:color="auto"/>
            </w:tcBorders>
          </w:tcPr>
          <w:p>
            <w:pPr>
              <w:ind w:left="160"/>
              <w:spacing w:after="0" w:line="222" w:lineRule="exact"/>
              <w:rPr>
                <w:sz w:val="20"/>
                <w:szCs w:val="20"/>
                <w:color w:val="auto"/>
              </w:rPr>
            </w:pPr>
            <w:r>
              <w:rPr>
                <w:rFonts w:ascii="Arial" w:cs="Arial" w:eastAsia="Arial" w:hAnsi="Arial"/>
                <w:sz w:val="22"/>
                <w:szCs w:val="22"/>
                <w:color w:val="auto"/>
              </w:rPr>
              <w:t>Corporation</w:t>
            </w:r>
          </w:p>
        </w:tc>
        <w:tc>
          <w:tcPr>
            <w:tcW w:w="146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22"/>
                <w:szCs w:val="22"/>
                <w:color w:val="auto"/>
                <w:w w:val="89"/>
              </w:rPr>
              <w:t>515751</w:t>
            </w:r>
          </w:p>
        </w:tc>
        <w:tc>
          <w:tcPr>
            <w:tcW w:w="2380" w:type="dxa"/>
            <w:vAlign w:val="bottom"/>
            <w:tcBorders>
              <w:right w:val="single" w:sz="8" w:color="auto"/>
            </w:tcBorders>
          </w:tcPr>
          <w:p>
            <w:pPr>
              <w:spacing w:after="0"/>
              <w:rPr>
                <w:sz w:val="19"/>
                <w:szCs w:val="19"/>
                <w:color w:val="auto"/>
              </w:rPr>
            </w:pPr>
          </w:p>
        </w:tc>
      </w:tr>
      <w:tr>
        <w:trPr>
          <w:trHeight w:val="243"/>
        </w:trPr>
        <w:tc>
          <w:tcPr>
            <w:tcW w:w="334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799 Bennett Drive</w:t>
            </w: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r>
      <w:tr>
        <w:trPr>
          <w:trHeight w:val="265"/>
        </w:trPr>
        <w:tc>
          <w:tcPr>
            <w:tcW w:w="33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Longwood, FL 32750</w:t>
            </w:r>
          </w:p>
        </w:tc>
        <w:tc>
          <w:tcPr>
            <w:tcW w:w="150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r>
      <w:tr>
        <w:trPr>
          <w:trHeight w:val="215"/>
        </w:trPr>
        <w:tc>
          <w:tcPr>
            <w:tcW w:w="334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S.M. Lawrence Company,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2"/>
              </w:rPr>
              <w:t>Tennessee</w:t>
            </w:r>
          </w:p>
        </w:tc>
        <w:tc>
          <w:tcPr>
            <w:tcW w:w="140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2"/>
                <w:szCs w:val="22"/>
                <w:color w:val="auto"/>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000018143</w:t>
            </w:r>
          </w:p>
        </w:tc>
        <w:tc>
          <w:tcPr>
            <w:tcW w:w="23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 USA</w:t>
            </w:r>
          </w:p>
        </w:tc>
      </w:tr>
      <w:tr>
        <w:trPr>
          <w:trHeight w:val="243"/>
        </w:trPr>
        <w:tc>
          <w:tcPr>
            <w:tcW w:w="334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1330 Murfreesboro Pike</w:t>
            </w: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(Tennessee), Inc.;</w:t>
            </w:r>
          </w:p>
        </w:tc>
      </w:tr>
      <w:tr>
        <w:trPr>
          <w:trHeight w:val="243"/>
        </w:trPr>
        <w:tc>
          <w:tcPr>
            <w:tcW w:w="334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Nashville, Tennessee 37217</w:t>
            </w: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Dillingham &amp; Smith</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 and Sheet</w:t>
            </w:r>
          </w:p>
        </w:tc>
      </w:tr>
      <w:tr>
        <w:trPr>
          <w:trHeight w:val="265"/>
        </w:trPr>
        <w:tc>
          <w:tcPr>
            <w:tcW w:w="33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Metal Contractors, Inc.</w:t>
            </w:r>
          </w:p>
        </w:tc>
      </w:tr>
      <w:tr>
        <w:trPr>
          <w:trHeight w:val="215"/>
        </w:trPr>
        <w:tc>
          <w:tcPr>
            <w:tcW w:w="334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Seasonair,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2"/>
              </w:rPr>
              <w:t>Maryland</w:t>
            </w:r>
          </w:p>
        </w:tc>
        <w:tc>
          <w:tcPr>
            <w:tcW w:w="140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2"/>
                <w:szCs w:val="22"/>
                <w:color w:val="auto"/>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D0193599</w:t>
            </w:r>
          </w:p>
        </w:tc>
        <w:tc>
          <w:tcPr>
            <w:tcW w:w="2380" w:type="dxa"/>
            <w:vAlign w:val="bottom"/>
            <w:tcBorders>
              <w:right w:val="single" w:sz="8" w:color="auto"/>
            </w:tcBorders>
          </w:tcPr>
          <w:p>
            <w:pPr>
              <w:spacing w:after="0"/>
              <w:rPr>
                <w:sz w:val="18"/>
                <w:szCs w:val="18"/>
                <w:color w:val="auto"/>
              </w:rPr>
            </w:pPr>
          </w:p>
        </w:tc>
      </w:tr>
      <w:tr>
        <w:trPr>
          <w:trHeight w:val="243"/>
        </w:trPr>
        <w:tc>
          <w:tcPr>
            <w:tcW w:w="334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16001-A Industrial Drive</w:t>
            </w: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spacing w:after="0"/>
              <w:rPr>
                <w:sz w:val="21"/>
                <w:szCs w:val="21"/>
                <w:color w:val="auto"/>
              </w:rPr>
            </w:pPr>
          </w:p>
        </w:tc>
      </w:tr>
      <w:tr>
        <w:trPr>
          <w:trHeight w:val="265"/>
        </w:trPr>
        <w:tc>
          <w:tcPr>
            <w:tcW w:w="33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Gaithersburg, MD 20877</w:t>
            </w:r>
          </w:p>
        </w:tc>
        <w:tc>
          <w:tcPr>
            <w:tcW w:w="150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r>
      <w:tr>
        <w:trPr>
          <w:trHeight w:val="215"/>
        </w:trPr>
        <w:tc>
          <w:tcPr>
            <w:tcW w:w="334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ShoffnerKalthoff MES, Inc.3538,</w:t>
            </w:r>
          </w:p>
        </w:tc>
        <w:tc>
          <w:tcPr>
            <w:tcW w:w="15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2"/>
                <w:szCs w:val="22"/>
                <w:color w:val="auto"/>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000500444</w:t>
            </w:r>
          </w:p>
        </w:tc>
        <w:tc>
          <w:tcPr>
            <w:tcW w:w="23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Shoffner Acquisition</w:t>
            </w:r>
          </w:p>
        </w:tc>
      </w:tr>
      <w:tr>
        <w:trPr>
          <w:trHeight w:val="243"/>
        </w:trPr>
        <w:tc>
          <w:tcPr>
            <w:tcW w:w="334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3600 and 3626 Papermill Drive</w:t>
            </w: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Corp.; Shoffner</w:t>
            </w:r>
          </w:p>
        </w:tc>
      </w:tr>
      <w:tr>
        <w:trPr>
          <w:trHeight w:val="243"/>
        </w:trPr>
        <w:tc>
          <w:tcPr>
            <w:tcW w:w="334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Knoxville, Tennessee 37909</w:t>
            </w: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7"/>
              </w:rPr>
              <w:t>Mechanical, Industrial &amp;</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Service Company, Inc.;</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ShoffnerKalthoff</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 Electrical</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2"/>
              </w:rPr>
              <w:t>Tennessee</w:t>
            </w: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Service, Inc.; Shoffner</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 Services,</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Inc.; SKMES, Inc.;</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 Services of</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Knoxville, Inc.; Kalthoff</w:t>
            </w:r>
          </w:p>
        </w:tc>
      </w:tr>
      <w:tr>
        <w:trPr>
          <w:trHeight w:val="243"/>
        </w:trPr>
        <w:tc>
          <w:tcPr>
            <w:tcW w:w="3340" w:type="dxa"/>
            <w:vAlign w:val="bottom"/>
            <w:tcBorders>
              <w:left w:val="single" w:sz="8" w:color="auto"/>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Fabricators, Inc.;</w:t>
            </w:r>
          </w:p>
        </w:tc>
      </w:tr>
      <w:tr>
        <w:trPr>
          <w:trHeight w:val="265"/>
        </w:trPr>
        <w:tc>
          <w:tcPr>
            <w:tcW w:w="3340" w:type="dxa"/>
            <w:vAlign w:val="bottom"/>
            <w:tcBorders>
              <w:left w:val="single" w:sz="8" w:color="auto"/>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Kalthoff, Inc.</w:t>
            </w:r>
          </w:p>
        </w:tc>
      </w:tr>
      <w:tr>
        <w:trPr>
          <w:trHeight w:val="215"/>
        </w:trPr>
        <w:tc>
          <w:tcPr>
            <w:tcW w:w="3340" w:type="dxa"/>
            <w:vAlign w:val="bottom"/>
            <w:tcBorders>
              <w:left w:val="single" w:sz="8" w:color="auto"/>
              <w:right w:val="single" w:sz="8" w:color="auto"/>
            </w:tcBorders>
          </w:tcPr>
          <w:p>
            <w:pPr>
              <w:ind w:left="100"/>
              <w:spacing w:after="0" w:line="216" w:lineRule="exact"/>
              <w:rPr>
                <w:sz w:val="20"/>
                <w:szCs w:val="20"/>
                <w:color w:val="auto"/>
              </w:rPr>
            </w:pPr>
            <w:r>
              <w:rPr>
                <w:rFonts w:ascii="Arial" w:cs="Arial" w:eastAsia="Arial" w:hAnsi="Arial"/>
                <w:sz w:val="22"/>
                <w:szCs w:val="22"/>
                <w:color w:val="auto"/>
              </w:rPr>
              <w:t>Temp Right Service, Inc.</w:t>
            </w:r>
          </w:p>
        </w:tc>
        <w:tc>
          <w:tcPr>
            <w:tcW w:w="15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Delaware</w:t>
            </w:r>
          </w:p>
        </w:tc>
        <w:tc>
          <w:tcPr>
            <w:tcW w:w="140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22"/>
                <w:szCs w:val="22"/>
                <w:color w:val="auto"/>
              </w:rPr>
              <w:t>Corporation</w:t>
            </w:r>
          </w:p>
        </w:tc>
        <w:tc>
          <w:tcPr>
            <w:tcW w:w="14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2800213</w:t>
            </w:r>
          </w:p>
        </w:tc>
        <w:tc>
          <w:tcPr>
            <w:tcW w:w="238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Carson Brothers; KTU of</w:t>
            </w:r>
          </w:p>
        </w:tc>
      </w:tr>
      <w:tr>
        <w:trPr>
          <w:trHeight w:val="243"/>
        </w:trPr>
        <w:tc>
          <w:tcPr>
            <w:tcW w:w="3340" w:type="dxa"/>
            <w:vAlign w:val="bottom"/>
            <w:tcBorders>
              <w:left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5818 Sandpiper Dr</w:t>
            </w:r>
          </w:p>
        </w:tc>
        <w:tc>
          <w:tcPr>
            <w:tcW w:w="150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8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Spokane</w:t>
            </w:r>
          </w:p>
        </w:tc>
      </w:tr>
      <w:tr>
        <w:trPr>
          <w:trHeight w:val="265"/>
        </w:trPr>
        <w:tc>
          <w:tcPr>
            <w:tcW w:w="33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Missoula, Montana 59808</w:t>
            </w:r>
          </w:p>
        </w:tc>
        <w:tc>
          <w:tcPr>
            <w:tcW w:w="150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460" w:type="dxa"/>
            <w:vAlign w:val="bottom"/>
            <w:tcBorders>
              <w:bottom w:val="single" w:sz="8" w:color="auto"/>
              <w:right w:val="single" w:sz="8" w:color="auto"/>
            </w:tcBorders>
          </w:tcPr>
          <w:p>
            <w:pPr>
              <w:spacing w:after="0"/>
              <w:rPr>
                <w:sz w:val="23"/>
                <w:szCs w:val="23"/>
                <w:color w:val="auto"/>
              </w:rPr>
            </w:pPr>
          </w:p>
        </w:tc>
        <w:tc>
          <w:tcPr>
            <w:tcW w:w="2380" w:type="dxa"/>
            <w:vAlign w:val="bottom"/>
            <w:tcBorders>
              <w:bottom w:val="single" w:sz="8" w:color="auto"/>
              <w:right w:val="single" w:sz="8" w:color="auto"/>
            </w:tcBorders>
          </w:tcPr>
          <w:p>
            <w:pPr>
              <w:spacing w:after="0"/>
              <w:rPr>
                <w:sz w:val="23"/>
                <w:szCs w:val="23"/>
                <w:color w:val="auto"/>
              </w:rPr>
            </w:pPr>
          </w:p>
        </w:tc>
      </w:tr>
      <w:tr>
        <w:trPr>
          <w:trHeight w:val="858"/>
        </w:trPr>
        <w:tc>
          <w:tcPr>
            <w:tcW w:w="3340" w:type="dxa"/>
            <w:vAlign w:val="bottom"/>
          </w:tcPr>
          <w:p>
            <w:pPr>
              <w:spacing w:after="0"/>
              <w:rPr>
                <w:sz w:val="24"/>
                <w:szCs w:val="24"/>
                <w:color w:val="auto"/>
              </w:rPr>
            </w:pPr>
          </w:p>
        </w:tc>
        <w:tc>
          <w:tcPr>
            <w:tcW w:w="4360" w:type="dxa"/>
            <w:vAlign w:val="bottom"/>
            <w:gridSpan w:val="3"/>
          </w:tcPr>
          <w:p>
            <w:pPr>
              <w:ind w:left="80"/>
              <w:spacing w:after="0"/>
              <w:rPr>
                <w:sz w:val="20"/>
                <w:szCs w:val="20"/>
                <w:color w:val="auto"/>
              </w:rPr>
            </w:pPr>
            <w:r>
              <w:rPr>
                <w:rFonts w:ascii="Arial" w:cs="Arial" w:eastAsia="Arial" w:hAnsi="Arial"/>
                <w:sz w:val="18"/>
                <w:szCs w:val="18"/>
                <w:color w:val="auto"/>
              </w:rPr>
              <w:t>Schedule III to Security Agreement – Page 9</w:t>
            </w:r>
          </w:p>
        </w:tc>
        <w:tc>
          <w:tcPr>
            <w:tcW w:w="2380" w:type="dxa"/>
            <w:vAlign w:val="bottom"/>
          </w:tcPr>
          <w:p>
            <w:pPr>
              <w:spacing w:after="0"/>
              <w:rPr>
                <w:sz w:val="24"/>
                <w:szCs w:val="24"/>
                <w:color w:val="auto"/>
              </w:rPr>
            </w:pPr>
          </w:p>
        </w:tc>
      </w:tr>
      <w:tr>
        <w:trPr>
          <w:trHeight w:val="129"/>
        </w:trPr>
        <w:tc>
          <w:tcPr>
            <w:tcW w:w="3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r>
    </w:tbl>
    <w:p>
      <w:pPr>
        <w:sectPr>
          <w:pgSz w:w="11900" w:h="16838" w:orient="portrait"/>
          <w:cols w:equalWidth="0" w:num="1">
            <w:col w:w="10060"/>
          </w:cols>
          <w:pgMar w:left="920" w:top="120" w:right="919" w:bottom="1440" w:gutter="0" w:footer="0" w:header="0"/>
        </w:sectPr>
      </w:pPr>
    </w:p>
    <w:bookmarkStart w:id="181" w:name="page182"/>
    <w:bookmarkEnd w:id="181"/>
    <w:p>
      <w:pPr>
        <w:jc w:val="center"/>
        <w:spacing w:after="0"/>
        <w:rPr>
          <w:sz w:val="20"/>
          <w:szCs w:val="20"/>
          <w:color w:val="auto"/>
        </w:rPr>
      </w:pPr>
      <w:r>
        <w:rPr>
          <w:rFonts w:ascii="Arial" w:cs="Arial" w:eastAsia="Arial" w:hAnsi="Arial"/>
          <w:sz w:val="22"/>
          <w:szCs w:val="22"/>
          <w:b w:val="1"/>
          <w:bCs w:val="1"/>
          <w:color w:val="auto"/>
        </w:rPr>
        <w:t>SCHEDULE I</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SECOND AMENDED AND RESTATED PLEDGE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Part 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Pledged Shares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1940" w:type="dxa"/>
            <w:vAlign w:val="bottom"/>
            <w:tcBorders>
              <w:top w:val="single" w:sz="8" w:color="auto"/>
              <w:right w:val="single" w:sz="8" w:color="auto"/>
            </w:tcBorders>
            <w:shd w:val="clear" w:color="auto" w:fill="CCCCCC"/>
          </w:tcPr>
          <w:p>
            <w:pPr>
              <w:spacing w:after="0"/>
              <w:rPr>
                <w:sz w:val="19"/>
                <w:szCs w:val="19"/>
                <w:color w:val="auto"/>
              </w:rPr>
            </w:pPr>
          </w:p>
        </w:tc>
        <w:tc>
          <w:tcPr>
            <w:tcW w:w="1100" w:type="dxa"/>
            <w:vAlign w:val="bottom"/>
            <w:tcBorders>
              <w:top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w w:val="84"/>
              </w:rPr>
              <w:t>Class of</w:t>
            </w:r>
          </w:p>
        </w:tc>
        <w:tc>
          <w:tcPr>
            <w:tcW w:w="140" w:type="dxa"/>
            <w:vAlign w:val="bottom"/>
            <w:tcBorders>
              <w:top w:val="single" w:sz="8" w:color="auto"/>
              <w:right w:val="single" w:sz="8" w:color="auto"/>
            </w:tcBorders>
            <w:shd w:val="clear" w:color="auto" w:fill="CCCCCC"/>
          </w:tcPr>
          <w:p>
            <w:pPr>
              <w:spacing w:after="0"/>
              <w:rPr>
                <w:sz w:val="19"/>
                <w:szCs w:val="19"/>
                <w:color w:val="auto"/>
              </w:rPr>
            </w:pPr>
          </w:p>
        </w:tc>
        <w:tc>
          <w:tcPr>
            <w:tcW w:w="156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w w:val="83"/>
              </w:rPr>
              <w:t>Stock</w:t>
            </w:r>
          </w:p>
        </w:tc>
        <w:tc>
          <w:tcPr>
            <w:tcW w:w="1520" w:type="dxa"/>
            <w:vAlign w:val="bottom"/>
            <w:tcBorders>
              <w:top w:val="single" w:sz="8" w:color="auto"/>
              <w:right w:val="single" w:sz="8" w:color="auto"/>
            </w:tcBorders>
            <w:vMerge w:val="restart"/>
            <w:shd w:val="clear" w:color="auto" w:fill="CCCCCC"/>
          </w:tcPr>
          <w:p>
            <w:pPr>
              <w:ind w:left="240"/>
              <w:spacing w:after="0"/>
              <w:rPr>
                <w:sz w:val="20"/>
                <w:szCs w:val="20"/>
                <w:color w:val="auto"/>
              </w:rPr>
            </w:pPr>
            <w:r>
              <w:rPr>
                <w:rFonts w:ascii="Arial" w:cs="Arial" w:eastAsia="Arial" w:hAnsi="Arial"/>
                <w:sz w:val="22"/>
                <w:szCs w:val="22"/>
                <w:b w:val="1"/>
                <w:bCs w:val="1"/>
                <w:color w:val="auto"/>
              </w:rPr>
              <w:t>Number of</w:t>
            </w:r>
          </w:p>
        </w:tc>
        <w:tc>
          <w:tcPr>
            <w:tcW w:w="3380" w:type="dxa"/>
            <w:vAlign w:val="bottom"/>
            <w:tcBorders>
              <w:top w:val="single" w:sz="8" w:color="auto"/>
              <w:right w:val="single" w:sz="8" w:color="auto"/>
            </w:tcBorders>
            <w:vMerge w:val="restart"/>
            <w:shd w:val="clear" w:color="auto" w:fill="CCCCCC"/>
          </w:tcPr>
          <w:p>
            <w:pPr>
              <w:ind w:left="540"/>
              <w:spacing w:after="0"/>
              <w:rPr>
                <w:sz w:val="20"/>
                <w:szCs w:val="20"/>
                <w:color w:val="auto"/>
              </w:rPr>
            </w:pPr>
            <w:r>
              <w:rPr>
                <w:rFonts w:ascii="Arial" w:cs="Arial" w:eastAsia="Arial" w:hAnsi="Arial"/>
                <w:sz w:val="22"/>
                <w:szCs w:val="22"/>
                <w:b w:val="1"/>
                <w:bCs w:val="1"/>
                <w:color w:val="auto"/>
              </w:rPr>
              <w:t>Pledgor(s)/Percentage of</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restart"/>
            <w:shd w:val="clear" w:color="auto" w:fill="CCCCCC"/>
          </w:tcPr>
          <w:p>
            <w:pPr>
              <w:ind w:left="260"/>
              <w:spacing w:after="0" w:line="243" w:lineRule="exact"/>
              <w:rPr>
                <w:sz w:val="20"/>
                <w:szCs w:val="20"/>
                <w:color w:val="auto"/>
              </w:rPr>
            </w:pPr>
            <w:r>
              <w:rPr>
                <w:rFonts w:ascii="Arial" w:cs="Arial" w:eastAsia="Arial" w:hAnsi="Arial"/>
                <w:sz w:val="22"/>
                <w:szCs w:val="22"/>
                <w:b w:val="1"/>
                <w:bCs w:val="1"/>
                <w:color w:val="auto"/>
              </w:rPr>
              <w:t>Pledged Entity</w:t>
            </w:r>
          </w:p>
        </w:tc>
        <w:tc>
          <w:tcPr>
            <w:tcW w:w="1100" w:type="dxa"/>
            <w:vAlign w:val="bottom"/>
            <w:vMerge w:val="restart"/>
            <w:shd w:val="clear" w:color="auto" w:fill="CCCCCC"/>
          </w:tcPr>
          <w:p>
            <w:pPr>
              <w:jc w:val="center"/>
              <w:ind w:left="12"/>
              <w:spacing w:after="0" w:line="243" w:lineRule="exact"/>
              <w:rPr>
                <w:sz w:val="20"/>
                <w:szCs w:val="20"/>
                <w:color w:val="auto"/>
              </w:rPr>
            </w:pPr>
            <w:r>
              <w:rPr>
                <w:rFonts w:ascii="Arial" w:cs="Arial" w:eastAsia="Arial" w:hAnsi="Arial"/>
                <w:sz w:val="22"/>
                <w:szCs w:val="22"/>
                <w:b w:val="1"/>
                <w:bCs w:val="1"/>
                <w:color w:val="auto"/>
                <w:w w:val="90"/>
              </w:rPr>
              <w:t>Common</w:t>
            </w:r>
          </w:p>
        </w:tc>
        <w:tc>
          <w:tcPr>
            <w:tcW w:w="140" w:type="dxa"/>
            <w:vAlign w:val="bottom"/>
            <w:tcBorders>
              <w:right w:val="single" w:sz="8" w:color="auto"/>
            </w:tcBorders>
            <w:shd w:val="clear" w:color="auto" w:fill="CCCCCC"/>
          </w:tcPr>
          <w:p>
            <w:pPr>
              <w:spacing w:after="0"/>
              <w:rPr>
                <w:sz w:val="10"/>
                <w:szCs w:val="10"/>
                <w:color w:val="auto"/>
              </w:rPr>
            </w:pPr>
          </w:p>
        </w:tc>
        <w:tc>
          <w:tcPr>
            <w:tcW w:w="1560" w:type="dxa"/>
            <w:vAlign w:val="bottom"/>
            <w:tcBorders>
              <w:right w:val="single" w:sz="8" w:color="auto"/>
            </w:tcBorders>
            <w:vMerge w:val="restart"/>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Certificate</w:t>
            </w:r>
          </w:p>
        </w:tc>
        <w:tc>
          <w:tcPr>
            <w:tcW w:w="1520" w:type="dxa"/>
            <w:vAlign w:val="bottom"/>
            <w:tcBorders>
              <w:right w:val="single" w:sz="8" w:color="auto"/>
            </w:tcBorders>
            <w:vMerge w:val="continue"/>
            <w:shd w:val="clear" w:color="auto" w:fill="CCCCCC"/>
          </w:tcPr>
          <w:p>
            <w:pPr>
              <w:spacing w:after="0"/>
              <w:rPr>
                <w:sz w:val="10"/>
                <w:szCs w:val="10"/>
                <w:color w:val="auto"/>
              </w:rPr>
            </w:pPr>
          </w:p>
        </w:tc>
        <w:tc>
          <w:tcPr>
            <w:tcW w:w="338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continue"/>
            <w:shd w:val="clear" w:color="auto" w:fill="CCCCCC"/>
          </w:tcPr>
          <w:p>
            <w:pPr>
              <w:spacing w:after="0"/>
              <w:rPr>
                <w:sz w:val="10"/>
                <w:szCs w:val="10"/>
                <w:color w:val="auto"/>
              </w:rPr>
            </w:pPr>
          </w:p>
        </w:tc>
        <w:tc>
          <w:tcPr>
            <w:tcW w:w="1100" w:type="dxa"/>
            <w:vAlign w:val="bottom"/>
            <w:vMerge w:val="continue"/>
            <w:shd w:val="clear" w:color="auto" w:fill="CCCCCC"/>
          </w:tcPr>
          <w:p>
            <w:pPr>
              <w:spacing w:after="0"/>
              <w:rPr>
                <w:sz w:val="10"/>
                <w:szCs w:val="10"/>
                <w:color w:val="auto"/>
              </w:rPr>
            </w:pPr>
          </w:p>
        </w:tc>
        <w:tc>
          <w:tcPr>
            <w:tcW w:w="140" w:type="dxa"/>
            <w:vAlign w:val="bottom"/>
            <w:tcBorders>
              <w:right w:val="single" w:sz="8" w:color="auto"/>
            </w:tcBorders>
            <w:shd w:val="clear" w:color="auto" w:fill="CCCCCC"/>
          </w:tcPr>
          <w:p>
            <w:pPr>
              <w:spacing w:after="0"/>
              <w:rPr>
                <w:sz w:val="10"/>
                <w:szCs w:val="10"/>
                <w:color w:val="auto"/>
              </w:rPr>
            </w:pPr>
          </w:p>
        </w:tc>
        <w:tc>
          <w:tcPr>
            <w:tcW w:w="1560" w:type="dxa"/>
            <w:vAlign w:val="bottom"/>
            <w:tcBorders>
              <w:right w:val="single" w:sz="8" w:color="auto"/>
            </w:tcBorders>
            <w:vMerge w:val="continue"/>
            <w:shd w:val="clear" w:color="auto" w:fill="CCCCCC"/>
          </w:tcPr>
          <w:p>
            <w:pPr>
              <w:spacing w:after="0"/>
              <w:rPr>
                <w:sz w:val="10"/>
                <w:szCs w:val="10"/>
                <w:color w:val="auto"/>
              </w:rPr>
            </w:pPr>
          </w:p>
        </w:tc>
        <w:tc>
          <w:tcPr>
            <w:tcW w:w="1520" w:type="dxa"/>
            <w:vAlign w:val="bottom"/>
            <w:tcBorders>
              <w:right w:val="single" w:sz="8" w:color="auto"/>
            </w:tcBorders>
            <w:vMerge w:val="restart"/>
            <w:shd w:val="clear" w:color="auto" w:fill="CCCCCC"/>
          </w:tcPr>
          <w:p>
            <w:pPr>
              <w:ind w:left="440"/>
              <w:spacing w:after="0"/>
              <w:rPr>
                <w:sz w:val="20"/>
                <w:szCs w:val="20"/>
                <w:color w:val="auto"/>
              </w:rPr>
            </w:pPr>
            <w:r>
              <w:rPr>
                <w:rFonts w:ascii="Arial" w:cs="Arial" w:eastAsia="Arial" w:hAnsi="Arial"/>
                <w:sz w:val="22"/>
                <w:szCs w:val="22"/>
                <w:b w:val="1"/>
                <w:bCs w:val="1"/>
                <w:color w:val="auto"/>
              </w:rPr>
              <w:t>Shares</w:t>
            </w:r>
          </w:p>
        </w:tc>
        <w:tc>
          <w:tcPr>
            <w:tcW w:w="3380" w:type="dxa"/>
            <w:vAlign w:val="bottom"/>
            <w:tcBorders>
              <w:right w:val="single" w:sz="8" w:color="auto"/>
            </w:tcBorders>
            <w:vMerge w:val="restart"/>
            <w:shd w:val="clear" w:color="auto" w:fill="CCCCCC"/>
          </w:tcPr>
          <w:p>
            <w:pPr>
              <w:ind w:left="760"/>
              <w:spacing w:after="0"/>
              <w:rPr>
                <w:sz w:val="20"/>
                <w:szCs w:val="20"/>
                <w:color w:val="auto"/>
              </w:rPr>
            </w:pPr>
            <w:r>
              <w:rPr>
                <w:rFonts w:ascii="Arial" w:cs="Arial" w:eastAsia="Arial" w:hAnsi="Arial"/>
                <w:sz w:val="22"/>
                <w:szCs w:val="22"/>
                <w:b w:val="1"/>
                <w:bCs w:val="1"/>
                <w:color w:val="auto"/>
              </w:rPr>
              <w:t>Outstanding Shares</w:t>
            </w:r>
          </w:p>
        </w:tc>
        <w:tc>
          <w:tcPr>
            <w:tcW w:w="0" w:type="dxa"/>
            <w:vAlign w:val="bottom"/>
          </w:tcPr>
          <w:p>
            <w:pPr>
              <w:spacing w:after="0"/>
              <w:rPr>
                <w:sz w:val="1"/>
                <w:szCs w:val="1"/>
                <w:color w:val="auto"/>
              </w:rPr>
            </w:pPr>
          </w:p>
        </w:tc>
      </w:tr>
      <w:tr>
        <w:trPr>
          <w:trHeight w:val="159"/>
        </w:trPr>
        <w:tc>
          <w:tcPr>
            <w:tcW w:w="440" w:type="dxa"/>
            <w:vAlign w:val="bottom"/>
            <w:tcBorders>
              <w:left w:val="single" w:sz="8" w:color="auto"/>
              <w:right w:val="single" w:sz="8" w:color="auto"/>
            </w:tcBorders>
            <w:shd w:val="clear" w:color="auto" w:fill="CCCCCC"/>
          </w:tcPr>
          <w:p>
            <w:pPr>
              <w:spacing w:after="0"/>
              <w:rPr>
                <w:sz w:val="13"/>
                <w:szCs w:val="13"/>
                <w:color w:val="auto"/>
              </w:rPr>
            </w:pPr>
          </w:p>
        </w:tc>
        <w:tc>
          <w:tcPr>
            <w:tcW w:w="1940" w:type="dxa"/>
            <w:vAlign w:val="bottom"/>
            <w:tcBorders>
              <w:right w:val="single" w:sz="8" w:color="auto"/>
            </w:tcBorders>
            <w:shd w:val="clear" w:color="auto" w:fill="CCCCCC"/>
          </w:tcPr>
          <w:p>
            <w:pPr>
              <w:spacing w:after="0"/>
              <w:rPr>
                <w:sz w:val="13"/>
                <w:szCs w:val="13"/>
                <w:color w:val="auto"/>
              </w:rPr>
            </w:pPr>
          </w:p>
        </w:tc>
        <w:tc>
          <w:tcPr>
            <w:tcW w:w="1100" w:type="dxa"/>
            <w:vAlign w:val="bottom"/>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86"/>
              </w:rPr>
              <w:t>Stock</w:t>
            </w:r>
          </w:p>
        </w:tc>
        <w:tc>
          <w:tcPr>
            <w:tcW w:w="140" w:type="dxa"/>
            <w:vAlign w:val="bottom"/>
            <w:tcBorders>
              <w:right w:val="single" w:sz="8" w:color="auto"/>
            </w:tcBorders>
            <w:shd w:val="clear" w:color="auto" w:fill="CCCCCC"/>
          </w:tcPr>
          <w:p>
            <w:pPr>
              <w:spacing w:after="0"/>
              <w:rPr>
                <w:sz w:val="13"/>
                <w:szCs w:val="13"/>
                <w:color w:val="auto"/>
              </w:rPr>
            </w:pPr>
          </w:p>
        </w:tc>
        <w:tc>
          <w:tcPr>
            <w:tcW w:w="156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89"/>
              </w:rPr>
              <w:t>Number(s)</w:t>
            </w:r>
          </w:p>
        </w:tc>
        <w:tc>
          <w:tcPr>
            <w:tcW w:w="1520" w:type="dxa"/>
            <w:vAlign w:val="bottom"/>
            <w:tcBorders>
              <w:right w:val="single" w:sz="8" w:color="auto"/>
            </w:tcBorders>
            <w:vMerge w:val="continue"/>
            <w:shd w:val="clear" w:color="auto" w:fill="CCCCCC"/>
          </w:tcPr>
          <w:p>
            <w:pPr>
              <w:spacing w:after="0"/>
              <w:rPr>
                <w:sz w:val="13"/>
                <w:szCs w:val="13"/>
                <w:color w:val="auto"/>
              </w:rPr>
            </w:pPr>
          </w:p>
        </w:tc>
        <w:tc>
          <w:tcPr>
            <w:tcW w:w="3380" w:type="dxa"/>
            <w:vAlign w:val="bottom"/>
            <w:tcBorders>
              <w:right w:val="single" w:sz="8" w:color="auto"/>
            </w:tcBorders>
            <w:vMerge w:val="continue"/>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1940" w:type="dxa"/>
            <w:vAlign w:val="bottom"/>
            <w:tcBorders>
              <w:bottom w:val="single" w:sz="8" w:color="auto"/>
              <w:right w:val="single" w:sz="8" w:color="auto"/>
            </w:tcBorders>
            <w:shd w:val="clear" w:color="auto" w:fill="CCCCCC"/>
          </w:tcPr>
          <w:p>
            <w:pPr>
              <w:spacing w:after="0"/>
              <w:rPr>
                <w:sz w:val="9"/>
                <w:szCs w:val="9"/>
                <w:color w:val="auto"/>
              </w:rPr>
            </w:pPr>
          </w:p>
        </w:tc>
        <w:tc>
          <w:tcPr>
            <w:tcW w:w="1100" w:type="dxa"/>
            <w:vAlign w:val="bottom"/>
            <w:tcBorders>
              <w:bottom w:val="single" w:sz="8" w:color="auto"/>
            </w:tcBorders>
            <w:vMerge w:val="continue"/>
            <w:shd w:val="clear" w:color="auto" w:fill="CCCCCC"/>
          </w:tcPr>
          <w:p>
            <w:pPr>
              <w:spacing w:after="0"/>
              <w:rPr>
                <w:sz w:val="9"/>
                <w:szCs w:val="9"/>
                <w:color w:val="auto"/>
              </w:rPr>
            </w:pPr>
          </w:p>
        </w:tc>
        <w:tc>
          <w:tcPr>
            <w:tcW w:w="140" w:type="dxa"/>
            <w:vAlign w:val="bottom"/>
            <w:tcBorders>
              <w:bottom w:val="single" w:sz="8" w:color="auto"/>
              <w:right w:val="single" w:sz="8" w:color="auto"/>
            </w:tcBorders>
            <w:shd w:val="clear" w:color="auto" w:fill="CCCCCC"/>
          </w:tcPr>
          <w:p>
            <w:pPr>
              <w:spacing w:after="0"/>
              <w:rPr>
                <w:sz w:val="9"/>
                <w:szCs w:val="9"/>
                <w:color w:val="auto"/>
              </w:rPr>
            </w:pPr>
          </w:p>
        </w:tc>
        <w:tc>
          <w:tcPr>
            <w:tcW w:w="156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520" w:type="dxa"/>
            <w:vAlign w:val="bottom"/>
            <w:tcBorders>
              <w:bottom w:val="single" w:sz="8" w:color="auto"/>
              <w:right w:val="single" w:sz="8" w:color="auto"/>
            </w:tcBorders>
            <w:shd w:val="clear" w:color="auto" w:fill="CCCCCC"/>
          </w:tcPr>
          <w:p>
            <w:pPr>
              <w:spacing w:after="0"/>
              <w:rPr>
                <w:sz w:val="9"/>
                <w:szCs w:val="9"/>
                <w:color w:val="auto"/>
              </w:rPr>
            </w:pPr>
          </w:p>
        </w:tc>
        <w:tc>
          <w:tcPr>
            <w:tcW w:w="3380" w:type="dxa"/>
            <w:vAlign w:val="bottom"/>
            <w:tcBorders>
              <w:bottom w:val="single" w:sz="8" w:color="auto"/>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w:t>
            </w:r>
          </w:p>
        </w:tc>
        <w:tc>
          <w:tcPr>
            <w:tcW w:w="19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w w:val="92"/>
              </w:rPr>
              <w:t>Accu-Temp GP, Inc.</w:t>
            </w:r>
          </w:p>
        </w:tc>
        <w:tc>
          <w:tcPr>
            <w:tcW w:w="110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Common</w:t>
            </w: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CS1</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100</w:t>
            </w:r>
          </w:p>
        </w:tc>
        <w:tc>
          <w:tcPr>
            <w:tcW w:w="3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2.</w:t>
            </w:r>
          </w:p>
        </w:tc>
        <w:tc>
          <w:tcPr>
            <w:tcW w:w="19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w w:val="95"/>
              </w:rPr>
              <w:t>Accu-Temp LP, Inc.</w:t>
            </w:r>
          </w:p>
        </w:tc>
        <w:tc>
          <w:tcPr>
            <w:tcW w:w="110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Common</w:t>
            </w: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CS1</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100</w:t>
            </w:r>
          </w:p>
        </w:tc>
        <w:tc>
          <w:tcPr>
            <w:tcW w:w="3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3.</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ACI Mechanical,</w:t>
            </w:r>
          </w:p>
        </w:tc>
        <w:tc>
          <w:tcPr>
            <w:tcW w:w="1100" w:type="dxa"/>
            <w:vAlign w:val="bottom"/>
          </w:tcPr>
          <w:p>
            <w:pPr>
              <w:jc w:val="center"/>
              <w:spacing w:after="0" w:line="216" w:lineRule="exact"/>
              <w:rPr>
                <w:sz w:val="20"/>
                <w:szCs w:val="20"/>
                <w:color w:val="auto"/>
              </w:rPr>
            </w:pPr>
            <w:r>
              <w:rPr>
                <w:rFonts w:ascii="Arial" w:cs="Arial" w:eastAsia="Arial" w:hAnsi="Arial"/>
                <w:sz w:val="22"/>
                <w:szCs w:val="22"/>
                <w:color w:val="auto"/>
                <w:w w:val="89"/>
              </w:rPr>
              <w:t>Common</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4.</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Acorn Industrial,</w:t>
            </w:r>
          </w:p>
        </w:tc>
        <w:tc>
          <w:tcPr>
            <w:tcW w:w="1100" w:type="dxa"/>
            <w:vAlign w:val="bottom"/>
          </w:tcPr>
          <w:p>
            <w:pPr>
              <w:jc w:val="center"/>
              <w:spacing w:after="0" w:line="216" w:lineRule="exact"/>
              <w:rPr>
                <w:sz w:val="20"/>
                <w:szCs w:val="20"/>
                <w:color w:val="auto"/>
              </w:rPr>
            </w:pPr>
            <w:r>
              <w:rPr>
                <w:rFonts w:ascii="Arial" w:cs="Arial" w:eastAsia="Arial" w:hAnsi="Arial"/>
                <w:sz w:val="22"/>
                <w:szCs w:val="22"/>
                <w:color w:val="auto"/>
                <w:w w:val="89"/>
              </w:rPr>
              <w:t>Common</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member interest – Comfort</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Systems USA (MidAtlantic), LLC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5.</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Advance</w:t>
            </w:r>
          </w:p>
        </w:tc>
        <w:tc>
          <w:tcPr>
            <w:tcW w:w="1100" w:type="dxa"/>
            <w:vAlign w:val="bottom"/>
          </w:tcPr>
          <w:p>
            <w:pPr>
              <w:jc w:val="center"/>
              <w:spacing w:after="0" w:line="216" w:lineRule="exact"/>
              <w:rPr>
                <w:sz w:val="20"/>
                <w:szCs w:val="20"/>
                <w:color w:val="auto"/>
              </w:rPr>
            </w:pPr>
            <w:r>
              <w:rPr>
                <w:rFonts w:ascii="Arial" w:cs="Arial" w:eastAsia="Arial" w:hAnsi="Arial"/>
                <w:sz w:val="22"/>
                <w:szCs w:val="22"/>
                <w:color w:val="auto"/>
                <w:w w:val="89"/>
              </w:rPr>
              <w:t>Common</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1"/>
              </w:rPr>
              <w:t>1</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4,669</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 of shares owned by BCM</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Technology, 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Controls Corporation</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6.</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Air Systems</w:t>
            </w:r>
          </w:p>
        </w:tc>
        <w:tc>
          <w:tcPr>
            <w:tcW w:w="1100" w:type="dxa"/>
            <w:vAlign w:val="bottom"/>
          </w:tcPr>
          <w:p>
            <w:pPr>
              <w:jc w:val="center"/>
              <w:spacing w:after="0" w:line="216" w:lineRule="exact"/>
              <w:rPr>
                <w:sz w:val="20"/>
                <w:szCs w:val="20"/>
                <w:color w:val="auto"/>
              </w:rPr>
            </w:pPr>
            <w:r>
              <w:rPr>
                <w:rFonts w:ascii="Arial" w:cs="Arial" w:eastAsia="Arial" w:hAnsi="Arial"/>
                <w:sz w:val="22"/>
                <w:szCs w:val="22"/>
                <w:color w:val="auto"/>
                <w:w w:val="89"/>
              </w:rPr>
              <w:t>Common</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Engineering, 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7.</w:t>
            </w:r>
          </w:p>
        </w:tc>
        <w:tc>
          <w:tcPr>
            <w:tcW w:w="19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AIRTEMP, INC.</w:t>
            </w:r>
          </w:p>
        </w:tc>
        <w:tc>
          <w:tcPr>
            <w:tcW w:w="110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Common</w:t>
            </w: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CS1</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100</w:t>
            </w:r>
          </w:p>
        </w:tc>
        <w:tc>
          <w:tcPr>
            <w:tcW w:w="3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8.</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ARC Comfort</w:t>
            </w:r>
          </w:p>
        </w:tc>
        <w:tc>
          <w:tcPr>
            <w:tcW w:w="1100" w:type="dxa"/>
            <w:vAlign w:val="bottom"/>
          </w:tcPr>
          <w:p>
            <w:pPr>
              <w:jc w:val="center"/>
              <w:spacing w:after="0" w:line="216" w:lineRule="exact"/>
              <w:rPr>
                <w:sz w:val="20"/>
                <w:szCs w:val="20"/>
                <w:color w:val="auto"/>
              </w:rPr>
            </w:pPr>
            <w:r>
              <w:rPr>
                <w:rFonts w:ascii="Arial" w:cs="Arial" w:eastAsia="Arial" w:hAnsi="Arial"/>
                <w:sz w:val="22"/>
                <w:szCs w:val="22"/>
                <w:color w:val="auto"/>
                <w:w w:val="89"/>
              </w:rPr>
              <w:t>Common</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Systems USA, 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9.</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Arstectum, Inc.</w:t>
            </w:r>
          </w:p>
        </w:tc>
        <w:tc>
          <w:tcPr>
            <w:tcW w:w="1100" w:type="dxa"/>
            <w:vAlign w:val="bottom"/>
          </w:tcPr>
          <w:p>
            <w:pPr>
              <w:jc w:val="center"/>
              <w:spacing w:after="0" w:line="216" w:lineRule="exact"/>
              <w:rPr>
                <w:sz w:val="20"/>
                <w:szCs w:val="20"/>
                <w:color w:val="auto"/>
              </w:rPr>
            </w:pPr>
            <w:r>
              <w:rPr>
                <w:rFonts w:ascii="Arial" w:cs="Arial" w:eastAsia="Arial" w:hAnsi="Arial"/>
                <w:sz w:val="22"/>
                <w:szCs w:val="22"/>
                <w:color w:val="auto"/>
                <w:w w:val="89"/>
              </w:rPr>
              <w:t>Common</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1"/>
              </w:rPr>
              <w:t>1</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300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4"/>
              </w:rPr>
              <w:t>100% of shares owned by Advance</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Technology,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Atlas-Accurate</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rPr>
              <w:t>N/A</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 member interest – CS53</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L.L.C.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Acquisition Corp.</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11.</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Batchelor’s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rPr>
              <w:t>N/A</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member interest – Comfort</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Systems USA (Mid South),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Contractors, LLC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12.</w:t>
            </w:r>
          </w:p>
        </w:tc>
        <w:tc>
          <w:tcPr>
            <w:tcW w:w="19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w w:val="98"/>
              </w:rPr>
              <w:t>BCH Holdings, Inc.</w:t>
            </w:r>
          </w:p>
        </w:tc>
        <w:tc>
          <w:tcPr>
            <w:tcW w:w="1100" w:type="dxa"/>
            <w:vAlign w:val="bottom"/>
            <w:tcBorders>
              <w:bottom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Common</w:t>
            </w:r>
          </w:p>
        </w:tc>
        <w:tc>
          <w:tcPr>
            <w:tcW w:w="14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41</w:t>
            </w:r>
          </w:p>
        </w:tc>
        <w:tc>
          <w:tcPr>
            <w:tcW w:w="152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10,000,000</w:t>
            </w:r>
          </w:p>
        </w:tc>
        <w:tc>
          <w:tcPr>
            <w:tcW w:w="338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13.</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BCH Leasing, LLC</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rPr>
              <w:t>N/A</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14.</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BCH Mechanical,</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rPr>
              <w:t>N/A</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15.</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BCM Controls</w:t>
            </w:r>
          </w:p>
        </w:tc>
        <w:tc>
          <w:tcPr>
            <w:tcW w:w="1100" w:type="dxa"/>
            <w:vAlign w:val="bottom"/>
          </w:tcPr>
          <w:p>
            <w:pPr>
              <w:jc w:val="center"/>
              <w:spacing w:after="0" w:line="216" w:lineRule="exact"/>
              <w:rPr>
                <w:sz w:val="20"/>
                <w:szCs w:val="20"/>
                <w:color w:val="auto"/>
              </w:rPr>
            </w:pPr>
            <w:r>
              <w:rPr>
                <w:rFonts w:ascii="Arial" w:cs="Arial" w:eastAsia="Arial" w:hAnsi="Arial"/>
                <w:sz w:val="22"/>
                <w:szCs w:val="22"/>
                <w:color w:val="auto"/>
                <w:w w:val="89"/>
              </w:rPr>
              <w:t>Common</w:t>
            </w:r>
          </w:p>
        </w:tc>
        <w:tc>
          <w:tcPr>
            <w:tcW w:w="14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2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Corporation</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60" w:type="dxa"/>
            <w:vAlign w:val="bottom"/>
            <w:tcBorders>
              <w:bottom w:val="single" w:sz="8" w:color="auto"/>
              <w:right w:val="single" w:sz="8" w:color="auto"/>
            </w:tcBorders>
          </w:tcPr>
          <w:p>
            <w:pPr>
              <w:spacing w:after="0"/>
              <w:rPr>
                <w:sz w:val="23"/>
                <w:szCs w:val="23"/>
                <w:color w:val="auto"/>
              </w:rPr>
            </w:pPr>
          </w:p>
        </w:tc>
        <w:tc>
          <w:tcPr>
            <w:tcW w:w="152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20" w:type="dxa"/>
            <w:vAlign w:val="bottom"/>
            <w:gridSpan w:val="3"/>
          </w:tcPr>
          <w:p>
            <w:pPr>
              <w:ind w:left="60"/>
              <w:spacing w:after="0"/>
              <w:rPr>
                <w:sz w:val="20"/>
                <w:szCs w:val="20"/>
                <w:color w:val="auto"/>
              </w:rPr>
            </w:pPr>
            <w:r>
              <w:rPr>
                <w:rFonts w:ascii="Arial" w:cs="Arial" w:eastAsia="Arial" w:hAnsi="Arial"/>
                <w:sz w:val="18"/>
                <w:szCs w:val="18"/>
                <w:color w:val="auto"/>
                <w:w w:val="92"/>
              </w:rPr>
              <w:t>Schedule I to Pledge Agreement – Page 1</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12" w:right="919" w:bottom="1440" w:gutter="0" w:footer="0" w:header="0"/>
        </w:sectPr>
      </w:pPr>
    </w:p>
    <w:bookmarkStart w:id="182" w:name="page183"/>
    <w:bookmarkEnd w:id="18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1940" w:type="dxa"/>
            <w:vAlign w:val="bottom"/>
            <w:tcBorders>
              <w:top w:val="single" w:sz="8" w:color="auto"/>
              <w:right w:val="single" w:sz="8" w:color="auto"/>
            </w:tcBorders>
            <w:shd w:val="clear" w:color="auto" w:fill="CCCCCC"/>
          </w:tcPr>
          <w:p>
            <w:pPr>
              <w:spacing w:after="0"/>
              <w:rPr>
                <w:sz w:val="19"/>
                <w:szCs w:val="19"/>
                <w:color w:val="auto"/>
              </w:rPr>
            </w:pPr>
          </w:p>
        </w:tc>
        <w:tc>
          <w:tcPr>
            <w:tcW w:w="1100" w:type="dxa"/>
            <w:vAlign w:val="bottom"/>
            <w:tcBorders>
              <w:top w:val="single" w:sz="8" w:color="auto"/>
            </w:tcBorders>
            <w:shd w:val="clear" w:color="auto" w:fill="CCCCCC"/>
          </w:tcPr>
          <w:p>
            <w:pPr>
              <w:jc w:val="center"/>
              <w:ind w:left="32"/>
              <w:spacing w:after="0" w:line="229" w:lineRule="exact"/>
              <w:rPr>
                <w:sz w:val="20"/>
                <w:szCs w:val="20"/>
                <w:color w:val="auto"/>
              </w:rPr>
            </w:pPr>
            <w:r>
              <w:rPr>
                <w:rFonts w:ascii="Arial" w:cs="Arial" w:eastAsia="Arial" w:hAnsi="Arial"/>
                <w:sz w:val="22"/>
                <w:szCs w:val="22"/>
                <w:b w:val="1"/>
                <w:bCs w:val="1"/>
                <w:color w:val="auto"/>
                <w:w w:val="84"/>
              </w:rPr>
              <w:t>Class of</w:t>
            </w:r>
          </w:p>
        </w:tc>
        <w:tc>
          <w:tcPr>
            <w:tcW w:w="160" w:type="dxa"/>
            <w:vAlign w:val="bottom"/>
            <w:tcBorders>
              <w:top w:val="single" w:sz="8" w:color="auto"/>
              <w:right w:val="single" w:sz="8" w:color="auto"/>
            </w:tcBorders>
            <w:shd w:val="clear" w:color="auto" w:fill="CCCCCC"/>
          </w:tcPr>
          <w:p>
            <w:pPr>
              <w:spacing w:after="0"/>
              <w:rPr>
                <w:sz w:val="19"/>
                <w:szCs w:val="19"/>
                <w:color w:val="auto"/>
              </w:rPr>
            </w:pPr>
          </w:p>
        </w:tc>
        <w:tc>
          <w:tcPr>
            <w:tcW w:w="154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w w:val="86"/>
              </w:rPr>
              <w:t>Stock</w:t>
            </w:r>
          </w:p>
        </w:tc>
        <w:tc>
          <w:tcPr>
            <w:tcW w:w="1540" w:type="dxa"/>
            <w:vAlign w:val="bottom"/>
            <w:tcBorders>
              <w:top w:val="single" w:sz="8" w:color="auto"/>
              <w:right w:val="single" w:sz="8" w:color="auto"/>
            </w:tcBorders>
            <w:vMerge w:val="restart"/>
            <w:shd w:val="clear" w:color="auto" w:fill="CCCCCC"/>
          </w:tcPr>
          <w:p>
            <w:pPr>
              <w:ind w:left="260"/>
              <w:spacing w:after="0"/>
              <w:rPr>
                <w:sz w:val="20"/>
                <w:szCs w:val="20"/>
                <w:color w:val="auto"/>
              </w:rPr>
            </w:pPr>
            <w:r>
              <w:rPr>
                <w:rFonts w:ascii="Arial" w:cs="Arial" w:eastAsia="Arial" w:hAnsi="Arial"/>
                <w:sz w:val="22"/>
                <w:szCs w:val="22"/>
                <w:b w:val="1"/>
                <w:bCs w:val="1"/>
                <w:color w:val="auto"/>
              </w:rPr>
              <w:t>Number of</w:t>
            </w:r>
          </w:p>
        </w:tc>
        <w:tc>
          <w:tcPr>
            <w:tcW w:w="3360" w:type="dxa"/>
            <w:vAlign w:val="bottom"/>
            <w:tcBorders>
              <w:top w:val="single" w:sz="8" w:color="auto"/>
              <w:right w:val="single" w:sz="8" w:color="auto"/>
            </w:tcBorders>
            <w:vMerge w:val="restart"/>
            <w:shd w:val="clear" w:color="auto" w:fill="CCCCCC"/>
          </w:tcPr>
          <w:p>
            <w:pPr>
              <w:ind w:left="540"/>
              <w:spacing w:after="0"/>
              <w:rPr>
                <w:sz w:val="20"/>
                <w:szCs w:val="20"/>
                <w:color w:val="auto"/>
              </w:rPr>
            </w:pPr>
            <w:r>
              <w:rPr>
                <w:rFonts w:ascii="Arial" w:cs="Arial" w:eastAsia="Arial" w:hAnsi="Arial"/>
                <w:sz w:val="22"/>
                <w:szCs w:val="22"/>
                <w:b w:val="1"/>
                <w:bCs w:val="1"/>
                <w:color w:val="auto"/>
              </w:rPr>
              <w:t>Pledgor(s)/Percentage of</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restart"/>
            <w:shd w:val="clear" w:color="auto" w:fill="CCCCCC"/>
          </w:tcPr>
          <w:p>
            <w:pPr>
              <w:ind w:left="280"/>
              <w:spacing w:after="0" w:line="243" w:lineRule="exact"/>
              <w:rPr>
                <w:sz w:val="20"/>
                <w:szCs w:val="20"/>
                <w:color w:val="auto"/>
              </w:rPr>
            </w:pPr>
            <w:r>
              <w:rPr>
                <w:rFonts w:ascii="Arial" w:cs="Arial" w:eastAsia="Arial" w:hAnsi="Arial"/>
                <w:sz w:val="22"/>
                <w:szCs w:val="22"/>
                <w:b w:val="1"/>
                <w:bCs w:val="1"/>
                <w:color w:val="auto"/>
              </w:rPr>
              <w:t>Pledged Entity</w:t>
            </w:r>
          </w:p>
        </w:tc>
        <w:tc>
          <w:tcPr>
            <w:tcW w:w="1100" w:type="dxa"/>
            <w:vAlign w:val="bottom"/>
            <w:vMerge w:val="restart"/>
            <w:shd w:val="clear" w:color="auto" w:fill="CCCCCC"/>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Common</w:t>
            </w: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Certificate</w:t>
            </w: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336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continue"/>
            <w:shd w:val="clear" w:color="auto" w:fill="CCCCCC"/>
          </w:tcPr>
          <w:p>
            <w:pPr>
              <w:spacing w:after="0"/>
              <w:rPr>
                <w:sz w:val="10"/>
                <w:szCs w:val="10"/>
                <w:color w:val="auto"/>
              </w:rPr>
            </w:pPr>
          </w:p>
        </w:tc>
        <w:tc>
          <w:tcPr>
            <w:tcW w:w="1100" w:type="dxa"/>
            <w:vAlign w:val="bottom"/>
            <w:vMerge w:val="continue"/>
            <w:shd w:val="clear" w:color="auto" w:fill="CCCCCC"/>
          </w:tcPr>
          <w:p>
            <w:pPr>
              <w:spacing w:after="0"/>
              <w:rPr>
                <w:sz w:val="10"/>
                <w:szCs w:val="10"/>
                <w:color w:val="auto"/>
              </w:rPr>
            </w:pP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ind w:left="440"/>
              <w:spacing w:after="0"/>
              <w:rPr>
                <w:sz w:val="20"/>
                <w:szCs w:val="20"/>
                <w:color w:val="auto"/>
              </w:rPr>
            </w:pPr>
            <w:r>
              <w:rPr>
                <w:rFonts w:ascii="Arial" w:cs="Arial" w:eastAsia="Arial" w:hAnsi="Arial"/>
                <w:sz w:val="22"/>
                <w:szCs w:val="22"/>
                <w:b w:val="1"/>
                <w:bCs w:val="1"/>
                <w:color w:val="auto"/>
              </w:rPr>
              <w:t>Shares</w:t>
            </w:r>
          </w:p>
        </w:tc>
        <w:tc>
          <w:tcPr>
            <w:tcW w:w="3360" w:type="dxa"/>
            <w:vAlign w:val="bottom"/>
            <w:tcBorders>
              <w:right w:val="single" w:sz="8" w:color="auto"/>
            </w:tcBorders>
            <w:vMerge w:val="restart"/>
            <w:shd w:val="clear" w:color="auto" w:fill="CCCCCC"/>
          </w:tcPr>
          <w:p>
            <w:pPr>
              <w:ind w:left="760"/>
              <w:spacing w:after="0"/>
              <w:rPr>
                <w:sz w:val="20"/>
                <w:szCs w:val="20"/>
                <w:color w:val="auto"/>
              </w:rPr>
            </w:pPr>
            <w:r>
              <w:rPr>
                <w:rFonts w:ascii="Arial" w:cs="Arial" w:eastAsia="Arial" w:hAnsi="Arial"/>
                <w:sz w:val="22"/>
                <w:szCs w:val="22"/>
                <w:b w:val="1"/>
                <w:bCs w:val="1"/>
                <w:color w:val="auto"/>
              </w:rPr>
              <w:t>Outstanding Shares</w:t>
            </w:r>
          </w:p>
        </w:tc>
        <w:tc>
          <w:tcPr>
            <w:tcW w:w="0" w:type="dxa"/>
            <w:vAlign w:val="bottom"/>
          </w:tcPr>
          <w:p>
            <w:pPr>
              <w:spacing w:after="0"/>
              <w:rPr>
                <w:sz w:val="1"/>
                <w:szCs w:val="1"/>
                <w:color w:val="auto"/>
              </w:rPr>
            </w:pPr>
          </w:p>
        </w:tc>
      </w:tr>
      <w:tr>
        <w:trPr>
          <w:trHeight w:val="159"/>
        </w:trPr>
        <w:tc>
          <w:tcPr>
            <w:tcW w:w="440" w:type="dxa"/>
            <w:vAlign w:val="bottom"/>
            <w:tcBorders>
              <w:left w:val="single" w:sz="8" w:color="auto"/>
              <w:right w:val="single" w:sz="8" w:color="auto"/>
            </w:tcBorders>
            <w:shd w:val="clear" w:color="auto" w:fill="CCCCCC"/>
          </w:tcPr>
          <w:p>
            <w:pPr>
              <w:spacing w:after="0"/>
              <w:rPr>
                <w:sz w:val="13"/>
                <w:szCs w:val="13"/>
                <w:color w:val="auto"/>
              </w:rPr>
            </w:pPr>
          </w:p>
        </w:tc>
        <w:tc>
          <w:tcPr>
            <w:tcW w:w="1940" w:type="dxa"/>
            <w:vAlign w:val="bottom"/>
            <w:tcBorders>
              <w:right w:val="single" w:sz="8" w:color="auto"/>
            </w:tcBorders>
            <w:shd w:val="clear" w:color="auto" w:fill="CCCCCC"/>
          </w:tcPr>
          <w:p>
            <w:pPr>
              <w:spacing w:after="0"/>
              <w:rPr>
                <w:sz w:val="13"/>
                <w:szCs w:val="13"/>
                <w:color w:val="auto"/>
              </w:rPr>
            </w:pPr>
          </w:p>
        </w:tc>
        <w:tc>
          <w:tcPr>
            <w:tcW w:w="1100" w:type="dxa"/>
            <w:vAlign w:val="bottom"/>
            <w:vMerge w:val="restart"/>
            <w:shd w:val="clear" w:color="auto" w:fill="CCCCCC"/>
          </w:tcPr>
          <w:p>
            <w:pPr>
              <w:jc w:val="center"/>
              <w:ind w:left="32"/>
              <w:spacing w:after="0"/>
              <w:rPr>
                <w:sz w:val="20"/>
                <w:szCs w:val="20"/>
                <w:color w:val="auto"/>
              </w:rPr>
            </w:pPr>
            <w:r>
              <w:rPr>
                <w:rFonts w:ascii="Arial" w:cs="Arial" w:eastAsia="Arial" w:hAnsi="Arial"/>
                <w:sz w:val="22"/>
                <w:szCs w:val="22"/>
                <w:b w:val="1"/>
                <w:bCs w:val="1"/>
                <w:color w:val="auto"/>
                <w:w w:val="86"/>
              </w:rPr>
              <w:t>Stock</w:t>
            </w:r>
          </w:p>
        </w:tc>
        <w:tc>
          <w:tcPr>
            <w:tcW w:w="160" w:type="dxa"/>
            <w:vAlign w:val="bottom"/>
            <w:tcBorders>
              <w:right w:val="single" w:sz="8" w:color="auto"/>
            </w:tcBorders>
            <w:shd w:val="clear" w:color="auto" w:fill="CCCCCC"/>
          </w:tcPr>
          <w:p>
            <w:pPr>
              <w:spacing w:after="0"/>
              <w:rPr>
                <w:sz w:val="13"/>
                <w:szCs w:val="13"/>
                <w:color w:val="auto"/>
              </w:rPr>
            </w:pPr>
          </w:p>
        </w:tc>
        <w:tc>
          <w:tcPr>
            <w:tcW w:w="154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0"/>
              </w:rPr>
              <w:t>Number(s)</w:t>
            </w:r>
          </w:p>
        </w:tc>
        <w:tc>
          <w:tcPr>
            <w:tcW w:w="1540" w:type="dxa"/>
            <w:vAlign w:val="bottom"/>
            <w:tcBorders>
              <w:right w:val="single" w:sz="8" w:color="auto"/>
            </w:tcBorders>
            <w:vMerge w:val="continue"/>
            <w:shd w:val="clear" w:color="auto" w:fill="CCCCCC"/>
          </w:tcPr>
          <w:p>
            <w:pPr>
              <w:spacing w:after="0"/>
              <w:rPr>
                <w:sz w:val="13"/>
                <w:szCs w:val="13"/>
                <w:color w:val="auto"/>
              </w:rPr>
            </w:pPr>
          </w:p>
        </w:tc>
        <w:tc>
          <w:tcPr>
            <w:tcW w:w="3360" w:type="dxa"/>
            <w:vAlign w:val="bottom"/>
            <w:tcBorders>
              <w:right w:val="single" w:sz="8" w:color="auto"/>
            </w:tcBorders>
            <w:vMerge w:val="continue"/>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1940" w:type="dxa"/>
            <w:vAlign w:val="bottom"/>
            <w:tcBorders>
              <w:bottom w:val="single" w:sz="8" w:color="auto"/>
              <w:right w:val="single" w:sz="8" w:color="auto"/>
            </w:tcBorders>
            <w:shd w:val="clear" w:color="auto" w:fill="CCCCCC"/>
          </w:tcPr>
          <w:p>
            <w:pPr>
              <w:spacing w:after="0"/>
              <w:rPr>
                <w:sz w:val="9"/>
                <w:szCs w:val="9"/>
                <w:color w:val="auto"/>
              </w:rPr>
            </w:pPr>
          </w:p>
        </w:tc>
        <w:tc>
          <w:tcPr>
            <w:tcW w:w="1100" w:type="dxa"/>
            <w:vAlign w:val="bottom"/>
            <w:tcBorders>
              <w:bottom w:val="single" w:sz="8" w:color="auto"/>
            </w:tcBorders>
            <w:vMerge w:val="continue"/>
            <w:shd w:val="clear" w:color="auto" w:fill="CCCCCC"/>
          </w:tcPr>
          <w:p>
            <w:pPr>
              <w:spacing w:after="0"/>
              <w:rPr>
                <w:sz w:val="9"/>
                <w:szCs w:val="9"/>
                <w:color w:val="auto"/>
              </w:rPr>
            </w:pPr>
          </w:p>
        </w:tc>
        <w:tc>
          <w:tcPr>
            <w:tcW w:w="160" w:type="dxa"/>
            <w:vAlign w:val="bottom"/>
            <w:tcBorders>
              <w:bottom w:val="single" w:sz="8" w:color="auto"/>
              <w:right w:val="single" w:sz="8" w:color="auto"/>
            </w:tcBorders>
            <w:shd w:val="clear" w:color="auto" w:fill="CCCCCC"/>
          </w:tcPr>
          <w:p>
            <w:pPr>
              <w:spacing w:after="0"/>
              <w:rPr>
                <w:sz w:val="9"/>
                <w:szCs w:val="9"/>
                <w:color w:val="auto"/>
              </w:rPr>
            </w:pPr>
          </w:p>
        </w:tc>
        <w:tc>
          <w:tcPr>
            <w:tcW w:w="154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540" w:type="dxa"/>
            <w:vAlign w:val="bottom"/>
            <w:tcBorders>
              <w:bottom w:val="single" w:sz="8" w:color="auto"/>
              <w:right w:val="single" w:sz="8" w:color="auto"/>
            </w:tcBorders>
            <w:shd w:val="clear" w:color="auto" w:fill="CCCCCC"/>
          </w:tcPr>
          <w:p>
            <w:pPr>
              <w:spacing w:after="0"/>
              <w:rPr>
                <w:sz w:val="9"/>
                <w:szCs w:val="9"/>
                <w:color w:val="auto"/>
              </w:rPr>
            </w:pPr>
          </w:p>
        </w:tc>
        <w:tc>
          <w:tcPr>
            <w:tcW w:w="3360" w:type="dxa"/>
            <w:vAlign w:val="bottom"/>
            <w:tcBorders>
              <w:bottom w:val="single" w:sz="8" w:color="auto"/>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16.</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California Comfort</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Systems USA,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17.</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4"/>
              </w:rPr>
              <w:t>Century Mechanical</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9"/>
              </w:rPr>
              <w:t>20</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54</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6"/>
              </w:rPr>
              <w:t>100% of shares owned by Comfort</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Solutions, Inc.</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25</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51</w:t>
            </w: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Systems USA (Ohio), Inc.</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26</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25</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27</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25</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30</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60</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35</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54</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41</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25</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44</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25</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47</w:t>
            </w:r>
          </w:p>
        </w:tc>
        <w:tc>
          <w:tcPr>
            <w:tcW w:w="1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107</w:t>
            </w: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18.</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ColonialWebb</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Contractors</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19.</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(Arkansas),</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20.</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Hess</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(Baltimore),</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Mechanical, LLC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21.</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USA (Bristol),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22.</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Energy</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Services,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23.</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USA G.P.,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24.</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of membership interest –</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6"/>
              </w:rPr>
              <w:t>USA (Indiana), LLC</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Comfort Systems USA Strategic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Accounts, LLC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25.</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93"/>
              </w:rPr>
              <w:t>(Intermountain),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26.</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(Kentucky),</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gridSpan w:val="3"/>
          </w:tcPr>
          <w:p>
            <w:pPr>
              <w:ind w:left="60"/>
              <w:spacing w:after="0"/>
              <w:rPr>
                <w:sz w:val="20"/>
                <w:szCs w:val="20"/>
                <w:color w:val="auto"/>
              </w:rPr>
            </w:pPr>
            <w:r>
              <w:rPr>
                <w:rFonts w:ascii="Arial" w:cs="Arial" w:eastAsia="Arial" w:hAnsi="Arial"/>
                <w:sz w:val="18"/>
                <w:szCs w:val="18"/>
                <w:color w:val="auto"/>
                <w:w w:val="93"/>
              </w:rPr>
              <w:t>Schedule I to Pledge Agreement – Page 2</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83" w:name="page184"/>
    <w:bookmarkEnd w:id="1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1940" w:type="dxa"/>
            <w:vAlign w:val="bottom"/>
            <w:tcBorders>
              <w:top w:val="single" w:sz="8" w:color="auto"/>
              <w:right w:val="single" w:sz="8" w:color="auto"/>
            </w:tcBorders>
            <w:shd w:val="clear" w:color="auto" w:fill="CCCCCC"/>
          </w:tcPr>
          <w:p>
            <w:pPr>
              <w:spacing w:after="0"/>
              <w:rPr>
                <w:sz w:val="19"/>
                <w:szCs w:val="19"/>
                <w:color w:val="auto"/>
              </w:rPr>
            </w:pPr>
          </w:p>
        </w:tc>
        <w:tc>
          <w:tcPr>
            <w:tcW w:w="1100" w:type="dxa"/>
            <w:vAlign w:val="bottom"/>
            <w:tcBorders>
              <w:top w:val="single" w:sz="8" w:color="auto"/>
            </w:tcBorders>
            <w:shd w:val="clear" w:color="auto" w:fill="CCCCCC"/>
          </w:tcPr>
          <w:p>
            <w:pPr>
              <w:jc w:val="center"/>
              <w:ind w:left="12"/>
              <w:spacing w:after="0" w:line="229" w:lineRule="exact"/>
              <w:rPr>
                <w:sz w:val="20"/>
                <w:szCs w:val="20"/>
                <w:color w:val="auto"/>
              </w:rPr>
            </w:pPr>
            <w:r>
              <w:rPr>
                <w:rFonts w:ascii="Arial" w:cs="Arial" w:eastAsia="Arial" w:hAnsi="Arial"/>
                <w:sz w:val="22"/>
                <w:szCs w:val="22"/>
                <w:b w:val="1"/>
                <w:bCs w:val="1"/>
                <w:color w:val="auto"/>
                <w:w w:val="86"/>
              </w:rPr>
              <w:t>Class of</w:t>
            </w:r>
          </w:p>
        </w:tc>
        <w:tc>
          <w:tcPr>
            <w:tcW w:w="140" w:type="dxa"/>
            <w:vAlign w:val="bottom"/>
            <w:tcBorders>
              <w:top w:val="single" w:sz="8" w:color="auto"/>
              <w:right w:val="single" w:sz="8" w:color="auto"/>
            </w:tcBorders>
            <w:shd w:val="clear" w:color="auto" w:fill="CCCCCC"/>
          </w:tcPr>
          <w:p>
            <w:pPr>
              <w:spacing w:after="0"/>
              <w:rPr>
                <w:sz w:val="19"/>
                <w:szCs w:val="19"/>
                <w:color w:val="auto"/>
              </w:rPr>
            </w:pPr>
          </w:p>
        </w:tc>
        <w:tc>
          <w:tcPr>
            <w:tcW w:w="154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w w:val="86"/>
              </w:rPr>
              <w:t>Stock</w:t>
            </w:r>
          </w:p>
        </w:tc>
        <w:tc>
          <w:tcPr>
            <w:tcW w:w="1540" w:type="dxa"/>
            <w:vAlign w:val="bottom"/>
            <w:tcBorders>
              <w:top w:val="single" w:sz="8" w:color="auto"/>
              <w:right w:val="single" w:sz="8" w:color="auto"/>
            </w:tcBorders>
            <w:vMerge w:val="restart"/>
            <w:shd w:val="clear" w:color="auto" w:fill="CCCCCC"/>
          </w:tcPr>
          <w:p>
            <w:pPr>
              <w:ind w:left="260"/>
              <w:spacing w:after="0"/>
              <w:rPr>
                <w:sz w:val="20"/>
                <w:szCs w:val="20"/>
                <w:color w:val="auto"/>
              </w:rPr>
            </w:pPr>
            <w:r>
              <w:rPr>
                <w:rFonts w:ascii="Arial" w:cs="Arial" w:eastAsia="Arial" w:hAnsi="Arial"/>
                <w:sz w:val="22"/>
                <w:szCs w:val="22"/>
                <w:b w:val="1"/>
                <w:bCs w:val="1"/>
                <w:color w:val="auto"/>
              </w:rPr>
              <w:t>Number of</w:t>
            </w:r>
          </w:p>
        </w:tc>
        <w:tc>
          <w:tcPr>
            <w:tcW w:w="3380" w:type="dxa"/>
            <w:vAlign w:val="bottom"/>
            <w:tcBorders>
              <w:top w:val="single" w:sz="8" w:color="auto"/>
              <w:right w:val="single" w:sz="8" w:color="auto"/>
            </w:tcBorders>
            <w:vMerge w:val="restart"/>
            <w:shd w:val="clear" w:color="auto" w:fill="CCCCCC"/>
          </w:tcPr>
          <w:p>
            <w:pPr>
              <w:ind w:left="540"/>
              <w:spacing w:after="0"/>
              <w:rPr>
                <w:sz w:val="20"/>
                <w:szCs w:val="20"/>
                <w:color w:val="auto"/>
              </w:rPr>
            </w:pPr>
            <w:r>
              <w:rPr>
                <w:rFonts w:ascii="Arial" w:cs="Arial" w:eastAsia="Arial" w:hAnsi="Arial"/>
                <w:sz w:val="22"/>
                <w:szCs w:val="22"/>
                <w:b w:val="1"/>
                <w:bCs w:val="1"/>
                <w:color w:val="auto"/>
              </w:rPr>
              <w:t>Pledgor(s)/Percentage of</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restart"/>
            <w:shd w:val="clear" w:color="auto" w:fill="CCCCCC"/>
          </w:tcPr>
          <w:p>
            <w:pPr>
              <w:ind w:left="280"/>
              <w:spacing w:after="0" w:line="243" w:lineRule="exact"/>
              <w:rPr>
                <w:sz w:val="20"/>
                <w:szCs w:val="20"/>
                <w:color w:val="auto"/>
              </w:rPr>
            </w:pPr>
            <w:r>
              <w:rPr>
                <w:rFonts w:ascii="Arial" w:cs="Arial" w:eastAsia="Arial" w:hAnsi="Arial"/>
                <w:sz w:val="22"/>
                <w:szCs w:val="22"/>
                <w:b w:val="1"/>
                <w:bCs w:val="1"/>
                <w:color w:val="auto"/>
              </w:rPr>
              <w:t>Pledged Entity</w:t>
            </w:r>
          </w:p>
        </w:tc>
        <w:tc>
          <w:tcPr>
            <w:tcW w:w="1100" w:type="dxa"/>
            <w:vAlign w:val="bottom"/>
            <w:vMerge w:val="restart"/>
            <w:shd w:val="clear" w:color="auto" w:fill="CCCCCC"/>
          </w:tcPr>
          <w:p>
            <w:pPr>
              <w:jc w:val="center"/>
              <w:ind w:left="12"/>
              <w:spacing w:after="0" w:line="243" w:lineRule="exact"/>
              <w:rPr>
                <w:sz w:val="20"/>
                <w:szCs w:val="20"/>
                <w:color w:val="auto"/>
              </w:rPr>
            </w:pPr>
            <w:r>
              <w:rPr>
                <w:rFonts w:ascii="Arial" w:cs="Arial" w:eastAsia="Arial" w:hAnsi="Arial"/>
                <w:sz w:val="22"/>
                <w:szCs w:val="22"/>
                <w:b w:val="1"/>
                <w:bCs w:val="1"/>
                <w:color w:val="auto"/>
                <w:w w:val="90"/>
              </w:rPr>
              <w:t>Common</w:t>
            </w:r>
          </w:p>
        </w:tc>
        <w:tc>
          <w:tcPr>
            <w:tcW w:w="14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2"/>
              </w:rPr>
              <w:t>Certificate</w:t>
            </w: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338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continue"/>
            <w:shd w:val="clear" w:color="auto" w:fill="CCCCCC"/>
          </w:tcPr>
          <w:p>
            <w:pPr>
              <w:spacing w:after="0"/>
              <w:rPr>
                <w:sz w:val="10"/>
                <w:szCs w:val="10"/>
                <w:color w:val="auto"/>
              </w:rPr>
            </w:pPr>
          </w:p>
        </w:tc>
        <w:tc>
          <w:tcPr>
            <w:tcW w:w="1100" w:type="dxa"/>
            <w:vAlign w:val="bottom"/>
            <w:vMerge w:val="continue"/>
            <w:shd w:val="clear" w:color="auto" w:fill="CCCCCC"/>
          </w:tcPr>
          <w:p>
            <w:pPr>
              <w:spacing w:after="0"/>
              <w:rPr>
                <w:sz w:val="10"/>
                <w:szCs w:val="10"/>
                <w:color w:val="auto"/>
              </w:rPr>
            </w:pPr>
          </w:p>
        </w:tc>
        <w:tc>
          <w:tcPr>
            <w:tcW w:w="14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ind w:left="460"/>
              <w:spacing w:after="0"/>
              <w:rPr>
                <w:sz w:val="20"/>
                <w:szCs w:val="20"/>
                <w:color w:val="auto"/>
              </w:rPr>
            </w:pPr>
            <w:r>
              <w:rPr>
                <w:rFonts w:ascii="Arial" w:cs="Arial" w:eastAsia="Arial" w:hAnsi="Arial"/>
                <w:sz w:val="22"/>
                <w:szCs w:val="22"/>
                <w:b w:val="1"/>
                <w:bCs w:val="1"/>
                <w:color w:val="auto"/>
              </w:rPr>
              <w:t>Shares</w:t>
            </w:r>
          </w:p>
        </w:tc>
        <w:tc>
          <w:tcPr>
            <w:tcW w:w="3380" w:type="dxa"/>
            <w:vAlign w:val="bottom"/>
            <w:tcBorders>
              <w:right w:val="single" w:sz="8" w:color="auto"/>
            </w:tcBorders>
            <w:vMerge w:val="restart"/>
            <w:shd w:val="clear" w:color="auto" w:fill="CCCCCC"/>
          </w:tcPr>
          <w:p>
            <w:pPr>
              <w:ind w:left="760"/>
              <w:spacing w:after="0"/>
              <w:rPr>
                <w:sz w:val="20"/>
                <w:szCs w:val="20"/>
                <w:color w:val="auto"/>
              </w:rPr>
            </w:pPr>
            <w:r>
              <w:rPr>
                <w:rFonts w:ascii="Arial" w:cs="Arial" w:eastAsia="Arial" w:hAnsi="Arial"/>
                <w:sz w:val="22"/>
                <w:szCs w:val="22"/>
                <w:b w:val="1"/>
                <w:bCs w:val="1"/>
                <w:color w:val="auto"/>
              </w:rPr>
              <w:t>Outstanding Shares</w:t>
            </w:r>
          </w:p>
        </w:tc>
        <w:tc>
          <w:tcPr>
            <w:tcW w:w="0" w:type="dxa"/>
            <w:vAlign w:val="bottom"/>
          </w:tcPr>
          <w:p>
            <w:pPr>
              <w:spacing w:after="0"/>
              <w:rPr>
                <w:sz w:val="1"/>
                <w:szCs w:val="1"/>
                <w:color w:val="auto"/>
              </w:rPr>
            </w:pPr>
          </w:p>
        </w:tc>
      </w:tr>
      <w:tr>
        <w:trPr>
          <w:trHeight w:val="159"/>
        </w:trPr>
        <w:tc>
          <w:tcPr>
            <w:tcW w:w="440" w:type="dxa"/>
            <w:vAlign w:val="bottom"/>
            <w:tcBorders>
              <w:left w:val="single" w:sz="8" w:color="auto"/>
              <w:right w:val="single" w:sz="8" w:color="auto"/>
            </w:tcBorders>
            <w:shd w:val="clear" w:color="auto" w:fill="CCCCCC"/>
          </w:tcPr>
          <w:p>
            <w:pPr>
              <w:spacing w:after="0"/>
              <w:rPr>
                <w:sz w:val="13"/>
                <w:szCs w:val="13"/>
                <w:color w:val="auto"/>
              </w:rPr>
            </w:pPr>
          </w:p>
        </w:tc>
        <w:tc>
          <w:tcPr>
            <w:tcW w:w="1940" w:type="dxa"/>
            <w:vAlign w:val="bottom"/>
            <w:tcBorders>
              <w:right w:val="single" w:sz="8" w:color="auto"/>
            </w:tcBorders>
            <w:shd w:val="clear" w:color="auto" w:fill="CCCCCC"/>
          </w:tcPr>
          <w:p>
            <w:pPr>
              <w:spacing w:after="0"/>
              <w:rPr>
                <w:sz w:val="13"/>
                <w:szCs w:val="13"/>
                <w:color w:val="auto"/>
              </w:rPr>
            </w:pPr>
          </w:p>
        </w:tc>
        <w:tc>
          <w:tcPr>
            <w:tcW w:w="1100" w:type="dxa"/>
            <w:vAlign w:val="bottom"/>
            <w:vMerge w:val="restart"/>
            <w:shd w:val="clear" w:color="auto" w:fill="CCCCCC"/>
          </w:tcPr>
          <w:p>
            <w:pPr>
              <w:jc w:val="center"/>
              <w:ind w:left="12"/>
              <w:spacing w:after="0"/>
              <w:rPr>
                <w:sz w:val="20"/>
                <w:szCs w:val="20"/>
                <w:color w:val="auto"/>
              </w:rPr>
            </w:pPr>
            <w:r>
              <w:rPr>
                <w:rFonts w:ascii="Arial" w:cs="Arial" w:eastAsia="Arial" w:hAnsi="Arial"/>
                <w:sz w:val="22"/>
                <w:szCs w:val="22"/>
                <w:b w:val="1"/>
                <w:bCs w:val="1"/>
                <w:color w:val="auto"/>
                <w:w w:val="83"/>
              </w:rPr>
              <w:t>Stock</w:t>
            </w:r>
          </w:p>
        </w:tc>
        <w:tc>
          <w:tcPr>
            <w:tcW w:w="140" w:type="dxa"/>
            <w:vAlign w:val="bottom"/>
            <w:tcBorders>
              <w:right w:val="single" w:sz="8" w:color="auto"/>
            </w:tcBorders>
            <w:shd w:val="clear" w:color="auto" w:fill="CCCCCC"/>
          </w:tcPr>
          <w:p>
            <w:pPr>
              <w:spacing w:after="0"/>
              <w:rPr>
                <w:sz w:val="13"/>
                <w:szCs w:val="13"/>
                <w:color w:val="auto"/>
              </w:rPr>
            </w:pPr>
          </w:p>
        </w:tc>
        <w:tc>
          <w:tcPr>
            <w:tcW w:w="154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0"/>
              </w:rPr>
              <w:t>Number(s)</w:t>
            </w:r>
          </w:p>
        </w:tc>
        <w:tc>
          <w:tcPr>
            <w:tcW w:w="1540" w:type="dxa"/>
            <w:vAlign w:val="bottom"/>
            <w:tcBorders>
              <w:right w:val="single" w:sz="8" w:color="auto"/>
            </w:tcBorders>
            <w:vMerge w:val="continue"/>
            <w:shd w:val="clear" w:color="auto" w:fill="CCCCCC"/>
          </w:tcPr>
          <w:p>
            <w:pPr>
              <w:spacing w:after="0"/>
              <w:rPr>
                <w:sz w:val="13"/>
                <w:szCs w:val="13"/>
                <w:color w:val="auto"/>
              </w:rPr>
            </w:pPr>
          </w:p>
        </w:tc>
        <w:tc>
          <w:tcPr>
            <w:tcW w:w="3380" w:type="dxa"/>
            <w:vAlign w:val="bottom"/>
            <w:tcBorders>
              <w:right w:val="single" w:sz="8" w:color="auto"/>
            </w:tcBorders>
            <w:vMerge w:val="continue"/>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1940" w:type="dxa"/>
            <w:vAlign w:val="bottom"/>
            <w:tcBorders>
              <w:bottom w:val="single" w:sz="8" w:color="auto"/>
              <w:right w:val="single" w:sz="8" w:color="auto"/>
            </w:tcBorders>
            <w:shd w:val="clear" w:color="auto" w:fill="CCCCCC"/>
          </w:tcPr>
          <w:p>
            <w:pPr>
              <w:spacing w:after="0"/>
              <w:rPr>
                <w:sz w:val="9"/>
                <w:szCs w:val="9"/>
                <w:color w:val="auto"/>
              </w:rPr>
            </w:pPr>
          </w:p>
        </w:tc>
        <w:tc>
          <w:tcPr>
            <w:tcW w:w="1100" w:type="dxa"/>
            <w:vAlign w:val="bottom"/>
            <w:tcBorders>
              <w:bottom w:val="single" w:sz="8" w:color="auto"/>
            </w:tcBorders>
            <w:vMerge w:val="continue"/>
            <w:shd w:val="clear" w:color="auto" w:fill="CCCCCC"/>
          </w:tcPr>
          <w:p>
            <w:pPr>
              <w:spacing w:after="0"/>
              <w:rPr>
                <w:sz w:val="9"/>
                <w:szCs w:val="9"/>
                <w:color w:val="auto"/>
              </w:rPr>
            </w:pPr>
          </w:p>
        </w:tc>
        <w:tc>
          <w:tcPr>
            <w:tcW w:w="140" w:type="dxa"/>
            <w:vAlign w:val="bottom"/>
            <w:tcBorders>
              <w:bottom w:val="single" w:sz="8" w:color="auto"/>
              <w:right w:val="single" w:sz="8" w:color="auto"/>
            </w:tcBorders>
            <w:shd w:val="clear" w:color="auto" w:fill="CCCCCC"/>
          </w:tcPr>
          <w:p>
            <w:pPr>
              <w:spacing w:after="0"/>
              <w:rPr>
                <w:sz w:val="9"/>
                <w:szCs w:val="9"/>
                <w:color w:val="auto"/>
              </w:rPr>
            </w:pPr>
          </w:p>
        </w:tc>
        <w:tc>
          <w:tcPr>
            <w:tcW w:w="154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540" w:type="dxa"/>
            <w:vAlign w:val="bottom"/>
            <w:tcBorders>
              <w:bottom w:val="single" w:sz="8" w:color="auto"/>
              <w:right w:val="single" w:sz="8" w:color="auto"/>
            </w:tcBorders>
            <w:shd w:val="clear" w:color="auto" w:fill="CCCCCC"/>
          </w:tcPr>
          <w:p>
            <w:pPr>
              <w:spacing w:after="0"/>
              <w:rPr>
                <w:sz w:val="9"/>
                <w:szCs w:val="9"/>
                <w:color w:val="auto"/>
              </w:rPr>
            </w:pPr>
          </w:p>
        </w:tc>
        <w:tc>
          <w:tcPr>
            <w:tcW w:w="3380" w:type="dxa"/>
            <w:vAlign w:val="bottom"/>
            <w:tcBorders>
              <w:bottom w:val="single" w:sz="8" w:color="auto"/>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27.</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rPr>
              <w:t>N/A</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N/A</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 member interest –</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(MidAtlantic),</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Riddleberger Brothers,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28.</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rPr>
              <w:t>N/A</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N/A</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 member interest – ACI</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(Midwest),</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Mechanical,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29.</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(Mid South),</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30.</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(Northwest),</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2"/>
              </w:rPr>
              <w:t>Inc. (formerly known</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1"/>
              </w:rPr>
              <w:t>as Merit Mechanical,</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31.</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USA (Ohio), 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32.</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65</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6"/>
              </w:rPr>
              <w:t>65%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Puerto Rico,</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33.</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(South</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Central), 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34.</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(Southeast),</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35.</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(Southwest),</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36.</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98"/>
              </w:rPr>
              <w:t>N/A</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N/A</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 membership interest of Accu-</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USA Strategic</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Temp GP, Inc.</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Accounts, LLC</w:t>
            </w:r>
          </w:p>
        </w:tc>
        <w:tc>
          <w:tcPr>
            <w:tcW w:w="11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8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6"/>
              </w:rPr>
              <w:t>99% membership interest of Accu-</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Temp LP,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spacing w:after="0" w:line="216" w:lineRule="exact"/>
              <w:rPr>
                <w:sz w:val="20"/>
                <w:szCs w:val="20"/>
                <w:color w:val="auto"/>
              </w:rPr>
            </w:pPr>
            <w:r>
              <w:rPr>
                <w:rFonts w:ascii="Arial" w:cs="Arial" w:eastAsia="Arial" w:hAnsi="Arial"/>
                <w:sz w:val="22"/>
                <w:szCs w:val="22"/>
                <w:color w:val="auto"/>
              </w:rPr>
              <w:t>37.</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12"/>
              <w:spacing w:after="0" w:line="216" w:lineRule="exact"/>
              <w:rPr>
                <w:sz w:val="20"/>
                <w:szCs w:val="20"/>
                <w:color w:val="auto"/>
              </w:rPr>
            </w:pPr>
            <w:r>
              <w:rPr>
                <w:rFonts w:ascii="Arial" w:cs="Arial" w:eastAsia="Arial" w:hAnsi="Arial"/>
                <w:sz w:val="22"/>
                <w:szCs w:val="22"/>
                <w:color w:val="auto"/>
                <w:w w:val="91"/>
              </w:rPr>
              <w:t>Common</w:t>
            </w:r>
          </w:p>
        </w:tc>
        <w:tc>
          <w:tcPr>
            <w:tcW w:w="1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4"/>
              </w:rPr>
              <w:t>CS1</w:t>
            </w:r>
          </w:p>
        </w:tc>
        <w:tc>
          <w:tcPr>
            <w:tcW w:w="154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rPr>
              <w:t>100</w:t>
            </w:r>
          </w:p>
        </w:tc>
        <w:tc>
          <w:tcPr>
            <w:tcW w:w="338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w w:val="89"/>
              </w:rPr>
              <w:t>USA (Syracuse), Inc.</w:t>
            </w:r>
          </w:p>
        </w:tc>
        <w:tc>
          <w:tcPr>
            <w:tcW w:w="1100" w:type="dxa"/>
            <w:vAlign w:val="bottom"/>
            <w:tcBorders>
              <w:bottom w:val="single" w:sz="8" w:color="auto"/>
            </w:tcBorders>
          </w:tcPr>
          <w:p>
            <w:pPr>
              <w:spacing w:after="0"/>
              <w:rPr>
                <w:sz w:val="23"/>
                <w:szCs w:val="23"/>
                <w:color w:val="auto"/>
              </w:rPr>
            </w:pPr>
          </w:p>
        </w:tc>
        <w:tc>
          <w:tcPr>
            <w:tcW w:w="1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20" w:type="dxa"/>
            <w:vAlign w:val="bottom"/>
            <w:gridSpan w:val="3"/>
          </w:tcPr>
          <w:p>
            <w:pPr>
              <w:ind w:left="60"/>
              <w:spacing w:after="0"/>
              <w:rPr>
                <w:sz w:val="20"/>
                <w:szCs w:val="20"/>
                <w:color w:val="auto"/>
              </w:rPr>
            </w:pPr>
            <w:r>
              <w:rPr>
                <w:rFonts w:ascii="Arial" w:cs="Arial" w:eastAsia="Arial" w:hAnsi="Arial"/>
                <w:sz w:val="18"/>
                <w:szCs w:val="18"/>
                <w:color w:val="auto"/>
                <w:w w:val="92"/>
              </w:rPr>
              <w:t>Schedule I to Pledge Agreement – Page 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0" w:right="919" w:bottom="1440" w:gutter="0" w:footer="0" w:header="0"/>
        </w:sectPr>
      </w:pPr>
    </w:p>
    <w:bookmarkStart w:id="184" w:name="page185"/>
    <w:bookmarkEnd w:id="18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1940" w:type="dxa"/>
            <w:vAlign w:val="bottom"/>
            <w:tcBorders>
              <w:top w:val="single" w:sz="8" w:color="auto"/>
              <w:right w:val="single" w:sz="8" w:color="auto"/>
            </w:tcBorders>
            <w:shd w:val="clear" w:color="auto" w:fill="CCCCCC"/>
          </w:tcPr>
          <w:p>
            <w:pPr>
              <w:spacing w:after="0"/>
              <w:rPr>
                <w:sz w:val="19"/>
                <w:szCs w:val="19"/>
                <w:color w:val="auto"/>
              </w:rPr>
            </w:pPr>
          </w:p>
        </w:tc>
        <w:tc>
          <w:tcPr>
            <w:tcW w:w="1100" w:type="dxa"/>
            <w:vAlign w:val="bottom"/>
            <w:tcBorders>
              <w:top w:val="single" w:sz="8" w:color="auto"/>
            </w:tcBorders>
            <w:shd w:val="clear" w:color="auto" w:fill="CCCCCC"/>
          </w:tcPr>
          <w:p>
            <w:pPr>
              <w:jc w:val="center"/>
              <w:ind w:left="32"/>
              <w:spacing w:after="0" w:line="229" w:lineRule="exact"/>
              <w:rPr>
                <w:sz w:val="20"/>
                <w:szCs w:val="20"/>
                <w:color w:val="auto"/>
              </w:rPr>
            </w:pPr>
            <w:r>
              <w:rPr>
                <w:rFonts w:ascii="Arial" w:cs="Arial" w:eastAsia="Arial" w:hAnsi="Arial"/>
                <w:sz w:val="22"/>
                <w:szCs w:val="22"/>
                <w:b w:val="1"/>
                <w:bCs w:val="1"/>
                <w:color w:val="auto"/>
                <w:w w:val="84"/>
              </w:rPr>
              <w:t>Class of</w:t>
            </w:r>
          </w:p>
        </w:tc>
        <w:tc>
          <w:tcPr>
            <w:tcW w:w="160" w:type="dxa"/>
            <w:vAlign w:val="bottom"/>
            <w:tcBorders>
              <w:top w:val="single" w:sz="8" w:color="auto"/>
              <w:right w:val="single" w:sz="8" w:color="auto"/>
            </w:tcBorders>
            <w:shd w:val="clear" w:color="auto" w:fill="CCCCCC"/>
          </w:tcPr>
          <w:p>
            <w:pPr>
              <w:spacing w:after="0"/>
              <w:rPr>
                <w:sz w:val="19"/>
                <w:szCs w:val="19"/>
                <w:color w:val="auto"/>
              </w:rPr>
            </w:pPr>
          </w:p>
        </w:tc>
        <w:tc>
          <w:tcPr>
            <w:tcW w:w="154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w w:val="86"/>
              </w:rPr>
              <w:t>Stock</w:t>
            </w:r>
          </w:p>
        </w:tc>
        <w:tc>
          <w:tcPr>
            <w:tcW w:w="1540" w:type="dxa"/>
            <w:vAlign w:val="bottom"/>
            <w:tcBorders>
              <w:top w:val="single" w:sz="8" w:color="auto"/>
              <w:right w:val="single" w:sz="8" w:color="auto"/>
            </w:tcBorders>
            <w:vMerge w:val="restart"/>
            <w:shd w:val="clear" w:color="auto" w:fill="CCCCCC"/>
          </w:tcPr>
          <w:p>
            <w:pPr>
              <w:ind w:left="260"/>
              <w:spacing w:after="0"/>
              <w:rPr>
                <w:sz w:val="20"/>
                <w:szCs w:val="20"/>
                <w:color w:val="auto"/>
              </w:rPr>
            </w:pPr>
            <w:r>
              <w:rPr>
                <w:rFonts w:ascii="Arial" w:cs="Arial" w:eastAsia="Arial" w:hAnsi="Arial"/>
                <w:sz w:val="22"/>
                <w:szCs w:val="22"/>
                <w:b w:val="1"/>
                <w:bCs w:val="1"/>
                <w:color w:val="auto"/>
              </w:rPr>
              <w:t>Number of</w:t>
            </w:r>
          </w:p>
        </w:tc>
        <w:tc>
          <w:tcPr>
            <w:tcW w:w="3360" w:type="dxa"/>
            <w:vAlign w:val="bottom"/>
            <w:tcBorders>
              <w:top w:val="single" w:sz="8" w:color="auto"/>
              <w:right w:val="single" w:sz="8" w:color="auto"/>
            </w:tcBorders>
            <w:vMerge w:val="restart"/>
            <w:shd w:val="clear" w:color="auto" w:fill="CCCCCC"/>
          </w:tcPr>
          <w:p>
            <w:pPr>
              <w:ind w:left="540"/>
              <w:spacing w:after="0"/>
              <w:rPr>
                <w:sz w:val="20"/>
                <w:szCs w:val="20"/>
                <w:color w:val="auto"/>
              </w:rPr>
            </w:pPr>
            <w:r>
              <w:rPr>
                <w:rFonts w:ascii="Arial" w:cs="Arial" w:eastAsia="Arial" w:hAnsi="Arial"/>
                <w:sz w:val="22"/>
                <w:szCs w:val="22"/>
                <w:b w:val="1"/>
                <w:bCs w:val="1"/>
                <w:color w:val="auto"/>
              </w:rPr>
              <w:t>Pledgor(s)/Percentage of</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restart"/>
            <w:shd w:val="clear" w:color="auto" w:fill="CCCCCC"/>
          </w:tcPr>
          <w:p>
            <w:pPr>
              <w:ind w:left="280"/>
              <w:spacing w:after="0" w:line="243" w:lineRule="exact"/>
              <w:rPr>
                <w:sz w:val="20"/>
                <w:szCs w:val="20"/>
                <w:color w:val="auto"/>
              </w:rPr>
            </w:pPr>
            <w:r>
              <w:rPr>
                <w:rFonts w:ascii="Arial" w:cs="Arial" w:eastAsia="Arial" w:hAnsi="Arial"/>
                <w:sz w:val="22"/>
                <w:szCs w:val="22"/>
                <w:b w:val="1"/>
                <w:bCs w:val="1"/>
                <w:color w:val="auto"/>
              </w:rPr>
              <w:t>Pledged Entity</w:t>
            </w:r>
          </w:p>
        </w:tc>
        <w:tc>
          <w:tcPr>
            <w:tcW w:w="1100" w:type="dxa"/>
            <w:vAlign w:val="bottom"/>
            <w:vMerge w:val="restart"/>
            <w:shd w:val="clear" w:color="auto" w:fill="CCCCCC"/>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Common</w:t>
            </w: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Certificate</w:t>
            </w: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336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continue"/>
            <w:shd w:val="clear" w:color="auto" w:fill="CCCCCC"/>
          </w:tcPr>
          <w:p>
            <w:pPr>
              <w:spacing w:after="0"/>
              <w:rPr>
                <w:sz w:val="10"/>
                <w:szCs w:val="10"/>
                <w:color w:val="auto"/>
              </w:rPr>
            </w:pPr>
          </w:p>
        </w:tc>
        <w:tc>
          <w:tcPr>
            <w:tcW w:w="1100" w:type="dxa"/>
            <w:vAlign w:val="bottom"/>
            <w:vMerge w:val="continue"/>
            <w:shd w:val="clear" w:color="auto" w:fill="CCCCCC"/>
          </w:tcPr>
          <w:p>
            <w:pPr>
              <w:spacing w:after="0"/>
              <w:rPr>
                <w:sz w:val="10"/>
                <w:szCs w:val="10"/>
                <w:color w:val="auto"/>
              </w:rPr>
            </w:pP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ind w:left="440"/>
              <w:spacing w:after="0"/>
              <w:rPr>
                <w:sz w:val="20"/>
                <w:szCs w:val="20"/>
                <w:color w:val="auto"/>
              </w:rPr>
            </w:pPr>
            <w:r>
              <w:rPr>
                <w:rFonts w:ascii="Arial" w:cs="Arial" w:eastAsia="Arial" w:hAnsi="Arial"/>
                <w:sz w:val="22"/>
                <w:szCs w:val="22"/>
                <w:b w:val="1"/>
                <w:bCs w:val="1"/>
                <w:color w:val="auto"/>
              </w:rPr>
              <w:t>Shares</w:t>
            </w:r>
          </w:p>
        </w:tc>
        <w:tc>
          <w:tcPr>
            <w:tcW w:w="3360" w:type="dxa"/>
            <w:vAlign w:val="bottom"/>
            <w:tcBorders>
              <w:right w:val="single" w:sz="8" w:color="auto"/>
            </w:tcBorders>
            <w:vMerge w:val="restart"/>
            <w:shd w:val="clear" w:color="auto" w:fill="CCCCCC"/>
          </w:tcPr>
          <w:p>
            <w:pPr>
              <w:ind w:left="760"/>
              <w:spacing w:after="0"/>
              <w:rPr>
                <w:sz w:val="20"/>
                <w:szCs w:val="20"/>
                <w:color w:val="auto"/>
              </w:rPr>
            </w:pPr>
            <w:r>
              <w:rPr>
                <w:rFonts w:ascii="Arial" w:cs="Arial" w:eastAsia="Arial" w:hAnsi="Arial"/>
                <w:sz w:val="22"/>
                <w:szCs w:val="22"/>
                <w:b w:val="1"/>
                <w:bCs w:val="1"/>
                <w:color w:val="auto"/>
              </w:rPr>
              <w:t>Outstanding Shares</w:t>
            </w:r>
          </w:p>
        </w:tc>
        <w:tc>
          <w:tcPr>
            <w:tcW w:w="0" w:type="dxa"/>
            <w:vAlign w:val="bottom"/>
          </w:tcPr>
          <w:p>
            <w:pPr>
              <w:spacing w:after="0"/>
              <w:rPr>
                <w:sz w:val="1"/>
                <w:szCs w:val="1"/>
                <w:color w:val="auto"/>
              </w:rPr>
            </w:pPr>
          </w:p>
        </w:tc>
      </w:tr>
      <w:tr>
        <w:trPr>
          <w:trHeight w:val="159"/>
        </w:trPr>
        <w:tc>
          <w:tcPr>
            <w:tcW w:w="440" w:type="dxa"/>
            <w:vAlign w:val="bottom"/>
            <w:tcBorders>
              <w:left w:val="single" w:sz="8" w:color="auto"/>
              <w:right w:val="single" w:sz="8" w:color="auto"/>
            </w:tcBorders>
            <w:shd w:val="clear" w:color="auto" w:fill="CCCCCC"/>
          </w:tcPr>
          <w:p>
            <w:pPr>
              <w:spacing w:after="0"/>
              <w:rPr>
                <w:sz w:val="13"/>
                <w:szCs w:val="13"/>
                <w:color w:val="auto"/>
              </w:rPr>
            </w:pPr>
          </w:p>
        </w:tc>
        <w:tc>
          <w:tcPr>
            <w:tcW w:w="1940" w:type="dxa"/>
            <w:vAlign w:val="bottom"/>
            <w:tcBorders>
              <w:right w:val="single" w:sz="8" w:color="auto"/>
            </w:tcBorders>
            <w:shd w:val="clear" w:color="auto" w:fill="CCCCCC"/>
          </w:tcPr>
          <w:p>
            <w:pPr>
              <w:spacing w:after="0"/>
              <w:rPr>
                <w:sz w:val="13"/>
                <w:szCs w:val="13"/>
                <w:color w:val="auto"/>
              </w:rPr>
            </w:pPr>
          </w:p>
        </w:tc>
        <w:tc>
          <w:tcPr>
            <w:tcW w:w="1100" w:type="dxa"/>
            <w:vAlign w:val="bottom"/>
            <w:vMerge w:val="restart"/>
            <w:shd w:val="clear" w:color="auto" w:fill="CCCCCC"/>
          </w:tcPr>
          <w:p>
            <w:pPr>
              <w:jc w:val="center"/>
              <w:ind w:left="32"/>
              <w:spacing w:after="0"/>
              <w:rPr>
                <w:sz w:val="20"/>
                <w:szCs w:val="20"/>
                <w:color w:val="auto"/>
              </w:rPr>
            </w:pPr>
            <w:r>
              <w:rPr>
                <w:rFonts w:ascii="Arial" w:cs="Arial" w:eastAsia="Arial" w:hAnsi="Arial"/>
                <w:sz w:val="22"/>
                <w:szCs w:val="22"/>
                <w:b w:val="1"/>
                <w:bCs w:val="1"/>
                <w:color w:val="auto"/>
                <w:w w:val="86"/>
              </w:rPr>
              <w:t>Stock</w:t>
            </w:r>
          </w:p>
        </w:tc>
        <w:tc>
          <w:tcPr>
            <w:tcW w:w="160" w:type="dxa"/>
            <w:vAlign w:val="bottom"/>
            <w:tcBorders>
              <w:right w:val="single" w:sz="8" w:color="auto"/>
            </w:tcBorders>
            <w:shd w:val="clear" w:color="auto" w:fill="CCCCCC"/>
          </w:tcPr>
          <w:p>
            <w:pPr>
              <w:spacing w:after="0"/>
              <w:rPr>
                <w:sz w:val="13"/>
                <w:szCs w:val="13"/>
                <w:color w:val="auto"/>
              </w:rPr>
            </w:pPr>
          </w:p>
        </w:tc>
        <w:tc>
          <w:tcPr>
            <w:tcW w:w="154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0"/>
              </w:rPr>
              <w:t>Number(s)</w:t>
            </w:r>
          </w:p>
        </w:tc>
        <w:tc>
          <w:tcPr>
            <w:tcW w:w="1540" w:type="dxa"/>
            <w:vAlign w:val="bottom"/>
            <w:tcBorders>
              <w:right w:val="single" w:sz="8" w:color="auto"/>
            </w:tcBorders>
            <w:vMerge w:val="continue"/>
            <w:shd w:val="clear" w:color="auto" w:fill="CCCCCC"/>
          </w:tcPr>
          <w:p>
            <w:pPr>
              <w:spacing w:after="0"/>
              <w:rPr>
                <w:sz w:val="13"/>
                <w:szCs w:val="13"/>
                <w:color w:val="auto"/>
              </w:rPr>
            </w:pPr>
          </w:p>
        </w:tc>
        <w:tc>
          <w:tcPr>
            <w:tcW w:w="3360" w:type="dxa"/>
            <w:vAlign w:val="bottom"/>
            <w:tcBorders>
              <w:right w:val="single" w:sz="8" w:color="auto"/>
            </w:tcBorders>
            <w:vMerge w:val="continue"/>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1940" w:type="dxa"/>
            <w:vAlign w:val="bottom"/>
            <w:tcBorders>
              <w:bottom w:val="single" w:sz="8" w:color="auto"/>
              <w:right w:val="single" w:sz="8" w:color="auto"/>
            </w:tcBorders>
            <w:shd w:val="clear" w:color="auto" w:fill="CCCCCC"/>
          </w:tcPr>
          <w:p>
            <w:pPr>
              <w:spacing w:after="0"/>
              <w:rPr>
                <w:sz w:val="9"/>
                <w:szCs w:val="9"/>
                <w:color w:val="auto"/>
              </w:rPr>
            </w:pPr>
          </w:p>
        </w:tc>
        <w:tc>
          <w:tcPr>
            <w:tcW w:w="1100" w:type="dxa"/>
            <w:vAlign w:val="bottom"/>
            <w:tcBorders>
              <w:bottom w:val="single" w:sz="8" w:color="auto"/>
            </w:tcBorders>
            <w:vMerge w:val="continue"/>
            <w:shd w:val="clear" w:color="auto" w:fill="CCCCCC"/>
          </w:tcPr>
          <w:p>
            <w:pPr>
              <w:spacing w:after="0"/>
              <w:rPr>
                <w:sz w:val="9"/>
                <w:szCs w:val="9"/>
                <w:color w:val="auto"/>
              </w:rPr>
            </w:pPr>
          </w:p>
        </w:tc>
        <w:tc>
          <w:tcPr>
            <w:tcW w:w="160" w:type="dxa"/>
            <w:vAlign w:val="bottom"/>
            <w:tcBorders>
              <w:bottom w:val="single" w:sz="8" w:color="auto"/>
              <w:right w:val="single" w:sz="8" w:color="auto"/>
            </w:tcBorders>
            <w:shd w:val="clear" w:color="auto" w:fill="CCCCCC"/>
          </w:tcPr>
          <w:p>
            <w:pPr>
              <w:spacing w:after="0"/>
              <w:rPr>
                <w:sz w:val="9"/>
                <w:szCs w:val="9"/>
                <w:color w:val="auto"/>
              </w:rPr>
            </w:pPr>
          </w:p>
        </w:tc>
        <w:tc>
          <w:tcPr>
            <w:tcW w:w="154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540" w:type="dxa"/>
            <w:vAlign w:val="bottom"/>
            <w:tcBorders>
              <w:bottom w:val="single" w:sz="8" w:color="auto"/>
              <w:right w:val="single" w:sz="8" w:color="auto"/>
            </w:tcBorders>
            <w:shd w:val="clear" w:color="auto" w:fill="CCCCCC"/>
          </w:tcPr>
          <w:p>
            <w:pPr>
              <w:spacing w:after="0"/>
              <w:rPr>
                <w:sz w:val="9"/>
                <w:szCs w:val="9"/>
                <w:color w:val="auto"/>
              </w:rPr>
            </w:pPr>
          </w:p>
        </w:tc>
        <w:tc>
          <w:tcPr>
            <w:tcW w:w="3360" w:type="dxa"/>
            <w:vAlign w:val="bottom"/>
            <w:tcBorders>
              <w:bottom w:val="single" w:sz="8" w:color="auto"/>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38.</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Comfort Systems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 general partner interest –</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USA (Texas), L.P.</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Comfort Systems USA GP, Inc.</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99% limited partner interest – Tri-</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City Mechanical,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39.</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Control Concepts,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of member interest –</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LLC</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4"/>
              </w:rPr>
              <w:t>Comfort Systems USA (Southeast),</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40.</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ConServ Building</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Services, 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41.</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ConServ Building</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1"/>
              </w:rPr>
              <w:t>Services of Alabama,</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42.</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ConServ Building</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5"/>
              </w:rPr>
              <w:t>Services of Georgia,</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43.</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ConServ Building</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Services of North</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Carolina, 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44.</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ConServ Building</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Services of</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Tennessee, 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45.</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ConServ Building</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Services of Texas,</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46.</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Control Concepts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of member interest –</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1"/>
              </w:rPr>
              <w:t>Mechanical Services,</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4"/>
              </w:rPr>
              <w:t>Comfort Systems USA (Southeast),</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47.</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CSUSA (10), LLC</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of membership interest –</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Comfort Systems USA,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48.</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CS53 Acquisition</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Corporation</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49.</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w w:val="97"/>
              </w:rPr>
              <w:t>Delcard Associates,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of member interest –</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Seasonair,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50.</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Design Mechanical</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Incorporated</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51.</w:t>
            </w:r>
          </w:p>
        </w:tc>
        <w:tc>
          <w:tcPr>
            <w:tcW w:w="1940" w:type="dxa"/>
            <w:vAlign w:val="bottom"/>
            <w:tcBorders>
              <w:right w:val="single" w:sz="8" w:color="auto"/>
            </w:tcBorders>
          </w:tcPr>
          <w:p>
            <w:pPr>
              <w:spacing w:after="0" w:line="216" w:lineRule="exact"/>
              <w:rPr>
                <w:sz w:val="20"/>
                <w:szCs w:val="20"/>
                <w:color w:val="auto"/>
              </w:rPr>
            </w:pPr>
            <w:r>
              <w:rPr>
                <w:rFonts w:ascii="Arial" w:cs="Arial" w:eastAsia="Arial" w:hAnsi="Arial"/>
                <w:sz w:val="22"/>
                <w:szCs w:val="22"/>
                <w:color w:val="auto"/>
              </w:rPr>
              <w:t>Dyna Ten</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Corporation</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gridSpan w:val="3"/>
          </w:tcPr>
          <w:p>
            <w:pPr>
              <w:ind w:left="60"/>
              <w:spacing w:after="0"/>
              <w:rPr>
                <w:sz w:val="20"/>
                <w:szCs w:val="20"/>
                <w:color w:val="auto"/>
              </w:rPr>
            </w:pPr>
            <w:r>
              <w:rPr>
                <w:rFonts w:ascii="Arial" w:cs="Arial" w:eastAsia="Arial" w:hAnsi="Arial"/>
                <w:sz w:val="18"/>
                <w:szCs w:val="18"/>
                <w:color w:val="auto"/>
                <w:w w:val="93"/>
              </w:rPr>
              <w:t>Schedule I to Pledge Agreement – Page 4</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85" w:name="page186"/>
    <w:bookmarkEnd w:id="18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1940" w:type="dxa"/>
            <w:vAlign w:val="bottom"/>
            <w:tcBorders>
              <w:top w:val="single" w:sz="8" w:color="auto"/>
              <w:right w:val="single" w:sz="8" w:color="auto"/>
            </w:tcBorders>
            <w:shd w:val="clear" w:color="auto" w:fill="CCCCCC"/>
          </w:tcPr>
          <w:p>
            <w:pPr>
              <w:spacing w:after="0"/>
              <w:rPr>
                <w:sz w:val="19"/>
                <w:szCs w:val="19"/>
                <w:color w:val="auto"/>
              </w:rPr>
            </w:pPr>
          </w:p>
        </w:tc>
        <w:tc>
          <w:tcPr>
            <w:tcW w:w="1100" w:type="dxa"/>
            <w:vAlign w:val="bottom"/>
            <w:tcBorders>
              <w:top w:val="single" w:sz="8" w:color="auto"/>
            </w:tcBorders>
            <w:shd w:val="clear" w:color="auto" w:fill="CCCCCC"/>
          </w:tcPr>
          <w:p>
            <w:pPr>
              <w:jc w:val="center"/>
              <w:ind w:left="32"/>
              <w:spacing w:after="0" w:line="229" w:lineRule="exact"/>
              <w:rPr>
                <w:sz w:val="20"/>
                <w:szCs w:val="20"/>
                <w:color w:val="auto"/>
              </w:rPr>
            </w:pPr>
            <w:r>
              <w:rPr>
                <w:rFonts w:ascii="Arial" w:cs="Arial" w:eastAsia="Arial" w:hAnsi="Arial"/>
                <w:sz w:val="22"/>
                <w:szCs w:val="22"/>
                <w:b w:val="1"/>
                <w:bCs w:val="1"/>
                <w:color w:val="auto"/>
                <w:w w:val="84"/>
              </w:rPr>
              <w:t>Class of</w:t>
            </w:r>
          </w:p>
        </w:tc>
        <w:tc>
          <w:tcPr>
            <w:tcW w:w="160" w:type="dxa"/>
            <w:vAlign w:val="bottom"/>
            <w:tcBorders>
              <w:top w:val="single" w:sz="8" w:color="auto"/>
              <w:right w:val="single" w:sz="8" w:color="auto"/>
            </w:tcBorders>
            <w:shd w:val="clear" w:color="auto" w:fill="CCCCCC"/>
          </w:tcPr>
          <w:p>
            <w:pPr>
              <w:spacing w:after="0"/>
              <w:rPr>
                <w:sz w:val="19"/>
                <w:szCs w:val="19"/>
                <w:color w:val="auto"/>
              </w:rPr>
            </w:pPr>
          </w:p>
        </w:tc>
        <w:tc>
          <w:tcPr>
            <w:tcW w:w="154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w w:val="86"/>
              </w:rPr>
              <w:t>Stock</w:t>
            </w:r>
          </w:p>
        </w:tc>
        <w:tc>
          <w:tcPr>
            <w:tcW w:w="1540" w:type="dxa"/>
            <w:vAlign w:val="bottom"/>
            <w:tcBorders>
              <w:top w:val="single" w:sz="8" w:color="auto"/>
              <w:right w:val="single" w:sz="8" w:color="auto"/>
            </w:tcBorders>
            <w:vMerge w:val="restart"/>
            <w:shd w:val="clear" w:color="auto" w:fill="CCCCCC"/>
          </w:tcPr>
          <w:p>
            <w:pPr>
              <w:ind w:left="260"/>
              <w:spacing w:after="0"/>
              <w:rPr>
                <w:sz w:val="20"/>
                <w:szCs w:val="20"/>
                <w:color w:val="auto"/>
              </w:rPr>
            </w:pPr>
            <w:r>
              <w:rPr>
                <w:rFonts w:ascii="Arial" w:cs="Arial" w:eastAsia="Arial" w:hAnsi="Arial"/>
                <w:sz w:val="22"/>
                <w:szCs w:val="22"/>
                <w:b w:val="1"/>
                <w:bCs w:val="1"/>
                <w:color w:val="auto"/>
              </w:rPr>
              <w:t>Number of</w:t>
            </w:r>
          </w:p>
        </w:tc>
        <w:tc>
          <w:tcPr>
            <w:tcW w:w="3360" w:type="dxa"/>
            <w:vAlign w:val="bottom"/>
            <w:tcBorders>
              <w:top w:val="single" w:sz="8" w:color="auto"/>
              <w:right w:val="single" w:sz="8" w:color="auto"/>
            </w:tcBorders>
            <w:vMerge w:val="restart"/>
            <w:shd w:val="clear" w:color="auto" w:fill="CCCCCC"/>
          </w:tcPr>
          <w:p>
            <w:pPr>
              <w:ind w:left="540"/>
              <w:spacing w:after="0"/>
              <w:rPr>
                <w:sz w:val="20"/>
                <w:szCs w:val="20"/>
                <w:color w:val="auto"/>
              </w:rPr>
            </w:pPr>
            <w:r>
              <w:rPr>
                <w:rFonts w:ascii="Arial" w:cs="Arial" w:eastAsia="Arial" w:hAnsi="Arial"/>
                <w:sz w:val="22"/>
                <w:szCs w:val="22"/>
                <w:b w:val="1"/>
                <w:bCs w:val="1"/>
                <w:color w:val="auto"/>
              </w:rPr>
              <w:t>Pledgor(s)/Percentage of</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restart"/>
            <w:shd w:val="clear" w:color="auto" w:fill="CCCCCC"/>
          </w:tcPr>
          <w:p>
            <w:pPr>
              <w:ind w:left="280"/>
              <w:spacing w:after="0" w:line="243" w:lineRule="exact"/>
              <w:rPr>
                <w:sz w:val="20"/>
                <w:szCs w:val="20"/>
                <w:color w:val="auto"/>
              </w:rPr>
            </w:pPr>
            <w:r>
              <w:rPr>
                <w:rFonts w:ascii="Arial" w:cs="Arial" w:eastAsia="Arial" w:hAnsi="Arial"/>
                <w:sz w:val="22"/>
                <w:szCs w:val="22"/>
                <w:b w:val="1"/>
                <w:bCs w:val="1"/>
                <w:color w:val="auto"/>
              </w:rPr>
              <w:t>Pledged Entity</w:t>
            </w:r>
          </w:p>
        </w:tc>
        <w:tc>
          <w:tcPr>
            <w:tcW w:w="1100" w:type="dxa"/>
            <w:vAlign w:val="bottom"/>
            <w:vMerge w:val="restart"/>
            <w:shd w:val="clear" w:color="auto" w:fill="CCCCCC"/>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Common</w:t>
            </w: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Certificate</w:t>
            </w: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336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continue"/>
            <w:shd w:val="clear" w:color="auto" w:fill="CCCCCC"/>
          </w:tcPr>
          <w:p>
            <w:pPr>
              <w:spacing w:after="0"/>
              <w:rPr>
                <w:sz w:val="10"/>
                <w:szCs w:val="10"/>
                <w:color w:val="auto"/>
              </w:rPr>
            </w:pPr>
          </w:p>
        </w:tc>
        <w:tc>
          <w:tcPr>
            <w:tcW w:w="1100" w:type="dxa"/>
            <w:vAlign w:val="bottom"/>
            <w:vMerge w:val="continue"/>
            <w:shd w:val="clear" w:color="auto" w:fill="CCCCCC"/>
          </w:tcPr>
          <w:p>
            <w:pPr>
              <w:spacing w:after="0"/>
              <w:rPr>
                <w:sz w:val="10"/>
                <w:szCs w:val="10"/>
                <w:color w:val="auto"/>
              </w:rPr>
            </w:pP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ind w:left="440"/>
              <w:spacing w:after="0"/>
              <w:rPr>
                <w:sz w:val="20"/>
                <w:szCs w:val="20"/>
                <w:color w:val="auto"/>
              </w:rPr>
            </w:pPr>
            <w:r>
              <w:rPr>
                <w:rFonts w:ascii="Arial" w:cs="Arial" w:eastAsia="Arial" w:hAnsi="Arial"/>
                <w:sz w:val="22"/>
                <w:szCs w:val="22"/>
                <w:b w:val="1"/>
                <w:bCs w:val="1"/>
                <w:color w:val="auto"/>
              </w:rPr>
              <w:t>Shares</w:t>
            </w:r>
          </w:p>
        </w:tc>
        <w:tc>
          <w:tcPr>
            <w:tcW w:w="3360" w:type="dxa"/>
            <w:vAlign w:val="bottom"/>
            <w:tcBorders>
              <w:right w:val="single" w:sz="8" w:color="auto"/>
            </w:tcBorders>
            <w:vMerge w:val="restart"/>
            <w:shd w:val="clear" w:color="auto" w:fill="CCCCCC"/>
          </w:tcPr>
          <w:p>
            <w:pPr>
              <w:ind w:left="760"/>
              <w:spacing w:after="0"/>
              <w:rPr>
                <w:sz w:val="20"/>
                <w:szCs w:val="20"/>
                <w:color w:val="auto"/>
              </w:rPr>
            </w:pPr>
            <w:r>
              <w:rPr>
                <w:rFonts w:ascii="Arial" w:cs="Arial" w:eastAsia="Arial" w:hAnsi="Arial"/>
                <w:sz w:val="22"/>
                <w:szCs w:val="22"/>
                <w:b w:val="1"/>
                <w:bCs w:val="1"/>
                <w:color w:val="auto"/>
              </w:rPr>
              <w:t>Outstanding Shares</w:t>
            </w:r>
          </w:p>
        </w:tc>
        <w:tc>
          <w:tcPr>
            <w:tcW w:w="0" w:type="dxa"/>
            <w:vAlign w:val="bottom"/>
          </w:tcPr>
          <w:p>
            <w:pPr>
              <w:spacing w:after="0"/>
              <w:rPr>
                <w:sz w:val="1"/>
                <w:szCs w:val="1"/>
                <w:color w:val="auto"/>
              </w:rPr>
            </w:pPr>
          </w:p>
        </w:tc>
      </w:tr>
      <w:tr>
        <w:trPr>
          <w:trHeight w:val="159"/>
        </w:trPr>
        <w:tc>
          <w:tcPr>
            <w:tcW w:w="440" w:type="dxa"/>
            <w:vAlign w:val="bottom"/>
            <w:tcBorders>
              <w:left w:val="single" w:sz="8" w:color="auto"/>
              <w:right w:val="single" w:sz="8" w:color="auto"/>
            </w:tcBorders>
            <w:shd w:val="clear" w:color="auto" w:fill="CCCCCC"/>
          </w:tcPr>
          <w:p>
            <w:pPr>
              <w:spacing w:after="0"/>
              <w:rPr>
                <w:sz w:val="13"/>
                <w:szCs w:val="13"/>
                <w:color w:val="auto"/>
              </w:rPr>
            </w:pPr>
          </w:p>
        </w:tc>
        <w:tc>
          <w:tcPr>
            <w:tcW w:w="1940" w:type="dxa"/>
            <w:vAlign w:val="bottom"/>
            <w:tcBorders>
              <w:right w:val="single" w:sz="8" w:color="auto"/>
            </w:tcBorders>
            <w:shd w:val="clear" w:color="auto" w:fill="CCCCCC"/>
          </w:tcPr>
          <w:p>
            <w:pPr>
              <w:spacing w:after="0"/>
              <w:rPr>
                <w:sz w:val="13"/>
                <w:szCs w:val="13"/>
                <w:color w:val="auto"/>
              </w:rPr>
            </w:pPr>
          </w:p>
        </w:tc>
        <w:tc>
          <w:tcPr>
            <w:tcW w:w="1100" w:type="dxa"/>
            <w:vAlign w:val="bottom"/>
            <w:vMerge w:val="restart"/>
            <w:shd w:val="clear" w:color="auto" w:fill="CCCCCC"/>
          </w:tcPr>
          <w:p>
            <w:pPr>
              <w:jc w:val="center"/>
              <w:ind w:left="32"/>
              <w:spacing w:after="0"/>
              <w:rPr>
                <w:sz w:val="20"/>
                <w:szCs w:val="20"/>
                <w:color w:val="auto"/>
              </w:rPr>
            </w:pPr>
            <w:r>
              <w:rPr>
                <w:rFonts w:ascii="Arial" w:cs="Arial" w:eastAsia="Arial" w:hAnsi="Arial"/>
                <w:sz w:val="22"/>
                <w:szCs w:val="22"/>
                <w:b w:val="1"/>
                <w:bCs w:val="1"/>
                <w:color w:val="auto"/>
                <w:w w:val="86"/>
              </w:rPr>
              <w:t>Stock</w:t>
            </w:r>
          </w:p>
        </w:tc>
        <w:tc>
          <w:tcPr>
            <w:tcW w:w="160" w:type="dxa"/>
            <w:vAlign w:val="bottom"/>
            <w:tcBorders>
              <w:right w:val="single" w:sz="8" w:color="auto"/>
            </w:tcBorders>
            <w:shd w:val="clear" w:color="auto" w:fill="CCCCCC"/>
          </w:tcPr>
          <w:p>
            <w:pPr>
              <w:spacing w:after="0"/>
              <w:rPr>
                <w:sz w:val="13"/>
                <w:szCs w:val="13"/>
                <w:color w:val="auto"/>
              </w:rPr>
            </w:pPr>
          </w:p>
        </w:tc>
        <w:tc>
          <w:tcPr>
            <w:tcW w:w="154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0"/>
              </w:rPr>
              <w:t>Number(s)</w:t>
            </w:r>
          </w:p>
        </w:tc>
        <w:tc>
          <w:tcPr>
            <w:tcW w:w="1540" w:type="dxa"/>
            <w:vAlign w:val="bottom"/>
            <w:tcBorders>
              <w:right w:val="single" w:sz="8" w:color="auto"/>
            </w:tcBorders>
            <w:vMerge w:val="continue"/>
            <w:shd w:val="clear" w:color="auto" w:fill="CCCCCC"/>
          </w:tcPr>
          <w:p>
            <w:pPr>
              <w:spacing w:after="0"/>
              <w:rPr>
                <w:sz w:val="13"/>
                <w:szCs w:val="13"/>
                <w:color w:val="auto"/>
              </w:rPr>
            </w:pPr>
          </w:p>
        </w:tc>
        <w:tc>
          <w:tcPr>
            <w:tcW w:w="3360" w:type="dxa"/>
            <w:vAlign w:val="bottom"/>
            <w:tcBorders>
              <w:right w:val="single" w:sz="8" w:color="auto"/>
            </w:tcBorders>
            <w:vMerge w:val="continue"/>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1940" w:type="dxa"/>
            <w:vAlign w:val="bottom"/>
            <w:tcBorders>
              <w:bottom w:val="single" w:sz="8" w:color="auto"/>
              <w:right w:val="single" w:sz="8" w:color="auto"/>
            </w:tcBorders>
            <w:shd w:val="clear" w:color="auto" w:fill="CCCCCC"/>
          </w:tcPr>
          <w:p>
            <w:pPr>
              <w:spacing w:after="0"/>
              <w:rPr>
                <w:sz w:val="9"/>
                <w:szCs w:val="9"/>
                <w:color w:val="auto"/>
              </w:rPr>
            </w:pPr>
          </w:p>
        </w:tc>
        <w:tc>
          <w:tcPr>
            <w:tcW w:w="1100" w:type="dxa"/>
            <w:vAlign w:val="bottom"/>
            <w:tcBorders>
              <w:bottom w:val="single" w:sz="8" w:color="auto"/>
            </w:tcBorders>
            <w:vMerge w:val="continue"/>
            <w:shd w:val="clear" w:color="auto" w:fill="CCCCCC"/>
          </w:tcPr>
          <w:p>
            <w:pPr>
              <w:spacing w:after="0"/>
              <w:rPr>
                <w:sz w:val="9"/>
                <w:szCs w:val="9"/>
                <w:color w:val="auto"/>
              </w:rPr>
            </w:pPr>
          </w:p>
        </w:tc>
        <w:tc>
          <w:tcPr>
            <w:tcW w:w="160" w:type="dxa"/>
            <w:vAlign w:val="bottom"/>
            <w:tcBorders>
              <w:bottom w:val="single" w:sz="8" w:color="auto"/>
              <w:right w:val="single" w:sz="8" w:color="auto"/>
            </w:tcBorders>
            <w:shd w:val="clear" w:color="auto" w:fill="CCCCCC"/>
          </w:tcPr>
          <w:p>
            <w:pPr>
              <w:spacing w:after="0"/>
              <w:rPr>
                <w:sz w:val="9"/>
                <w:szCs w:val="9"/>
                <w:color w:val="auto"/>
              </w:rPr>
            </w:pPr>
          </w:p>
        </w:tc>
        <w:tc>
          <w:tcPr>
            <w:tcW w:w="154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540" w:type="dxa"/>
            <w:vAlign w:val="bottom"/>
            <w:tcBorders>
              <w:bottom w:val="single" w:sz="8" w:color="auto"/>
              <w:right w:val="single" w:sz="8" w:color="auto"/>
            </w:tcBorders>
            <w:shd w:val="clear" w:color="auto" w:fill="CCCCCC"/>
          </w:tcPr>
          <w:p>
            <w:pPr>
              <w:spacing w:after="0"/>
              <w:rPr>
                <w:sz w:val="9"/>
                <w:szCs w:val="9"/>
                <w:color w:val="auto"/>
              </w:rPr>
            </w:pPr>
          </w:p>
        </w:tc>
        <w:tc>
          <w:tcPr>
            <w:tcW w:w="3360" w:type="dxa"/>
            <w:vAlign w:val="bottom"/>
            <w:tcBorders>
              <w:bottom w:val="single" w:sz="8" w:color="auto"/>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52.</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Dyna Ten</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5"/>
              </w:rPr>
              <w:t>100% member interest – Dyna Ten</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Maintenance</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Corporation</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Services, 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53.</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Eastern Heating &amp;</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Cooling,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54.</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88"/>
              </w:rPr>
              <w:t>Eastern Refrigeration</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55.</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Environmental Air</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of membership interest –</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Systems, 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CSUSA (10), LLC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56.</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Envirotrol, LLC</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of membership interest –</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Environmental Air Systems, LLC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57.</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Granite State</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5"/>
              </w:rPr>
              <w:t>Holdings Company,</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58.</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Granite State</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0"/>
              </w:rPr>
              <w:t>100% membership interest – Granite</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Plumbing &amp;</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State Holdings Company,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Heating, 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w w:val="97"/>
              </w:rPr>
              <w:t>59.</w:t>
            </w:r>
          </w:p>
        </w:tc>
        <w:tc>
          <w:tcPr>
            <w:tcW w:w="19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Helm Corporation</w:t>
            </w:r>
          </w:p>
        </w:tc>
        <w:tc>
          <w:tcPr>
            <w:tcW w:w="1100" w:type="dxa"/>
            <w:vAlign w:val="bottom"/>
            <w:tcBorders>
              <w:bottom w:val="single" w:sz="8" w:color="auto"/>
            </w:tcBorders>
          </w:tcPr>
          <w:p>
            <w:pPr>
              <w:jc w:val="center"/>
              <w:ind w:left="32"/>
              <w:spacing w:after="0" w:line="237" w:lineRule="exact"/>
              <w:rPr>
                <w:sz w:val="20"/>
                <w:szCs w:val="20"/>
                <w:color w:val="auto"/>
              </w:rPr>
            </w:pPr>
            <w:r>
              <w:rPr>
                <w:rFonts w:ascii="Arial" w:cs="Arial" w:eastAsia="Arial" w:hAnsi="Arial"/>
                <w:sz w:val="22"/>
                <w:szCs w:val="22"/>
                <w:color w:val="auto"/>
                <w:w w:val="89"/>
              </w:rPr>
              <w:t>Common</w:t>
            </w:r>
          </w:p>
        </w:tc>
        <w:tc>
          <w:tcPr>
            <w:tcW w:w="16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CS1</w:t>
            </w:r>
          </w:p>
        </w:tc>
        <w:tc>
          <w:tcPr>
            <w:tcW w:w="15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100</w:t>
            </w:r>
          </w:p>
        </w:tc>
        <w:tc>
          <w:tcPr>
            <w:tcW w:w="336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60.</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Hess Mechanical,</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61.</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Mechanical</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6"/>
              </w:rPr>
              <w:t>Technical Services,</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62.</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MJ Mechanical</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Services,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63.</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North American</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Mechanical,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64.</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Quality Air Heating</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&amp; Cooling,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65.</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Riddleberger</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Brothers,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66.</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6"/>
              </w:rPr>
              <w:t>Royalaire Holdings,</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67.</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Royalaire</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88"/>
              </w:rPr>
              <w:t>Mechanical Services,</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gridSpan w:val="3"/>
          </w:tcPr>
          <w:p>
            <w:pPr>
              <w:ind w:left="60"/>
              <w:spacing w:after="0"/>
              <w:rPr>
                <w:sz w:val="20"/>
                <w:szCs w:val="20"/>
                <w:color w:val="auto"/>
              </w:rPr>
            </w:pPr>
            <w:r>
              <w:rPr>
                <w:rFonts w:ascii="Arial" w:cs="Arial" w:eastAsia="Arial" w:hAnsi="Arial"/>
                <w:sz w:val="18"/>
                <w:szCs w:val="18"/>
                <w:color w:val="auto"/>
                <w:w w:val="93"/>
              </w:rPr>
              <w:t>Schedule I to Pledge Agreement – Page 5</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86" w:name="page187"/>
    <w:bookmarkEnd w:id="18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40" w:type="dxa"/>
            <w:vAlign w:val="bottom"/>
            <w:tcBorders>
              <w:top w:val="single" w:sz="8" w:color="auto"/>
              <w:left w:val="single" w:sz="8" w:color="auto"/>
              <w:right w:val="single" w:sz="8" w:color="auto"/>
            </w:tcBorders>
            <w:shd w:val="clear" w:color="auto" w:fill="CCCCCC"/>
          </w:tcPr>
          <w:p>
            <w:pPr>
              <w:spacing w:after="0"/>
              <w:rPr>
                <w:sz w:val="19"/>
                <w:szCs w:val="19"/>
                <w:color w:val="auto"/>
              </w:rPr>
            </w:pPr>
          </w:p>
        </w:tc>
        <w:tc>
          <w:tcPr>
            <w:tcW w:w="1940" w:type="dxa"/>
            <w:vAlign w:val="bottom"/>
            <w:tcBorders>
              <w:top w:val="single" w:sz="8" w:color="auto"/>
              <w:right w:val="single" w:sz="8" w:color="auto"/>
            </w:tcBorders>
            <w:shd w:val="clear" w:color="auto" w:fill="CCCCCC"/>
          </w:tcPr>
          <w:p>
            <w:pPr>
              <w:spacing w:after="0"/>
              <w:rPr>
                <w:sz w:val="19"/>
                <w:szCs w:val="19"/>
                <w:color w:val="auto"/>
              </w:rPr>
            </w:pPr>
          </w:p>
        </w:tc>
        <w:tc>
          <w:tcPr>
            <w:tcW w:w="1100" w:type="dxa"/>
            <w:vAlign w:val="bottom"/>
            <w:tcBorders>
              <w:top w:val="single" w:sz="8" w:color="auto"/>
            </w:tcBorders>
            <w:shd w:val="clear" w:color="auto" w:fill="CCCCCC"/>
          </w:tcPr>
          <w:p>
            <w:pPr>
              <w:jc w:val="center"/>
              <w:ind w:left="32"/>
              <w:spacing w:after="0" w:line="229" w:lineRule="exact"/>
              <w:rPr>
                <w:sz w:val="20"/>
                <w:szCs w:val="20"/>
                <w:color w:val="auto"/>
              </w:rPr>
            </w:pPr>
            <w:r>
              <w:rPr>
                <w:rFonts w:ascii="Arial" w:cs="Arial" w:eastAsia="Arial" w:hAnsi="Arial"/>
                <w:sz w:val="22"/>
                <w:szCs w:val="22"/>
                <w:b w:val="1"/>
                <w:bCs w:val="1"/>
                <w:color w:val="auto"/>
                <w:w w:val="84"/>
              </w:rPr>
              <w:t>Class of</w:t>
            </w:r>
          </w:p>
        </w:tc>
        <w:tc>
          <w:tcPr>
            <w:tcW w:w="160" w:type="dxa"/>
            <w:vAlign w:val="bottom"/>
            <w:tcBorders>
              <w:top w:val="single" w:sz="8" w:color="auto"/>
              <w:right w:val="single" w:sz="8" w:color="auto"/>
            </w:tcBorders>
            <w:shd w:val="clear" w:color="auto" w:fill="CCCCCC"/>
          </w:tcPr>
          <w:p>
            <w:pPr>
              <w:spacing w:after="0"/>
              <w:rPr>
                <w:sz w:val="19"/>
                <w:szCs w:val="19"/>
                <w:color w:val="auto"/>
              </w:rPr>
            </w:pPr>
          </w:p>
        </w:tc>
        <w:tc>
          <w:tcPr>
            <w:tcW w:w="1540" w:type="dxa"/>
            <w:vAlign w:val="bottom"/>
            <w:tcBorders>
              <w:top w:val="single" w:sz="8" w:color="auto"/>
              <w:right w:val="single" w:sz="8" w:color="auto"/>
            </w:tcBorders>
            <w:shd w:val="clear" w:color="auto" w:fill="CCCCCC"/>
          </w:tcPr>
          <w:p>
            <w:pPr>
              <w:jc w:val="center"/>
              <w:spacing w:after="0" w:line="229" w:lineRule="exact"/>
              <w:rPr>
                <w:sz w:val="20"/>
                <w:szCs w:val="20"/>
                <w:color w:val="auto"/>
              </w:rPr>
            </w:pPr>
            <w:r>
              <w:rPr>
                <w:rFonts w:ascii="Arial" w:cs="Arial" w:eastAsia="Arial" w:hAnsi="Arial"/>
                <w:sz w:val="22"/>
                <w:szCs w:val="22"/>
                <w:b w:val="1"/>
                <w:bCs w:val="1"/>
                <w:color w:val="auto"/>
                <w:w w:val="86"/>
              </w:rPr>
              <w:t>Stock</w:t>
            </w:r>
          </w:p>
        </w:tc>
        <w:tc>
          <w:tcPr>
            <w:tcW w:w="1540" w:type="dxa"/>
            <w:vAlign w:val="bottom"/>
            <w:tcBorders>
              <w:top w:val="single" w:sz="8" w:color="auto"/>
              <w:right w:val="single" w:sz="8" w:color="auto"/>
            </w:tcBorders>
            <w:vMerge w:val="restart"/>
            <w:shd w:val="clear" w:color="auto" w:fill="CCCCCC"/>
          </w:tcPr>
          <w:p>
            <w:pPr>
              <w:ind w:left="260"/>
              <w:spacing w:after="0"/>
              <w:rPr>
                <w:sz w:val="20"/>
                <w:szCs w:val="20"/>
                <w:color w:val="auto"/>
              </w:rPr>
            </w:pPr>
            <w:r>
              <w:rPr>
                <w:rFonts w:ascii="Arial" w:cs="Arial" w:eastAsia="Arial" w:hAnsi="Arial"/>
                <w:sz w:val="22"/>
                <w:szCs w:val="22"/>
                <w:b w:val="1"/>
                <w:bCs w:val="1"/>
                <w:color w:val="auto"/>
              </w:rPr>
              <w:t>Number of</w:t>
            </w:r>
          </w:p>
        </w:tc>
        <w:tc>
          <w:tcPr>
            <w:tcW w:w="3360" w:type="dxa"/>
            <w:vAlign w:val="bottom"/>
            <w:tcBorders>
              <w:top w:val="single" w:sz="8" w:color="auto"/>
              <w:right w:val="single" w:sz="8" w:color="auto"/>
            </w:tcBorders>
            <w:vMerge w:val="restart"/>
            <w:shd w:val="clear" w:color="auto" w:fill="CCCCCC"/>
          </w:tcPr>
          <w:p>
            <w:pPr>
              <w:ind w:left="540"/>
              <w:spacing w:after="0"/>
              <w:rPr>
                <w:sz w:val="20"/>
                <w:szCs w:val="20"/>
                <w:color w:val="auto"/>
              </w:rPr>
            </w:pPr>
            <w:r>
              <w:rPr>
                <w:rFonts w:ascii="Arial" w:cs="Arial" w:eastAsia="Arial" w:hAnsi="Arial"/>
                <w:sz w:val="22"/>
                <w:szCs w:val="22"/>
                <w:b w:val="1"/>
                <w:bCs w:val="1"/>
                <w:color w:val="auto"/>
              </w:rPr>
              <w:t>Pledgor(s)/Percentage of</w:t>
            </w: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restart"/>
            <w:shd w:val="clear" w:color="auto" w:fill="CCCCCC"/>
          </w:tcPr>
          <w:p>
            <w:pPr>
              <w:ind w:left="280"/>
              <w:spacing w:after="0" w:line="243" w:lineRule="exact"/>
              <w:rPr>
                <w:sz w:val="20"/>
                <w:szCs w:val="20"/>
                <w:color w:val="auto"/>
              </w:rPr>
            </w:pPr>
            <w:r>
              <w:rPr>
                <w:rFonts w:ascii="Arial" w:cs="Arial" w:eastAsia="Arial" w:hAnsi="Arial"/>
                <w:sz w:val="22"/>
                <w:szCs w:val="22"/>
                <w:b w:val="1"/>
                <w:bCs w:val="1"/>
                <w:color w:val="auto"/>
              </w:rPr>
              <w:t>Pledged Entity</w:t>
            </w:r>
          </w:p>
        </w:tc>
        <w:tc>
          <w:tcPr>
            <w:tcW w:w="1100" w:type="dxa"/>
            <w:vAlign w:val="bottom"/>
            <w:vMerge w:val="restart"/>
            <w:shd w:val="clear" w:color="auto" w:fill="CCCCCC"/>
          </w:tcPr>
          <w:p>
            <w:pPr>
              <w:jc w:val="center"/>
              <w:ind w:left="32"/>
              <w:spacing w:after="0" w:line="243" w:lineRule="exact"/>
              <w:rPr>
                <w:sz w:val="20"/>
                <w:szCs w:val="20"/>
                <w:color w:val="auto"/>
              </w:rPr>
            </w:pPr>
            <w:r>
              <w:rPr>
                <w:rFonts w:ascii="Arial" w:cs="Arial" w:eastAsia="Arial" w:hAnsi="Arial"/>
                <w:sz w:val="22"/>
                <w:szCs w:val="22"/>
                <w:b w:val="1"/>
                <w:bCs w:val="1"/>
                <w:color w:val="auto"/>
                <w:w w:val="88"/>
              </w:rPr>
              <w:t>Common</w:t>
            </w: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jc w:val="center"/>
              <w:spacing w:after="0" w:line="243" w:lineRule="exact"/>
              <w:rPr>
                <w:sz w:val="20"/>
                <w:szCs w:val="20"/>
                <w:color w:val="auto"/>
              </w:rPr>
            </w:pPr>
            <w:r>
              <w:rPr>
                <w:rFonts w:ascii="Arial" w:cs="Arial" w:eastAsia="Arial" w:hAnsi="Arial"/>
                <w:sz w:val="22"/>
                <w:szCs w:val="22"/>
                <w:b w:val="1"/>
                <w:bCs w:val="1"/>
                <w:color w:val="auto"/>
                <w:w w:val="91"/>
              </w:rPr>
              <w:t>Certificate</w:t>
            </w: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3360" w:type="dxa"/>
            <w:vAlign w:val="bottom"/>
            <w:tcBorders>
              <w:right w:val="single" w:sz="8" w:color="auto"/>
            </w:tcBorders>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40" w:type="dxa"/>
            <w:vAlign w:val="bottom"/>
            <w:tcBorders>
              <w:left w:val="single" w:sz="8" w:color="auto"/>
              <w:right w:val="single" w:sz="8" w:color="auto"/>
            </w:tcBorders>
            <w:shd w:val="clear" w:color="auto" w:fill="CCCCCC"/>
          </w:tcPr>
          <w:p>
            <w:pPr>
              <w:spacing w:after="0"/>
              <w:rPr>
                <w:sz w:val="10"/>
                <w:szCs w:val="10"/>
                <w:color w:val="auto"/>
              </w:rPr>
            </w:pPr>
          </w:p>
        </w:tc>
        <w:tc>
          <w:tcPr>
            <w:tcW w:w="1940" w:type="dxa"/>
            <w:vAlign w:val="bottom"/>
            <w:tcBorders>
              <w:right w:val="single" w:sz="8" w:color="auto"/>
            </w:tcBorders>
            <w:vMerge w:val="continue"/>
            <w:shd w:val="clear" w:color="auto" w:fill="CCCCCC"/>
          </w:tcPr>
          <w:p>
            <w:pPr>
              <w:spacing w:after="0"/>
              <w:rPr>
                <w:sz w:val="10"/>
                <w:szCs w:val="10"/>
                <w:color w:val="auto"/>
              </w:rPr>
            </w:pPr>
          </w:p>
        </w:tc>
        <w:tc>
          <w:tcPr>
            <w:tcW w:w="1100" w:type="dxa"/>
            <w:vAlign w:val="bottom"/>
            <w:vMerge w:val="continue"/>
            <w:shd w:val="clear" w:color="auto" w:fill="CCCCCC"/>
          </w:tcPr>
          <w:p>
            <w:pPr>
              <w:spacing w:after="0"/>
              <w:rPr>
                <w:sz w:val="10"/>
                <w:szCs w:val="10"/>
                <w:color w:val="auto"/>
              </w:rPr>
            </w:pPr>
          </w:p>
        </w:tc>
        <w:tc>
          <w:tcPr>
            <w:tcW w:w="160" w:type="dxa"/>
            <w:vAlign w:val="bottom"/>
            <w:tcBorders>
              <w:right w:val="single" w:sz="8" w:color="auto"/>
            </w:tcBorders>
            <w:shd w:val="clear" w:color="auto" w:fill="CCCCCC"/>
          </w:tcPr>
          <w:p>
            <w:pPr>
              <w:spacing w:after="0"/>
              <w:rPr>
                <w:sz w:val="10"/>
                <w:szCs w:val="10"/>
                <w:color w:val="auto"/>
              </w:rPr>
            </w:pPr>
          </w:p>
        </w:tc>
        <w:tc>
          <w:tcPr>
            <w:tcW w:w="1540" w:type="dxa"/>
            <w:vAlign w:val="bottom"/>
            <w:tcBorders>
              <w:right w:val="single" w:sz="8" w:color="auto"/>
            </w:tcBorders>
            <w:vMerge w:val="continue"/>
            <w:shd w:val="clear" w:color="auto" w:fill="CCCCCC"/>
          </w:tcPr>
          <w:p>
            <w:pPr>
              <w:spacing w:after="0"/>
              <w:rPr>
                <w:sz w:val="10"/>
                <w:szCs w:val="10"/>
                <w:color w:val="auto"/>
              </w:rPr>
            </w:pPr>
          </w:p>
        </w:tc>
        <w:tc>
          <w:tcPr>
            <w:tcW w:w="1540" w:type="dxa"/>
            <w:vAlign w:val="bottom"/>
            <w:tcBorders>
              <w:right w:val="single" w:sz="8" w:color="auto"/>
            </w:tcBorders>
            <w:vMerge w:val="restart"/>
            <w:shd w:val="clear" w:color="auto" w:fill="CCCCCC"/>
          </w:tcPr>
          <w:p>
            <w:pPr>
              <w:ind w:left="440"/>
              <w:spacing w:after="0"/>
              <w:rPr>
                <w:sz w:val="20"/>
                <w:szCs w:val="20"/>
                <w:color w:val="auto"/>
              </w:rPr>
            </w:pPr>
            <w:r>
              <w:rPr>
                <w:rFonts w:ascii="Arial" w:cs="Arial" w:eastAsia="Arial" w:hAnsi="Arial"/>
                <w:sz w:val="22"/>
                <w:szCs w:val="22"/>
                <w:b w:val="1"/>
                <w:bCs w:val="1"/>
                <w:color w:val="auto"/>
              </w:rPr>
              <w:t>Shares</w:t>
            </w:r>
          </w:p>
        </w:tc>
        <w:tc>
          <w:tcPr>
            <w:tcW w:w="3360" w:type="dxa"/>
            <w:vAlign w:val="bottom"/>
            <w:tcBorders>
              <w:right w:val="single" w:sz="8" w:color="auto"/>
            </w:tcBorders>
            <w:vMerge w:val="restart"/>
            <w:shd w:val="clear" w:color="auto" w:fill="CCCCCC"/>
          </w:tcPr>
          <w:p>
            <w:pPr>
              <w:ind w:left="760"/>
              <w:spacing w:after="0"/>
              <w:rPr>
                <w:sz w:val="20"/>
                <w:szCs w:val="20"/>
                <w:color w:val="auto"/>
              </w:rPr>
            </w:pPr>
            <w:r>
              <w:rPr>
                <w:rFonts w:ascii="Arial" w:cs="Arial" w:eastAsia="Arial" w:hAnsi="Arial"/>
                <w:sz w:val="22"/>
                <w:szCs w:val="22"/>
                <w:b w:val="1"/>
                <w:bCs w:val="1"/>
                <w:color w:val="auto"/>
              </w:rPr>
              <w:t>Outstanding Shares</w:t>
            </w:r>
          </w:p>
        </w:tc>
        <w:tc>
          <w:tcPr>
            <w:tcW w:w="0" w:type="dxa"/>
            <w:vAlign w:val="bottom"/>
          </w:tcPr>
          <w:p>
            <w:pPr>
              <w:spacing w:after="0"/>
              <w:rPr>
                <w:sz w:val="1"/>
                <w:szCs w:val="1"/>
                <w:color w:val="auto"/>
              </w:rPr>
            </w:pPr>
          </w:p>
        </w:tc>
      </w:tr>
      <w:tr>
        <w:trPr>
          <w:trHeight w:val="159"/>
        </w:trPr>
        <w:tc>
          <w:tcPr>
            <w:tcW w:w="440" w:type="dxa"/>
            <w:vAlign w:val="bottom"/>
            <w:tcBorders>
              <w:left w:val="single" w:sz="8" w:color="auto"/>
              <w:right w:val="single" w:sz="8" w:color="auto"/>
            </w:tcBorders>
            <w:shd w:val="clear" w:color="auto" w:fill="CCCCCC"/>
          </w:tcPr>
          <w:p>
            <w:pPr>
              <w:spacing w:after="0"/>
              <w:rPr>
                <w:sz w:val="13"/>
                <w:szCs w:val="13"/>
                <w:color w:val="auto"/>
              </w:rPr>
            </w:pPr>
          </w:p>
        </w:tc>
        <w:tc>
          <w:tcPr>
            <w:tcW w:w="1940" w:type="dxa"/>
            <w:vAlign w:val="bottom"/>
            <w:tcBorders>
              <w:right w:val="single" w:sz="8" w:color="auto"/>
            </w:tcBorders>
            <w:shd w:val="clear" w:color="auto" w:fill="CCCCCC"/>
          </w:tcPr>
          <w:p>
            <w:pPr>
              <w:spacing w:after="0"/>
              <w:rPr>
                <w:sz w:val="13"/>
                <w:szCs w:val="13"/>
                <w:color w:val="auto"/>
              </w:rPr>
            </w:pPr>
          </w:p>
        </w:tc>
        <w:tc>
          <w:tcPr>
            <w:tcW w:w="1100" w:type="dxa"/>
            <w:vAlign w:val="bottom"/>
            <w:vMerge w:val="restart"/>
            <w:shd w:val="clear" w:color="auto" w:fill="CCCCCC"/>
          </w:tcPr>
          <w:p>
            <w:pPr>
              <w:jc w:val="center"/>
              <w:ind w:left="32"/>
              <w:spacing w:after="0"/>
              <w:rPr>
                <w:sz w:val="20"/>
                <w:szCs w:val="20"/>
                <w:color w:val="auto"/>
              </w:rPr>
            </w:pPr>
            <w:r>
              <w:rPr>
                <w:rFonts w:ascii="Arial" w:cs="Arial" w:eastAsia="Arial" w:hAnsi="Arial"/>
                <w:sz w:val="22"/>
                <w:szCs w:val="22"/>
                <w:b w:val="1"/>
                <w:bCs w:val="1"/>
                <w:color w:val="auto"/>
                <w:w w:val="86"/>
              </w:rPr>
              <w:t>Stock</w:t>
            </w:r>
          </w:p>
        </w:tc>
        <w:tc>
          <w:tcPr>
            <w:tcW w:w="160" w:type="dxa"/>
            <w:vAlign w:val="bottom"/>
            <w:tcBorders>
              <w:right w:val="single" w:sz="8" w:color="auto"/>
            </w:tcBorders>
            <w:shd w:val="clear" w:color="auto" w:fill="CCCCCC"/>
          </w:tcPr>
          <w:p>
            <w:pPr>
              <w:spacing w:after="0"/>
              <w:rPr>
                <w:sz w:val="13"/>
                <w:szCs w:val="13"/>
                <w:color w:val="auto"/>
              </w:rPr>
            </w:pPr>
          </w:p>
        </w:tc>
        <w:tc>
          <w:tcPr>
            <w:tcW w:w="1540" w:type="dxa"/>
            <w:vAlign w:val="bottom"/>
            <w:tcBorders>
              <w:right w:val="single" w:sz="8" w:color="auto"/>
            </w:tcBorders>
            <w:vMerge w:val="restart"/>
            <w:shd w:val="clear" w:color="auto" w:fill="CCCCCC"/>
          </w:tcPr>
          <w:p>
            <w:pPr>
              <w:jc w:val="center"/>
              <w:spacing w:after="0"/>
              <w:rPr>
                <w:sz w:val="20"/>
                <w:szCs w:val="20"/>
                <w:color w:val="auto"/>
              </w:rPr>
            </w:pPr>
            <w:r>
              <w:rPr>
                <w:rFonts w:ascii="Arial" w:cs="Arial" w:eastAsia="Arial" w:hAnsi="Arial"/>
                <w:sz w:val="22"/>
                <w:szCs w:val="22"/>
                <w:b w:val="1"/>
                <w:bCs w:val="1"/>
                <w:color w:val="auto"/>
                <w:w w:val="90"/>
              </w:rPr>
              <w:t>Number(s)</w:t>
            </w:r>
          </w:p>
        </w:tc>
        <w:tc>
          <w:tcPr>
            <w:tcW w:w="1540" w:type="dxa"/>
            <w:vAlign w:val="bottom"/>
            <w:tcBorders>
              <w:right w:val="single" w:sz="8" w:color="auto"/>
            </w:tcBorders>
            <w:vMerge w:val="continue"/>
            <w:shd w:val="clear" w:color="auto" w:fill="CCCCCC"/>
          </w:tcPr>
          <w:p>
            <w:pPr>
              <w:spacing w:after="0"/>
              <w:rPr>
                <w:sz w:val="13"/>
                <w:szCs w:val="13"/>
                <w:color w:val="auto"/>
              </w:rPr>
            </w:pPr>
          </w:p>
        </w:tc>
        <w:tc>
          <w:tcPr>
            <w:tcW w:w="3360" w:type="dxa"/>
            <w:vAlign w:val="bottom"/>
            <w:tcBorders>
              <w:right w:val="single" w:sz="8" w:color="auto"/>
            </w:tcBorders>
            <w:vMerge w:val="continue"/>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0" w:type="dxa"/>
            <w:vAlign w:val="bottom"/>
            <w:tcBorders>
              <w:left w:val="single" w:sz="8" w:color="auto"/>
              <w:bottom w:val="single" w:sz="8" w:color="auto"/>
              <w:right w:val="single" w:sz="8" w:color="auto"/>
            </w:tcBorders>
            <w:shd w:val="clear" w:color="auto" w:fill="CCCCCC"/>
          </w:tcPr>
          <w:p>
            <w:pPr>
              <w:spacing w:after="0"/>
              <w:rPr>
                <w:sz w:val="9"/>
                <w:szCs w:val="9"/>
                <w:color w:val="auto"/>
              </w:rPr>
            </w:pPr>
          </w:p>
        </w:tc>
        <w:tc>
          <w:tcPr>
            <w:tcW w:w="1940" w:type="dxa"/>
            <w:vAlign w:val="bottom"/>
            <w:tcBorders>
              <w:bottom w:val="single" w:sz="8" w:color="auto"/>
              <w:right w:val="single" w:sz="8" w:color="auto"/>
            </w:tcBorders>
            <w:shd w:val="clear" w:color="auto" w:fill="CCCCCC"/>
          </w:tcPr>
          <w:p>
            <w:pPr>
              <w:spacing w:after="0"/>
              <w:rPr>
                <w:sz w:val="9"/>
                <w:szCs w:val="9"/>
                <w:color w:val="auto"/>
              </w:rPr>
            </w:pPr>
          </w:p>
        </w:tc>
        <w:tc>
          <w:tcPr>
            <w:tcW w:w="1100" w:type="dxa"/>
            <w:vAlign w:val="bottom"/>
            <w:tcBorders>
              <w:bottom w:val="single" w:sz="8" w:color="auto"/>
            </w:tcBorders>
            <w:vMerge w:val="continue"/>
            <w:shd w:val="clear" w:color="auto" w:fill="CCCCCC"/>
          </w:tcPr>
          <w:p>
            <w:pPr>
              <w:spacing w:after="0"/>
              <w:rPr>
                <w:sz w:val="9"/>
                <w:szCs w:val="9"/>
                <w:color w:val="auto"/>
              </w:rPr>
            </w:pPr>
          </w:p>
        </w:tc>
        <w:tc>
          <w:tcPr>
            <w:tcW w:w="160" w:type="dxa"/>
            <w:vAlign w:val="bottom"/>
            <w:tcBorders>
              <w:bottom w:val="single" w:sz="8" w:color="auto"/>
              <w:right w:val="single" w:sz="8" w:color="auto"/>
            </w:tcBorders>
            <w:shd w:val="clear" w:color="auto" w:fill="CCCCCC"/>
          </w:tcPr>
          <w:p>
            <w:pPr>
              <w:spacing w:after="0"/>
              <w:rPr>
                <w:sz w:val="9"/>
                <w:szCs w:val="9"/>
                <w:color w:val="auto"/>
              </w:rPr>
            </w:pPr>
          </w:p>
        </w:tc>
        <w:tc>
          <w:tcPr>
            <w:tcW w:w="1540" w:type="dxa"/>
            <w:vAlign w:val="bottom"/>
            <w:tcBorders>
              <w:bottom w:val="single" w:sz="8" w:color="auto"/>
              <w:right w:val="single" w:sz="8" w:color="auto"/>
            </w:tcBorders>
            <w:vMerge w:val="continue"/>
            <w:shd w:val="clear" w:color="auto" w:fill="CCCCCC"/>
          </w:tcPr>
          <w:p>
            <w:pPr>
              <w:spacing w:after="0"/>
              <w:rPr>
                <w:sz w:val="9"/>
                <w:szCs w:val="9"/>
                <w:color w:val="auto"/>
              </w:rPr>
            </w:pPr>
          </w:p>
        </w:tc>
        <w:tc>
          <w:tcPr>
            <w:tcW w:w="1540" w:type="dxa"/>
            <w:vAlign w:val="bottom"/>
            <w:tcBorders>
              <w:bottom w:val="single" w:sz="8" w:color="auto"/>
              <w:right w:val="single" w:sz="8" w:color="auto"/>
            </w:tcBorders>
            <w:shd w:val="clear" w:color="auto" w:fill="CCCCCC"/>
          </w:tcPr>
          <w:p>
            <w:pPr>
              <w:spacing w:after="0"/>
              <w:rPr>
                <w:sz w:val="9"/>
                <w:szCs w:val="9"/>
                <w:color w:val="auto"/>
              </w:rPr>
            </w:pPr>
          </w:p>
        </w:tc>
        <w:tc>
          <w:tcPr>
            <w:tcW w:w="3360" w:type="dxa"/>
            <w:vAlign w:val="bottom"/>
            <w:tcBorders>
              <w:bottom w:val="single" w:sz="8" w:color="auto"/>
              <w:right w:val="single" w:sz="8" w:color="auto"/>
            </w:tcBorders>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68.</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Royalaire</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98"/>
              </w:rPr>
              <w:t>N/A</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rPr>
              <w:t>N/A</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N/A</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 member interest – BCH</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w w:val="91"/>
              </w:rPr>
              <w:t>Mechanical Services</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336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Holdings, Inc.</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II, LLC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69.</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S.I. Goldman</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750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70.</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S.M. Lawrence</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Company, 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w w:val="97"/>
              </w:rPr>
              <w:t>71.</w:t>
            </w:r>
          </w:p>
        </w:tc>
        <w:tc>
          <w:tcPr>
            <w:tcW w:w="19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Seasonair, Inc.</w:t>
            </w:r>
          </w:p>
        </w:tc>
        <w:tc>
          <w:tcPr>
            <w:tcW w:w="1100" w:type="dxa"/>
            <w:vAlign w:val="bottom"/>
            <w:tcBorders>
              <w:bottom w:val="single" w:sz="8" w:color="auto"/>
            </w:tcBorders>
          </w:tcPr>
          <w:p>
            <w:pPr>
              <w:jc w:val="center"/>
              <w:ind w:left="32"/>
              <w:spacing w:after="0" w:line="237" w:lineRule="exact"/>
              <w:rPr>
                <w:sz w:val="20"/>
                <w:szCs w:val="20"/>
                <w:color w:val="auto"/>
              </w:rPr>
            </w:pPr>
            <w:r>
              <w:rPr>
                <w:rFonts w:ascii="Arial" w:cs="Arial" w:eastAsia="Arial" w:hAnsi="Arial"/>
                <w:sz w:val="22"/>
                <w:szCs w:val="22"/>
                <w:color w:val="auto"/>
                <w:w w:val="89"/>
              </w:rPr>
              <w:t>Common</w:t>
            </w:r>
          </w:p>
        </w:tc>
        <w:tc>
          <w:tcPr>
            <w:tcW w:w="16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8"/>
              </w:rPr>
              <w:t>CS1</w:t>
            </w:r>
          </w:p>
        </w:tc>
        <w:tc>
          <w:tcPr>
            <w:tcW w:w="154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rPr>
              <w:t>1,544,000</w:t>
            </w:r>
          </w:p>
        </w:tc>
        <w:tc>
          <w:tcPr>
            <w:tcW w:w="3360" w:type="dxa"/>
            <w:vAlign w:val="bottom"/>
            <w:tcBorders>
              <w:bottom w:val="single" w:sz="8" w:color="auto"/>
              <w:right w:val="single" w:sz="8" w:color="auto"/>
            </w:tcBorders>
          </w:tcPr>
          <w:p>
            <w:pPr>
              <w:ind w:left="60"/>
              <w:spacing w:after="0" w:line="237"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72.</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ShoffnerKalthoff</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1"/>
              </w:rPr>
              <w:t>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600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MES, Inc.</w:t>
            </w: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1"/>
              </w:rPr>
              <w:t>3</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300</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1"/>
              </w:rPr>
              <w:t>4</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484</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1"/>
              </w:rPr>
              <w:t>5</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110</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Borders>
              <w:left w:val="single" w:sz="8" w:color="auto"/>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54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1"/>
              </w:rPr>
              <w:t>6</w:t>
            </w:r>
          </w:p>
        </w:tc>
        <w:tc>
          <w:tcPr>
            <w:tcW w:w="1540" w:type="dxa"/>
            <w:vAlign w:val="bottom"/>
            <w:tcBorders>
              <w:right w:val="single" w:sz="8" w:color="auto"/>
            </w:tcBorders>
          </w:tcPr>
          <w:p>
            <w:pPr>
              <w:ind w:left="60"/>
              <w:spacing w:after="0" w:line="243" w:lineRule="exact"/>
              <w:rPr>
                <w:sz w:val="20"/>
                <w:szCs w:val="20"/>
                <w:color w:val="auto"/>
              </w:rPr>
            </w:pPr>
            <w:r>
              <w:rPr>
                <w:rFonts w:ascii="Arial" w:cs="Arial" w:eastAsia="Arial" w:hAnsi="Arial"/>
                <w:sz w:val="22"/>
                <w:szCs w:val="22"/>
                <w:color w:val="auto"/>
              </w:rPr>
              <w:t>81.20</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1"/>
              </w:rPr>
              <w:t>7</w:t>
            </w:r>
          </w:p>
        </w:tc>
        <w:tc>
          <w:tcPr>
            <w:tcW w:w="15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18.80</w:t>
            </w: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40" w:type="dxa"/>
            <w:vAlign w:val="bottom"/>
            <w:tcBorders>
              <w:left w:val="single" w:sz="8" w:color="auto"/>
              <w:right w:val="single" w:sz="8" w:color="auto"/>
            </w:tcBorders>
          </w:tcPr>
          <w:p>
            <w:pPr>
              <w:jc w:val="right"/>
              <w:ind w:right="12"/>
              <w:spacing w:after="0" w:line="216" w:lineRule="exact"/>
              <w:rPr>
                <w:sz w:val="20"/>
                <w:szCs w:val="20"/>
                <w:color w:val="auto"/>
              </w:rPr>
            </w:pPr>
            <w:r>
              <w:rPr>
                <w:rFonts w:ascii="Arial" w:cs="Arial" w:eastAsia="Arial" w:hAnsi="Arial"/>
                <w:sz w:val="22"/>
                <w:szCs w:val="22"/>
                <w:color w:val="auto"/>
                <w:w w:val="97"/>
              </w:rPr>
              <w:t>73.</w:t>
            </w:r>
          </w:p>
        </w:tc>
        <w:tc>
          <w:tcPr>
            <w:tcW w:w="19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2"/>
              </w:rPr>
              <w:t>Temp Right Service,</w:t>
            </w:r>
          </w:p>
        </w:tc>
        <w:tc>
          <w:tcPr>
            <w:tcW w:w="1100" w:type="dxa"/>
            <w:vAlign w:val="bottom"/>
          </w:tcPr>
          <w:p>
            <w:pPr>
              <w:jc w:val="center"/>
              <w:ind w:left="32"/>
              <w:spacing w:after="0" w:line="216" w:lineRule="exact"/>
              <w:rPr>
                <w:sz w:val="20"/>
                <w:szCs w:val="20"/>
                <w:color w:val="auto"/>
              </w:rPr>
            </w:pPr>
            <w:r>
              <w:rPr>
                <w:rFonts w:ascii="Arial" w:cs="Arial" w:eastAsia="Arial" w:hAnsi="Arial"/>
                <w:sz w:val="22"/>
                <w:szCs w:val="22"/>
                <w:color w:val="auto"/>
                <w:w w:val="89"/>
              </w:rPr>
              <w:t>Common</w:t>
            </w:r>
          </w:p>
        </w:tc>
        <w:tc>
          <w:tcPr>
            <w:tcW w:w="16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2"/>
                <w:szCs w:val="22"/>
                <w:color w:val="auto"/>
                <w:w w:val="88"/>
              </w:rPr>
              <w:t>CS1</w:t>
            </w:r>
          </w:p>
        </w:tc>
        <w:tc>
          <w:tcPr>
            <w:tcW w:w="154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rPr>
              <w:t>100</w:t>
            </w:r>
          </w:p>
        </w:tc>
        <w:tc>
          <w:tcPr>
            <w:tcW w:w="3360" w:type="dxa"/>
            <w:vAlign w:val="bottom"/>
            <w:tcBorders>
              <w:right w:val="single" w:sz="8" w:color="auto"/>
            </w:tcBorders>
          </w:tcPr>
          <w:p>
            <w:pPr>
              <w:ind w:left="60"/>
              <w:spacing w:after="0" w:line="216" w:lineRule="exact"/>
              <w:rPr>
                <w:sz w:val="20"/>
                <w:szCs w:val="20"/>
                <w:color w:val="auto"/>
              </w:rPr>
            </w:pPr>
            <w:r>
              <w:rPr>
                <w:rFonts w:ascii="Arial" w:cs="Arial" w:eastAsia="Arial" w:hAnsi="Arial"/>
                <w:sz w:val="22"/>
                <w:szCs w:val="22"/>
                <w:color w:val="auto"/>
                <w:w w:val="93"/>
              </w:rPr>
              <w:t>100% of shares owned by Borrower</w:t>
            </w:r>
          </w:p>
        </w:tc>
        <w:tc>
          <w:tcPr>
            <w:tcW w:w="0" w:type="dxa"/>
            <w:vAlign w:val="bottom"/>
          </w:tcPr>
          <w:p>
            <w:pPr>
              <w:spacing w:after="0"/>
              <w:rPr>
                <w:sz w:val="1"/>
                <w:szCs w:val="1"/>
                <w:color w:val="auto"/>
              </w:rPr>
            </w:pPr>
          </w:p>
        </w:tc>
      </w:tr>
      <w:tr>
        <w:trPr>
          <w:trHeight w:val="265"/>
        </w:trPr>
        <w:tc>
          <w:tcPr>
            <w:tcW w:w="440" w:type="dxa"/>
            <w:vAlign w:val="bottom"/>
            <w:tcBorders>
              <w:left w:val="single" w:sz="8" w:color="auto"/>
              <w:bottom w:val="single" w:sz="8" w:color="auto"/>
              <w:right w:val="single" w:sz="8" w:color="auto"/>
            </w:tcBorders>
          </w:tcPr>
          <w:p>
            <w:pPr>
              <w:spacing w:after="0"/>
              <w:rPr>
                <w:sz w:val="23"/>
                <w:szCs w:val="23"/>
                <w:color w:val="auto"/>
              </w:rPr>
            </w:pPr>
          </w:p>
        </w:tc>
        <w:tc>
          <w:tcPr>
            <w:tcW w:w="1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Inc.</w:t>
            </w:r>
          </w:p>
        </w:tc>
        <w:tc>
          <w:tcPr>
            <w:tcW w:w="1100" w:type="dxa"/>
            <w:vAlign w:val="bottom"/>
            <w:tcBorders>
              <w:bottom w:val="single" w:sz="8" w:color="auto"/>
            </w:tcBorders>
          </w:tcPr>
          <w:p>
            <w:pPr>
              <w:spacing w:after="0"/>
              <w:rPr>
                <w:sz w:val="23"/>
                <w:szCs w:val="23"/>
                <w:color w:val="auto"/>
              </w:rPr>
            </w:pPr>
          </w:p>
        </w:tc>
        <w:tc>
          <w:tcPr>
            <w:tcW w:w="16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1540" w:type="dxa"/>
            <w:vAlign w:val="bottom"/>
            <w:tcBorders>
              <w:bottom w:val="single" w:sz="8" w:color="auto"/>
              <w:right w:val="single" w:sz="8" w:color="auto"/>
            </w:tcBorders>
          </w:tcPr>
          <w:p>
            <w:pPr>
              <w:spacing w:after="0"/>
              <w:rPr>
                <w:sz w:val="23"/>
                <w:szCs w:val="23"/>
                <w:color w:val="auto"/>
              </w:rPr>
            </w:pPr>
          </w:p>
        </w:tc>
        <w:tc>
          <w:tcPr>
            <w:tcW w:w="336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58"/>
        </w:trPr>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40" w:type="dxa"/>
            <w:vAlign w:val="bottom"/>
            <w:gridSpan w:val="3"/>
          </w:tcPr>
          <w:p>
            <w:pPr>
              <w:ind w:left="60"/>
              <w:spacing w:after="0"/>
              <w:rPr>
                <w:sz w:val="20"/>
                <w:szCs w:val="20"/>
                <w:color w:val="auto"/>
              </w:rPr>
            </w:pPr>
            <w:r>
              <w:rPr>
                <w:rFonts w:ascii="Arial" w:cs="Arial" w:eastAsia="Arial" w:hAnsi="Arial"/>
                <w:sz w:val="18"/>
                <w:szCs w:val="18"/>
                <w:color w:val="auto"/>
                <w:w w:val="93"/>
              </w:rPr>
              <w:t>Schedule I to Pledge Agreement – Page 6</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080"/>
          </w:cols>
          <w:pgMar w:left="920" w:top="160" w:right="89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jc w:val="center"/>
        <w:spacing w:after="0"/>
        <w:rPr>
          <w:sz w:val="20"/>
          <w:szCs w:val="20"/>
          <w:color w:val="auto"/>
        </w:rPr>
      </w:pPr>
      <w:r>
        <w:rPr>
          <w:rFonts w:ascii="Arial" w:cs="Arial" w:eastAsia="Arial" w:hAnsi="Arial"/>
          <w:sz w:val="18"/>
          <w:szCs w:val="18"/>
          <w:b w:val="1"/>
          <w:bCs w:val="1"/>
          <w:color w:val="auto"/>
        </w:rPr>
        <w:t>Pursuant to Section 302 of the Sarbanes 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Brian E. Lane, certify that:</w:t>
      </w:r>
    </w:p>
    <w:p>
      <w:pPr>
        <w:spacing w:after="0" w:line="185" w:lineRule="exact"/>
        <w:rPr>
          <w:sz w:val="20"/>
          <w:szCs w:val="20"/>
          <w:color w:val="auto"/>
        </w:rPr>
      </w:pPr>
    </w:p>
    <w:p>
      <w:pPr>
        <w:ind w:left="640" w:hanging="637"/>
        <w:spacing w:after="0" w:line="207" w:lineRule="exact"/>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Comfort Systems USA,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4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120" w:hanging="657"/>
        <w:spacing w:after="0" w:line="194" w:lineRule="exact"/>
        <w:tabs>
          <w:tab w:leader="none" w:pos="63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163" w:lineRule="exact"/>
        <w:rPr>
          <w:rFonts w:ascii="Arial" w:cs="Arial" w:eastAsia="Arial" w:hAnsi="Arial"/>
          <w:sz w:val="16"/>
          <w:szCs w:val="16"/>
          <w:color w:val="auto"/>
        </w:rPr>
      </w:pPr>
    </w:p>
    <w:p>
      <w:pPr>
        <w:ind w:left="1300" w:right="140" w:hanging="649"/>
        <w:spacing w:after="0" w:line="219" w:lineRule="auto"/>
        <w:tabs>
          <w:tab w:leader="none" w:pos="128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29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hanging="649"/>
        <w:spacing w:after="0" w:line="224" w:lineRule="auto"/>
        <w:tabs>
          <w:tab w:leader="none" w:pos="128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100" w:hanging="649"/>
        <w:spacing w:after="0" w:line="219" w:lineRule="auto"/>
        <w:tabs>
          <w:tab w:leader="none" w:pos="129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660" w:right="460" w:hanging="657"/>
        <w:spacing w:after="0" w:line="224" w:lineRule="auto"/>
        <w:tabs>
          <w:tab w:leader="none" w:pos="63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28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40" w:hanging="649"/>
        <w:spacing w:after="0" w:line="235" w:lineRule="auto"/>
        <w:tabs>
          <w:tab w:leader="none" w:pos="1297"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4880" w:right="2960" w:hanging="4874"/>
        <w:spacing w:after="0" w:line="248" w:lineRule="auto"/>
        <w:tabs>
          <w:tab w:leader="none" w:pos="486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6"/>
          <w:szCs w:val="16"/>
          <w:color w:val="auto"/>
        </w:rPr>
        <w:t>/s/ Brian E. Lane 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-111760</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416560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jc w:val="center"/>
        <w:spacing w:after="0" w:line="207" w:lineRule="exact"/>
        <w:rPr>
          <w:sz w:val="20"/>
          <w:szCs w:val="20"/>
          <w:color w:val="auto"/>
        </w:rPr>
      </w:pPr>
      <w:r>
        <w:rPr>
          <w:rFonts w:ascii="Arial" w:cs="Arial" w:eastAsia="Arial" w:hAnsi="Arial"/>
          <w:sz w:val="18"/>
          <w:szCs w:val="18"/>
          <w:b w:val="1"/>
          <w:bCs w:val="1"/>
          <w:color w:val="auto"/>
        </w:rPr>
        <w:t>Pursuant to 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William George, certify that:</w:t>
      </w:r>
    </w:p>
    <w:p>
      <w:pPr>
        <w:spacing w:after="0" w:line="185" w:lineRule="exact"/>
        <w:rPr>
          <w:sz w:val="20"/>
          <w:szCs w:val="20"/>
          <w:color w:val="auto"/>
        </w:rPr>
      </w:pPr>
    </w:p>
    <w:p>
      <w:pPr>
        <w:ind w:left="640" w:hanging="637"/>
        <w:spacing w:after="0" w:line="207" w:lineRule="exact"/>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Comfort Systems USA,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4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4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120" w:hanging="657"/>
        <w:spacing w:after="0" w:line="194" w:lineRule="exact"/>
        <w:tabs>
          <w:tab w:leader="none" w:pos="63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163" w:lineRule="exact"/>
        <w:rPr>
          <w:rFonts w:ascii="Arial" w:cs="Arial" w:eastAsia="Arial" w:hAnsi="Arial"/>
          <w:sz w:val="16"/>
          <w:szCs w:val="16"/>
          <w:color w:val="auto"/>
        </w:rPr>
      </w:pPr>
    </w:p>
    <w:p>
      <w:pPr>
        <w:ind w:left="1280" w:right="140" w:hanging="629"/>
        <w:spacing w:after="0" w:line="219" w:lineRule="auto"/>
        <w:tabs>
          <w:tab w:leader="none" w:pos="12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280" w:right="100" w:hanging="629"/>
        <w:spacing w:after="0" w:line="219" w:lineRule="auto"/>
        <w:tabs>
          <w:tab w:leader="none" w:pos="127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280" w:hanging="629"/>
        <w:spacing w:after="0" w:line="224" w:lineRule="auto"/>
        <w:tabs>
          <w:tab w:leader="none" w:pos="12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280" w:right="100" w:hanging="629"/>
        <w:spacing w:after="0" w:line="219" w:lineRule="auto"/>
        <w:tabs>
          <w:tab w:leader="none" w:pos="127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660" w:right="460" w:hanging="657"/>
        <w:spacing w:after="0" w:line="224" w:lineRule="auto"/>
        <w:tabs>
          <w:tab w:leader="none" w:pos="63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280" w:right="60" w:hanging="629"/>
        <w:spacing w:after="0" w:line="224" w:lineRule="auto"/>
        <w:tabs>
          <w:tab w:leader="none" w:pos="126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280" w:right="240" w:hanging="629"/>
        <w:spacing w:after="0" w:line="235" w:lineRule="auto"/>
        <w:tabs>
          <w:tab w:leader="none" w:pos="127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vMerge w:val="restart"/>
          </w:tcPr>
          <w:p>
            <w:pPr>
              <w:spacing w:after="0"/>
              <w:rPr>
                <w:sz w:val="20"/>
                <w:szCs w:val="20"/>
                <w:color w:val="auto"/>
              </w:rPr>
            </w:pPr>
            <w:r>
              <w:rPr>
                <w:rFonts w:ascii="Arial" w:cs="Arial" w:eastAsia="Arial" w:hAnsi="Arial"/>
                <w:sz w:val="18"/>
                <w:szCs w:val="18"/>
                <w:color w:val="auto"/>
              </w:rPr>
              <w:t>Date: July 26, 2018</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George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4360" w:type="dxa"/>
            <w:vAlign w:val="bottom"/>
          </w:tcPr>
          <w:p>
            <w:pPr>
              <w:spacing w:after="0" w:line="142" w:lineRule="exact"/>
              <w:rPr>
                <w:sz w:val="20"/>
                <w:szCs w:val="20"/>
                <w:color w:val="auto"/>
              </w:rPr>
            </w:pPr>
            <w:r>
              <w:rPr>
                <w:rFonts w:ascii="Arial" w:cs="Arial" w:eastAsia="Arial" w:hAnsi="Arial"/>
                <w:sz w:val="16"/>
                <w:szCs w:val="16"/>
                <w:color w:val="auto"/>
              </w:rPr>
              <w:t>William George</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668"/>
        </w:trPr>
        <w:tc>
          <w:tcPr>
            <w:tcW w:w="47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ind w:right="380" w:firstLine="648"/>
        <w:spacing w:after="0" w:line="189" w:lineRule="exact"/>
        <w:rPr>
          <w:sz w:val="20"/>
          <w:szCs w:val="20"/>
          <w:color w:val="auto"/>
        </w:rPr>
      </w:pPr>
      <w:r>
        <w:rPr>
          <w:rFonts w:ascii="Arial" w:cs="Arial" w:eastAsia="Arial" w:hAnsi="Arial"/>
          <w:sz w:val="18"/>
          <w:szCs w:val="18"/>
          <w:color w:val="auto"/>
        </w:rPr>
        <w:t>In connection with the Quarterly Report of Comfort Systems USA,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2018, as filed with the Securities and Exchange Commission on the date hereof (the “Report”), I, Brian E. Lane, President and Chief Executive Officer of the Company, certify, pursuant to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163" w:lineRule="exact"/>
        <w:rPr>
          <w:sz w:val="20"/>
          <w:szCs w:val="20"/>
          <w:color w:val="auto"/>
        </w:rPr>
      </w:pPr>
    </w:p>
    <w:p>
      <w:pPr>
        <w:ind w:left="1300" w:right="160" w:hanging="649"/>
        <w:spacing w:after="0" w:line="235" w:lineRule="auto"/>
        <w:tabs>
          <w:tab w:leader="none" w:pos="127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61" w:lineRule="exact"/>
        <w:rPr>
          <w:rFonts w:ascii="Arial" w:cs="Arial" w:eastAsia="Arial" w:hAnsi="Arial"/>
          <w:sz w:val="18"/>
          <w:szCs w:val="18"/>
          <w:color w:val="auto"/>
        </w:rPr>
      </w:pPr>
    </w:p>
    <w:p>
      <w:pPr>
        <w:ind w:left="1300" w:right="80" w:hanging="649"/>
        <w:spacing w:after="0" w:line="235" w:lineRule="auto"/>
        <w:tabs>
          <w:tab w:leader="none" w:pos="127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ind w:left="5120" w:right="2720" w:hanging="5117"/>
        <w:spacing w:after="0" w:line="248" w:lineRule="auto"/>
        <w:tabs>
          <w:tab w:leader="none" w:pos="510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6"/>
          <w:szCs w:val="16"/>
          <w:color w:val="auto"/>
        </w:rPr>
        <w:t>/s/ Brian E. Lane Brian 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-111760</wp:posOffset>
            </wp:positionV>
            <wp:extent cx="25044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948055</wp:posOffset>
            </wp:positionV>
            <wp:extent cx="14408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40" w:right="240" w:hanging="637"/>
        <w:spacing w:after="0" w:line="289" w:lineRule="auto"/>
        <w:tabs>
          <w:tab w:leader="none" w:pos="62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In connection with the Quarterly Report of Comfort Systems USA,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 ended June 30, 2018, as filed with the Securities and Exchange Commission on the date hereof (the “Report”), I, William George, Executive Vice President and Chief Financial Officer of the Company, certify, pursuant to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w:t>
      </w:r>
    </w:p>
    <w:p>
      <w:pPr>
        <w:spacing w:after="0" w:line="163" w:lineRule="exact"/>
        <w:rPr>
          <w:sz w:val="20"/>
          <w:szCs w:val="20"/>
          <w:color w:val="auto"/>
        </w:rPr>
      </w:pPr>
    </w:p>
    <w:p>
      <w:pPr>
        <w:ind w:left="1300" w:right="160" w:hanging="649"/>
        <w:spacing w:after="0" w:line="235" w:lineRule="auto"/>
        <w:tabs>
          <w:tab w:leader="none" w:pos="127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61" w:lineRule="exact"/>
        <w:rPr>
          <w:rFonts w:ascii="Arial" w:cs="Arial" w:eastAsia="Arial" w:hAnsi="Arial"/>
          <w:sz w:val="18"/>
          <w:szCs w:val="18"/>
          <w:color w:val="auto"/>
        </w:rPr>
      </w:pPr>
    </w:p>
    <w:p>
      <w:pPr>
        <w:ind w:left="1300" w:right="80" w:hanging="649"/>
        <w:spacing w:after="0" w:line="235" w:lineRule="auto"/>
        <w:tabs>
          <w:tab w:leader="none" w:pos="127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p>
      <w:pPr>
        <w:ind w:left="4800" w:right="2900" w:hanging="4793"/>
        <w:spacing w:after="0" w:line="248" w:lineRule="auto"/>
        <w:tabs>
          <w:tab w:leader="none" w:pos="4780" w:val="left"/>
        </w:tabs>
        <w:rPr>
          <w:sz w:val="20"/>
          <w:szCs w:val="20"/>
          <w:color w:val="auto"/>
        </w:rPr>
      </w:pPr>
      <w:r>
        <w:rPr>
          <w:rFonts w:ascii="Arial" w:cs="Arial" w:eastAsia="Arial" w:hAnsi="Arial"/>
          <w:sz w:val="18"/>
          <w:szCs w:val="18"/>
          <w:color w:val="auto"/>
        </w:rPr>
        <w:t>Date: July 26, 2018</w:t>
      </w:r>
      <w:r>
        <w:rPr>
          <w:sz w:val="20"/>
          <w:szCs w:val="20"/>
          <w:color w:val="auto"/>
        </w:rPr>
        <w:tab/>
      </w:r>
      <w:r>
        <w:rPr>
          <w:rFonts w:ascii="Arial" w:cs="Arial" w:eastAsia="Arial" w:hAnsi="Arial"/>
          <w:sz w:val="16"/>
          <w:szCs w:val="16"/>
          <w:color w:val="auto"/>
        </w:rPr>
        <w:t>/s/ William George William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-111760</wp:posOffset>
            </wp:positionV>
            <wp:extent cx="27101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1282700</wp:posOffset>
            </wp:positionV>
            <wp:extent cx="144081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right="240" w:hanging="637"/>
        <w:spacing w:after="0" w:line="289" w:lineRule="auto"/>
        <w:tabs>
          <w:tab w:leader="none" w:pos="62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276860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2"/>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decimal"/>
      <w:start w:val="7"/>
    </w:lvl>
  </w:abstractNum>
  <w:abstractNum w:abstractNumId="5">
    <w:nsid w:val="61574095"/>
    <w:multiLevelType w:val="hybridMultilevel"/>
    <w:lvl w:ilvl="0">
      <w:lvlJc w:val="left"/>
      <w:lvlText w:val="%1."/>
      <w:numFmt w:val="upperLetter"/>
      <w:start w:val="1"/>
    </w:lvl>
  </w:abstractNum>
  <w:abstractNum w:abstractNumId="6">
    <w:nsid w:val="7E0C57B1"/>
    <w:multiLevelType w:val="hybridMultilevel"/>
    <w:lvl w:ilvl="0">
      <w:lvlJc w:val="left"/>
      <w:lvlText w:val="%1."/>
      <w:numFmt w:val="decimal"/>
      <w:start w:val="1"/>
    </w:lvl>
    <w:lvl w:ilvl="1">
      <w:lvlJc w:val="left"/>
      <w:lvlText w:val="(%2)"/>
      <w:numFmt w:val="lowerLetter"/>
      <w:start w:val="1"/>
    </w:lvl>
  </w:abstractNum>
  <w:abstractNum w:abstractNumId="7">
    <w:nsid w:val="77AE35EB"/>
    <w:multiLevelType w:val="hybridMultilevel"/>
    <w:lvl w:ilvl="0">
      <w:lvlJc w:val="left"/>
      <w:lvlText w:val="(%1)"/>
      <w:numFmt w:val="lowerLetter"/>
      <w:start w:val="2"/>
    </w:lvl>
  </w:abstractNum>
  <w:abstractNum w:abstractNumId="8">
    <w:nsid w:val="579BE4F1"/>
    <w:multiLevelType w:val="hybridMultilevel"/>
    <w:lvl w:ilvl="0">
      <w:lvlJc w:val="left"/>
      <w:lvlText w:val="%1."/>
      <w:numFmt w:val="decimal"/>
      <w:start w:val="3"/>
    </w:lvl>
  </w:abstractNum>
  <w:abstractNum w:abstractNumId="9">
    <w:nsid w:val="310C50B3"/>
    <w:multiLevelType w:val="hybridMultilevel"/>
    <w:lvl w:ilvl="0">
      <w:lvlJc w:val="left"/>
      <w:lvlText w:val="%1."/>
      <w:numFmt w:val="decimal"/>
      <w:start w:val="4"/>
    </w:lvl>
    <w:lvl w:ilvl="1">
      <w:lvlJc w:val="left"/>
      <w:lvlText w:val="(%2)"/>
      <w:numFmt w:val="lowerLetter"/>
      <w:start w:val="1"/>
    </w:lvl>
  </w:abstractNum>
  <w:abstractNum w:abstractNumId="10">
    <w:nsid w:val="5FF87E05"/>
    <w:multiLevelType w:val="hybridMultilevel"/>
    <w:lvl w:ilvl="0">
      <w:lvlJc w:val="left"/>
      <w:lvlText w:val="(%1)"/>
      <w:numFmt w:val="lowerLetter"/>
      <w:start w:val="1"/>
    </w:lvl>
  </w:abstractNum>
  <w:abstractNum w:abstractNumId="11">
    <w:nsid w:val="2F305DEF"/>
    <w:multiLevelType w:val="hybridMultilevel"/>
    <w:lvl w:ilvl="0">
      <w:lvlJc w:val="left"/>
      <w:lvlText w:val="(%1)"/>
      <w:numFmt w:val="lowerRoman"/>
      <w:start w:val="1"/>
    </w:lvl>
  </w:abstractNum>
  <w:abstractNum w:abstractNumId="12">
    <w:nsid w:val="25A70BF7"/>
    <w:multiLevelType w:val="hybridMultilevel"/>
    <w:lvl w:ilvl="0">
      <w:lvlJc w:val="left"/>
      <w:lvlText w:val="(%1)"/>
      <w:numFmt w:val="lowerLetter"/>
      <w:start w:val="6"/>
    </w:lvl>
  </w:abstractNum>
  <w:abstractNum w:abstractNumId="13">
    <w:nsid w:val="1DBABF00"/>
    <w:multiLevelType w:val="hybridMultilevel"/>
    <w:lvl w:ilvl="0">
      <w:lvlJc w:val="left"/>
      <w:lvlText w:val="%1"/>
      <w:numFmt w:val="decimal"/>
      <w:start w:val="1"/>
    </w:lvl>
    <w:lvl w:ilvl="1">
      <w:lvlJc w:val="left"/>
      <w:lvlText w:val="(%2)"/>
      <w:numFmt w:val="lowerLetter"/>
      <w:start w:val="7"/>
    </w:lvl>
  </w:abstractNum>
  <w:abstractNum w:abstractNumId="14">
    <w:nsid w:val="4AD084E9"/>
    <w:multiLevelType w:val="hybridMultilevel"/>
    <w:lvl w:ilvl="0">
      <w:lvlJc w:val="left"/>
      <w:lvlText w:val="%1."/>
      <w:numFmt w:val="decimal"/>
      <w:start w:val="7"/>
    </w:lvl>
    <w:lvl w:ilvl="1">
      <w:lvlJc w:val="left"/>
      <w:lvlText w:val="(%2)"/>
      <w:numFmt w:val="lowerLetter"/>
      <w:start w:val="1"/>
    </w:lvl>
  </w:abstractNum>
  <w:abstractNum w:abstractNumId="15">
    <w:nsid w:val="1F48EAA1"/>
    <w:multiLevelType w:val="hybridMultilevel"/>
    <w:lvl w:ilvl="0">
      <w:lvlJc w:val="left"/>
      <w:lvlText w:val="%1."/>
      <w:numFmt w:val="decimal"/>
      <w:start w:val="12"/>
    </w:lvl>
  </w:abstractNum>
  <w:abstractNum w:abstractNumId="16">
    <w:nsid w:val="1381823A"/>
    <w:multiLevelType w:val="hybridMultilevel"/>
    <w:lvl w:ilvl="0">
      <w:lvlJc w:val="left"/>
      <w:lvlText w:val="%1"/>
      <w:numFmt w:val="lowerLetter"/>
      <w:start w:val="1"/>
    </w:lvl>
    <w:lvl w:ilvl="1">
      <w:lvlJc w:val="left"/>
      <w:lvlText w:val="(%2)"/>
      <w:numFmt w:val="lowerLetter"/>
      <w:start w:val="1"/>
    </w:lvl>
  </w:abstractNum>
  <w:abstractNum w:abstractNumId="17">
    <w:nsid w:val="5DB70AE5"/>
    <w:multiLevelType w:val="hybridMultilevel"/>
    <w:lvl w:ilvl="0">
      <w:lvlJc w:val="left"/>
      <w:lvlText w:val="(%1)"/>
      <w:numFmt w:val="lowerLetter"/>
      <w:start w:val="2"/>
    </w:lvl>
    <w:lvl w:ilvl="1">
      <w:lvlJc w:val="left"/>
      <w:lvlText w:val="(%2)"/>
      <w:numFmt w:val="lowerLetter"/>
      <w:start w:val="4"/>
    </w:lvl>
  </w:abstractNum>
  <w:abstractNum w:abstractNumId="18">
    <w:nsid w:val="100F8FCA"/>
    <w:multiLevelType w:val="hybridMultilevel"/>
    <w:lvl w:ilvl="0">
      <w:lvlJc w:val="left"/>
      <w:lvlText w:val="(%1)"/>
      <w:numFmt w:val="lowerLetter"/>
      <w:start w:val="2"/>
    </w:lvl>
  </w:abstractNum>
  <w:abstractNum w:abstractNumId="19">
    <w:nsid w:val="6590700B"/>
    <w:multiLevelType w:val="hybridMultilevel"/>
    <w:lvl w:ilvl="0">
      <w:lvlJc w:val="left"/>
      <w:lvlText w:val="(%1)"/>
      <w:numFmt w:val="lowerLetter"/>
      <w:start w:val="1"/>
    </w:lvl>
  </w:abstractNum>
  <w:abstractNum w:abstractNumId="20">
    <w:nsid w:val="15014ACB"/>
    <w:multiLevelType w:val="hybridMultilevel"/>
    <w:lvl w:ilvl="0">
      <w:lvlJc w:val="left"/>
      <w:lvlText w:val="(%1)"/>
      <w:numFmt w:val="lowerLetter"/>
      <w:start w:val="9"/>
    </w:lvl>
  </w:abstractNum>
  <w:abstractNum w:abstractNumId="21">
    <w:nsid w:val="5F5E7FD0"/>
    <w:multiLevelType w:val="hybridMultilevel"/>
    <w:lvl w:ilvl="0">
      <w:lvlJc w:val="left"/>
      <w:lvlText w:val="(%1)"/>
      <w:numFmt w:val="lowerLetter"/>
      <w:start w:val="3"/>
    </w:lvl>
  </w:abstractNum>
  <w:abstractNum w:abstractNumId="22">
    <w:nsid w:val="98A3148"/>
    <w:multiLevelType w:val="hybridMultilevel"/>
    <w:lvl w:ilvl="0">
      <w:lvlJc w:val="left"/>
      <w:lvlText w:val="(%1)"/>
      <w:numFmt w:val="lowerRoman"/>
      <w:start w:val="2"/>
    </w:lvl>
  </w:abstractNum>
  <w:abstractNum w:abstractNumId="23">
    <w:nsid w:val="799D0247"/>
    <w:multiLevelType w:val="hybridMultilevel"/>
    <w:lvl w:ilvl="0">
      <w:lvlJc w:val="left"/>
      <w:lvlText w:val="(%1)"/>
      <w:numFmt w:val="lowerLetter"/>
      <w:start w:val="1"/>
    </w:lvl>
  </w:abstractNum>
  <w:abstractNum w:abstractNumId="24">
    <w:nsid w:val="6B94764"/>
    <w:multiLevelType w:val="hybridMultilevel"/>
    <w:lvl w:ilvl="0">
      <w:lvlJc w:val="left"/>
      <w:lvlText w:val="(%1)"/>
      <w:numFmt w:val="lowerLetter"/>
      <w:start w:val="4"/>
    </w:lvl>
  </w:abstractNum>
  <w:abstractNum w:abstractNumId="25">
    <w:nsid w:val="42C296BD"/>
    <w:multiLevelType w:val="hybridMultilevel"/>
    <w:lvl w:ilvl="0">
      <w:lvlJc w:val="left"/>
      <w:lvlText w:val="(%1)"/>
      <w:numFmt w:val="lowerLetter"/>
      <w:start w:val="1"/>
    </w:lvl>
  </w:abstractNum>
  <w:abstractNum w:abstractNumId="26">
    <w:nsid w:val="168E121F"/>
    <w:multiLevelType w:val="hybridMultilevel"/>
    <w:lvl w:ilvl="0">
      <w:lvlJc w:val="left"/>
      <w:lvlText w:val="(%1)"/>
      <w:numFmt w:val="lowerLetter"/>
      <w:start w:val="9"/>
    </w:lvl>
  </w:abstractNum>
  <w:abstractNum w:abstractNumId="27">
    <w:nsid w:val="1EBA5D23"/>
    <w:multiLevelType w:val="hybridMultilevel"/>
    <w:lvl w:ilvl="0">
      <w:lvlJc w:val="left"/>
      <w:lvlText w:val="(%1)"/>
      <w:numFmt w:val="lowerRoman"/>
      <w:start w:val="4"/>
    </w:lvl>
  </w:abstractNum>
  <w:abstractNum w:abstractNumId="28">
    <w:nsid w:val="661E3F1E"/>
    <w:multiLevelType w:val="hybridMultilevel"/>
    <w:lvl w:ilvl="0">
      <w:lvlJc w:val="left"/>
      <w:lvlText w:val="%1"/>
      <w:numFmt w:val="upperLetter"/>
      <w:start w:val="61"/>
    </w:lvl>
  </w:abstractNum>
  <w:abstractNum w:abstractNumId="29">
    <w:nsid w:val="5DC79EA8"/>
    <w:multiLevelType w:val="hybridMultilevel"/>
    <w:lvl w:ilvl="0">
      <w:lvlJc w:val="left"/>
      <w:lvlText w:val="(%1)"/>
      <w:numFmt w:val="lowerLetter"/>
      <w:start w:val="1"/>
    </w:lvl>
  </w:abstractNum>
  <w:abstractNum w:abstractNumId="30">
    <w:nsid w:val="540A471C"/>
    <w:multiLevelType w:val="hybridMultilevel"/>
    <w:lvl w:ilvl="0">
      <w:lvlJc w:val="left"/>
      <w:lvlText w:val="(%1)"/>
      <w:numFmt w:val="lowerLetter"/>
      <w:start w:val="2"/>
    </w:lvl>
  </w:abstractNum>
  <w:abstractNum w:abstractNumId="31">
    <w:nsid w:val="7BD3EE7B"/>
    <w:multiLevelType w:val="hybridMultilevel"/>
    <w:lvl w:ilvl="0">
      <w:lvlJc w:val="left"/>
      <w:lvlText w:val="(%1)"/>
      <w:numFmt w:val="lowerLetter"/>
      <w:start w:val="1"/>
    </w:lvl>
  </w:abstractNum>
  <w:abstractNum w:abstractNumId="32">
    <w:nsid w:val="51D9C564"/>
    <w:multiLevelType w:val="hybridMultilevel"/>
    <w:lvl w:ilvl="0">
      <w:lvlJc w:val="left"/>
      <w:lvlText w:val="%1"/>
      <w:numFmt w:val="lowerLetter"/>
      <w:start w:val="1"/>
    </w:lvl>
    <w:lvl w:ilvl="1">
      <w:lvlJc w:val="left"/>
      <w:lvlText w:val="(%2)"/>
      <w:numFmt w:val="lowerLetter"/>
      <w:start w:val="1"/>
    </w:lvl>
  </w:abstractNum>
  <w:abstractNum w:abstractNumId="33">
    <w:nsid w:val="613EFDC5"/>
    <w:multiLevelType w:val="hybridMultilevel"/>
    <w:lvl w:ilvl="0">
      <w:lvlJc w:val="left"/>
      <w:lvlText w:val="(%1)"/>
      <w:numFmt w:val="lowerLetter"/>
      <w:start w:val="9"/>
    </w:lvl>
    <w:lvl w:ilvl="1">
      <w:lvlJc w:val="left"/>
      <w:lvlText w:val="(%2)"/>
      <w:numFmt w:val="lowerLetter"/>
      <w:start w:val="3"/>
    </w:lvl>
  </w:abstractNum>
  <w:abstractNum w:abstractNumId="34">
    <w:nsid w:val="BF72B14"/>
    <w:multiLevelType w:val="hybridMultilevel"/>
    <w:lvl w:ilvl="0">
      <w:lvlJc w:val="left"/>
      <w:lvlText w:val="(%1)"/>
      <w:numFmt w:val="lowerLetter"/>
      <w:start w:val="1"/>
    </w:lvl>
  </w:abstractNum>
  <w:abstractNum w:abstractNumId="35">
    <w:nsid w:val="11447B73"/>
    <w:multiLevelType w:val="hybridMultilevel"/>
    <w:lvl w:ilvl="0">
      <w:lvlJc w:val="left"/>
      <w:lvlText w:val="(%1)"/>
      <w:numFmt w:val="lowerLetter"/>
      <w:start w:val="1"/>
    </w:lvl>
  </w:abstractNum>
  <w:abstractNum w:abstractNumId="36">
    <w:nsid w:val="42963E5A"/>
    <w:multiLevelType w:val="hybridMultilevel"/>
    <w:lvl w:ilvl="0">
      <w:lvlJc w:val="left"/>
      <w:lvlText w:val="(%1)"/>
      <w:numFmt w:val="lowerLetter"/>
      <w:start w:val="2"/>
    </w:lvl>
  </w:abstractNum>
  <w:abstractNum w:abstractNumId="37">
    <w:nsid w:val="A0382C5"/>
    <w:multiLevelType w:val="hybridMultilevel"/>
    <w:lvl w:ilvl="0">
      <w:lvlJc w:val="left"/>
      <w:lvlText w:val="(%1)"/>
      <w:numFmt w:val="lowerLetter"/>
      <w:start w:val="3"/>
    </w:lvl>
  </w:abstractNum>
  <w:abstractNum w:abstractNumId="38">
    <w:nsid w:val="8F2B15E"/>
    <w:multiLevelType w:val="hybridMultilevel"/>
    <w:lvl w:ilvl="0">
      <w:lvlJc w:val="left"/>
      <w:lvlText w:val="(%1)"/>
      <w:numFmt w:val="lowerLetter"/>
      <w:start w:val="1"/>
    </w:lvl>
  </w:abstractNum>
  <w:abstractNum w:abstractNumId="39">
    <w:nsid w:val="1A32234B"/>
    <w:multiLevelType w:val="hybridMultilevel"/>
    <w:lvl w:ilvl="0">
      <w:lvlJc w:val="left"/>
      <w:lvlText w:val="(%1)"/>
      <w:numFmt w:val="lowerLetter"/>
      <w:start w:val="1"/>
    </w:lvl>
  </w:abstractNum>
  <w:abstractNum w:abstractNumId="40">
    <w:nsid w:val="3B0FD379"/>
    <w:multiLevelType w:val="hybridMultilevel"/>
    <w:lvl w:ilvl="0">
      <w:lvlJc w:val="left"/>
      <w:lvlText w:val="(%1)"/>
      <w:numFmt w:val="lowerLetter"/>
      <w:start w:val="4"/>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lowerLetter"/>
      <w:start w:val="1"/>
    </w:lvl>
  </w:abstractNum>
  <w:abstractNum w:abstractNumId="43">
    <w:nsid w:val="60B6DF70"/>
    <w:multiLevelType w:val="hybridMultilevel"/>
    <w:lvl w:ilvl="0">
      <w:lvlJc w:val="left"/>
      <w:lvlText w:val="(%1)"/>
      <w:numFmt w:val="lowerLetter"/>
      <w:start w:val="2"/>
    </w:lvl>
  </w:abstractNum>
  <w:abstractNum w:abstractNumId="44">
    <w:nsid w:val="6A5EE64"/>
    <w:multiLevelType w:val="hybridMultilevel"/>
    <w:lvl w:ilvl="0">
      <w:lvlJc w:val="left"/>
      <w:lvlText w:val="(%1)"/>
      <w:numFmt w:val="lowerLetter"/>
      <w:start w:val="1"/>
    </w:lvl>
  </w:abstractNum>
  <w:abstractNum w:abstractNumId="45">
    <w:nsid w:val="14330624"/>
    <w:multiLevelType w:val="hybridMultilevel"/>
    <w:lvl w:ilvl="0">
      <w:lvlJc w:val="left"/>
      <w:lvlText w:val="(%1)"/>
      <w:numFmt w:val="lowerLetter"/>
      <w:start w:val="3"/>
    </w:lvl>
  </w:abstractNum>
  <w:abstractNum w:abstractNumId="46">
    <w:nsid w:val="7FFFCA11"/>
    <w:multiLevelType w:val="hybridMultilevel"/>
    <w:lvl w:ilvl="0">
      <w:lvlJc w:val="left"/>
      <w:lvlText w:val="(%1)"/>
      <w:numFmt w:val="lowerLetter"/>
      <w:start w:val="1"/>
    </w:lvl>
    <w:lvl w:ilvl="1">
      <w:lvlJc w:val="left"/>
      <w:lvlText w:val="(%2)"/>
      <w:numFmt w:val="lowerRoman"/>
      <w:start w:val="1"/>
    </w:lvl>
  </w:abstractNum>
  <w:abstractNum w:abstractNumId="47">
    <w:nsid w:val="1A27709E"/>
    <w:multiLevelType w:val="hybridMultilevel"/>
    <w:lvl w:ilvl="0">
      <w:lvlJc w:val="left"/>
      <w:lvlText w:val="%1"/>
      <w:numFmt w:val="lowerLetter"/>
      <w:start w:val="1"/>
    </w:lvl>
    <w:lvl w:ilvl="1">
      <w:lvlJc w:val="left"/>
      <w:lvlText w:val="(%2)"/>
      <w:numFmt w:val="lowerRoman"/>
      <w:start w:val="3"/>
    </w:lvl>
  </w:abstractNum>
  <w:abstractNum w:abstractNumId="48">
    <w:nsid w:val="71EA1109"/>
    <w:multiLevelType w:val="hybridMultilevel"/>
    <w:lvl w:ilvl="0">
      <w:lvlJc w:val="left"/>
      <w:lvlText w:val="(%1)"/>
      <w:numFmt w:val="lowerLetter"/>
      <w:start w:val="3"/>
    </w:lvl>
    <w:lvl w:ilvl="1">
      <w:lvlJc w:val="left"/>
      <w:lvlText w:val="%2"/>
      <w:numFmt w:val="lowerRoman"/>
      <w:start w:val="1"/>
    </w:lvl>
  </w:abstractNum>
  <w:abstractNum w:abstractNumId="49">
    <w:nsid w:val="100F59DC"/>
    <w:multiLevelType w:val="hybridMultilevel"/>
    <w:lvl w:ilvl="0">
      <w:lvlJc w:val="left"/>
      <w:lvlText w:val="(%1)"/>
      <w:numFmt w:val="lowerLetter"/>
      <w:start w:val="1"/>
    </w:lvl>
    <w:lvl w:ilvl="1">
      <w:lvlJc w:val="left"/>
      <w:lvlText w:val="(%2)"/>
      <w:numFmt w:val="lowerRoman"/>
      <w:start w:val="1"/>
    </w:lvl>
  </w:abstractNum>
  <w:abstractNum w:abstractNumId="50">
    <w:nsid w:val="7FB7E0AA"/>
    <w:multiLevelType w:val="hybridMultilevel"/>
    <w:lvl w:ilvl="0">
      <w:lvlJc w:val="left"/>
      <w:lvlText w:val="%1"/>
      <w:numFmt w:val="lowerLetter"/>
      <w:start w:val="1"/>
    </w:lvl>
    <w:lvl w:ilvl="1">
      <w:lvlJc w:val="left"/>
      <w:lvlText w:val="(%2)"/>
      <w:numFmt w:val="lowerRoman"/>
      <w:start w:val="4"/>
    </w:lvl>
  </w:abstractNum>
  <w:abstractNum w:abstractNumId="51">
    <w:nsid w:val="6EB5BD4"/>
    <w:multiLevelType w:val="hybridMultilevel"/>
    <w:lvl w:ilvl="0">
      <w:lvlJc w:val="left"/>
      <w:lvlText w:val="(%1)"/>
      <w:numFmt w:val="lowerLetter"/>
      <w:start w:val="4"/>
    </w:lvl>
    <w:lvl w:ilvl="1">
      <w:lvlJc w:val="left"/>
      <w:lvlText w:val="%2"/>
      <w:numFmt w:val="lowerRoman"/>
      <w:start w:val="1"/>
    </w:lvl>
  </w:abstractNum>
  <w:abstractNum w:abstractNumId="52">
    <w:nsid w:val="6F6DD9AC"/>
    <w:multiLevelType w:val="hybridMultilevel"/>
    <w:lvl w:ilvl="0">
      <w:lvlJc w:val="left"/>
      <w:lvlText w:val="(%1)"/>
      <w:numFmt w:val="lowerLetter"/>
      <w:start w:val="1"/>
    </w:lvl>
  </w:abstractNum>
  <w:abstractNum w:abstractNumId="53">
    <w:nsid w:val="94211F2"/>
    <w:multiLevelType w:val="hybridMultilevel"/>
    <w:lvl w:ilvl="0">
      <w:lvlJc w:val="left"/>
      <w:lvlText w:val="(%1)"/>
      <w:numFmt w:val="lowerLetter"/>
      <w:start w:val="1"/>
    </w:lvl>
    <w:lvl w:ilvl="1">
      <w:lvlJc w:val="left"/>
      <w:lvlText w:val="(%2)"/>
      <w:numFmt w:val="lowerLetter"/>
      <w:start w:val="9"/>
    </w:lvl>
  </w:abstractNum>
  <w:abstractNum w:abstractNumId="54">
    <w:nsid w:val="885E1B"/>
    <w:multiLevelType w:val="hybridMultilevel"/>
    <w:lvl w:ilvl="0">
      <w:lvlJc w:val="left"/>
      <w:lvlText w:val="(%1)"/>
      <w:numFmt w:val="lowerLetter"/>
      <w:start w:val="25"/>
    </w:lvl>
    <w:lvl w:ilvl="1">
      <w:lvlJc w:val="left"/>
      <w:lvlText w:val="%2"/>
      <w:numFmt w:val="lowerLetter"/>
      <w:start w:val="1"/>
    </w:lvl>
  </w:abstractNum>
  <w:abstractNum w:abstractNumId="55">
    <w:nsid w:val="76272110"/>
    <w:multiLevelType w:val="hybridMultilevel"/>
    <w:lvl w:ilvl="0">
      <w:lvlJc w:val="left"/>
      <w:lvlText w:val="(%1)"/>
      <w:numFmt w:val="lowerRoman"/>
      <w:start w:val="2"/>
    </w:lvl>
  </w:abstractNum>
  <w:abstractNum w:abstractNumId="56">
    <w:nsid w:val="4C04A8AF"/>
    <w:multiLevelType w:val="hybridMultilevel"/>
    <w:lvl w:ilvl="0">
      <w:lvlJc w:val="left"/>
      <w:lvlText w:val="(%1)"/>
      <w:numFmt w:val="lowerLetter"/>
      <w:start w:val="2"/>
    </w:lvl>
  </w:abstractNum>
  <w:abstractNum w:abstractNumId="57">
    <w:nsid w:val="1716703B"/>
    <w:multiLevelType w:val="hybridMultilevel"/>
    <w:lvl w:ilvl="0">
      <w:lvlJc w:val="left"/>
      <w:lvlText w:val="(%1)"/>
      <w:numFmt w:val="lowerLetter"/>
      <w:start w:val="3"/>
    </w:lvl>
  </w:abstractNum>
  <w:abstractNum w:abstractNumId="58">
    <w:nsid w:val="14E17E33"/>
    <w:multiLevelType w:val="hybridMultilevel"/>
    <w:lvl w:ilvl="0">
      <w:lvlJc w:val="left"/>
      <w:lvlText w:val="(%1)"/>
      <w:numFmt w:val="lowerLetter"/>
      <w:start w:val="4"/>
    </w:lvl>
  </w:abstractNum>
  <w:abstractNum w:abstractNumId="59">
    <w:nsid w:val="3222E7CD"/>
    <w:multiLevelType w:val="hybridMultilevel"/>
    <w:lvl w:ilvl="0">
      <w:lvlJc w:val="left"/>
      <w:lvlText w:val="(%1)"/>
      <w:numFmt w:val="lowerLetter"/>
      <w:start w:val="1"/>
    </w:lvl>
  </w:abstractNum>
  <w:abstractNum w:abstractNumId="60">
    <w:nsid w:val="74DE0EE3"/>
    <w:multiLevelType w:val="hybridMultilevel"/>
    <w:lvl w:ilvl="0">
      <w:lvlJc w:val="left"/>
      <w:lvlText w:val="(%1)"/>
      <w:numFmt w:val="upperLetter"/>
      <w:start w:val="1"/>
    </w:lvl>
    <w:lvl w:ilvl="1">
      <w:lvlJc w:val="left"/>
      <w:lvlText w:val="(%2)"/>
      <w:numFmt w:val="lowerLetter"/>
      <w:start w:val="2"/>
    </w:lvl>
  </w:abstractNum>
  <w:abstractNum w:abstractNumId="61">
    <w:nsid w:val="68EBC550"/>
    <w:multiLevelType w:val="hybridMultilevel"/>
    <w:lvl w:ilvl="0">
      <w:lvlJc w:val="left"/>
      <w:lvlText w:val="(%1)"/>
      <w:numFmt w:val="lowerLetter"/>
      <w:start w:val="5"/>
    </w:lvl>
  </w:abstractNum>
  <w:abstractNum w:abstractNumId="62">
    <w:nsid w:val="2DF6D648"/>
    <w:multiLevelType w:val="hybridMultilevel"/>
    <w:lvl w:ilvl="0">
      <w:lvlJc w:val="left"/>
      <w:lvlText w:val="(%1)"/>
      <w:numFmt w:val="lowerLetter"/>
      <w:start w:val="1"/>
    </w:lvl>
    <w:lvl w:ilvl="1">
      <w:lvlJc w:val="left"/>
      <w:lvlText w:val="(%2)"/>
      <w:numFmt w:val="lowerRoman"/>
      <w:start w:val="1"/>
    </w:lvl>
  </w:abstractNum>
  <w:abstractNum w:abstractNumId="63">
    <w:nsid w:val="46B7D447"/>
    <w:multiLevelType w:val="hybridMultilevel"/>
    <w:lvl w:ilvl="0">
      <w:lvlJc w:val="left"/>
      <w:lvlText w:val="(%1)"/>
      <w:numFmt w:val="lowerLetter"/>
      <w:start w:val="2"/>
    </w:lvl>
  </w:abstractNum>
  <w:abstractNum w:abstractNumId="64">
    <w:nsid w:val="4A2AC315"/>
    <w:multiLevelType w:val="hybridMultilevel"/>
    <w:lvl w:ilvl="0">
      <w:lvlJc w:val="left"/>
      <w:lvlText w:val="(%1)"/>
      <w:numFmt w:val="lowerLetter"/>
      <w:start w:val="1"/>
    </w:lvl>
  </w:abstractNum>
  <w:abstractNum w:abstractNumId="65">
    <w:nsid w:val="39EE015C"/>
    <w:multiLevelType w:val="hybridMultilevel"/>
    <w:lvl w:ilvl="0">
      <w:lvlJc w:val="left"/>
      <w:lvlText w:val="(%1)"/>
      <w:numFmt w:val="lowerLetter"/>
      <w:start w:val="1"/>
    </w:lvl>
    <w:lvl w:ilvl="1">
      <w:lvlJc w:val="left"/>
      <w:lvlText w:val="(%2)"/>
      <w:numFmt w:val="lowerRoman"/>
      <w:start w:val="1"/>
    </w:lvl>
  </w:abstractNum>
  <w:abstractNum w:abstractNumId="66">
    <w:nsid w:val="57FC4FBB"/>
    <w:multiLevelType w:val="hybridMultilevel"/>
    <w:lvl w:ilvl="0">
      <w:lvlJc w:val="left"/>
      <w:lvlText w:val="(%1)"/>
      <w:numFmt w:val="lowerLetter"/>
      <w:start w:val="7"/>
    </w:lvl>
  </w:abstractNum>
  <w:abstractNum w:abstractNumId="67">
    <w:nsid w:val="CC1016F"/>
    <w:multiLevelType w:val="hybridMultilevel"/>
    <w:lvl w:ilvl="0">
      <w:lvlJc w:val="left"/>
      <w:lvlText w:val="(%1)"/>
      <w:numFmt w:val="lowerLetter"/>
      <w:start w:val="1"/>
    </w:lvl>
  </w:abstractNum>
  <w:abstractNum w:abstractNumId="68">
    <w:nsid w:val="43F18422"/>
    <w:multiLevelType w:val="hybridMultilevel"/>
    <w:lvl w:ilvl="0">
      <w:lvlJc w:val="left"/>
      <w:lvlText w:val="(%1)"/>
      <w:numFmt w:val="lowerLetter"/>
      <w:start w:val="61"/>
    </w:lvl>
  </w:abstractNum>
  <w:abstractNum w:abstractNumId="69">
    <w:nsid w:val="60EF0119"/>
    <w:multiLevelType w:val="hybridMultilevel"/>
    <w:lvl w:ilvl="0">
      <w:lvlJc w:val="left"/>
      <w:lvlText w:val="(%1)"/>
      <w:numFmt w:val="lowerLetter"/>
      <w:start w:val="2"/>
    </w:lvl>
  </w:abstractNum>
  <w:abstractNum w:abstractNumId="70">
    <w:nsid w:val="26F324BA"/>
    <w:multiLevelType w:val="hybridMultilevel"/>
    <w:lvl w:ilvl="0">
      <w:lvlJc w:val="left"/>
      <w:lvlText w:val="(%1)"/>
      <w:numFmt w:val="lowerLetter"/>
      <w:start w:val="1"/>
    </w:lvl>
  </w:abstractNum>
  <w:abstractNum w:abstractNumId="71">
    <w:nsid w:val="7F01579B"/>
    <w:multiLevelType w:val="hybridMultilevel"/>
    <w:lvl w:ilvl="0">
      <w:lvlJc w:val="left"/>
      <w:lvlText w:val="(%1)"/>
      <w:numFmt w:val="lowerLetter"/>
      <w:start w:val="3"/>
    </w:lvl>
  </w:abstractNum>
  <w:abstractNum w:abstractNumId="72">
    <w:nsid w:val="49DA307D"/>
    <w:multiLevelType w:val="hybridMultilevel"/>
    <w:lvl w:ilvl="0">
      <w:lvlJc w:val="left"/>
      <w:lvlText w:val="(%1)"/>
      <w:numFmt w:val="lowerLetter"/>
      <w:start w:val="1"/>
    </w:lvl>
  </w:abstractNum>
  <w:abstractNum w:abstractNumId="73">
    <w:nsid w:val="7055A5F5"/>
    <w:multiLevelType w:val="hybridMultilevel"/>
    <w:lvl w:ilvl="0">
      <w:lvlJc w:val="left"/>
      <w:lvlText w:val="(%1)"/>
      <w:numFmt w:val="lowerLetter"/>
      <w:start w:val="3"/>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Roman"/>
      <w:start w:val="1"/>
    </w:lvl>
  </w:abstractNum>
  <w:abstractNum w:abstractNumId="76">
    <w:nsid w:val="488AC1A"/>
    <w:multiLevelType w:val="hybridMultilevel"/>
    <w:lvl w:ilvl="0">
      <w:lvlJc w:val="left"/>
      <w:lvlText w:val="(%1)"/>
      <w:numFmt w:val="lowerLetter"/>
      <w:start w:val="5"/>
    </w:lvl>
  </w:abstractNum>
  <w:abstractNum w:abstractNumId="77">
    <w:nsid w:val="5FB8011C"/>
    <w:multiLevelType w:val="hybridMultilevel"/>
    <w:lvl w:ilvl="0">
      <w:lvlJc w:val="left"/>
      <w:lvlText w:val="(%1)"/>
      <w:numFmt w:val="lowerLetter"/>
      <w:start w:val="1"/>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4"/>
    </w:lvl>
  </w:abstractNum>
  <w:abstractNum w:abstractNumId="80">
    <w:nsid w:val="6FC75AF8"/>
    <w:multiLevelType w:val="hybridMultilevel"/>
    <w:lvl w:ilvl="0">
      <w:lvlJc w:val="left"/>
      <w:lvlText w:val="(%1)"/>
      <w:numFmt w:val="lowerLetter"/>
      <w:start w:val="3"/>
    </w:lvl>
  </w:abstractNum>
  <w:abstractNum w:abstractNumId="81">
    <w:nsid w:val="6A5F7029"/>
    <w:multiLevelType w:val="hybridMultilevel"/>
    <w:lvl w:ilvl="0">
      <w:lvlJc w:val="left"/>
      <w:lvlText w:val="(%1)"/>
      <w:numFmt w:val="lowerLetter"/>
      <w:start w:val="1"/>
    </w:lvl>
  </w:abstractNum>
  <w:abstractNum w:abstractNumId="82">
    <w:nsid w:val="7D5E18F8"/>
    <w:multiLevelType w:val="hybridMultilevel"/>
    <w:lvl w:ilvl="0">
      <w:lvlJc w:val="left"/>
      <w:lvlText w:val="(%1)"/>
      <w:numFmt w:val="lowerLetter"/>
      <w:start w:val="1"/>
    </w:lvl>
    <w:lvl w:ilvl="1">
      <w:lvlJc w:val="left"/>
      <w:lvlText w:val="(%2)"/>
      <w:numFmt w:val="lowerLetter"/>
      <w:start w:val="9"/>
    </w:lvl>
  </w:abstractNum>
  <w:abstractNum w:abstractNumId="83">
    <w:nsid w:val="5F3534A4"/>
    <w:multiLevelType w:val="hybridMultilevel"/>
    <w:lvl w:ilvl="0">
      <w:lvlJc w:val="left"/>
      <w:lvlText w:val="(%1)"/>
      <w:numFmt w:val="lowerRoman"/>
      <w:start w:val="2"/>
    </w:lvl>
  </w:abstractNum>
  <w:abstractNum w:abstractNumId="84">
    <w:nsid w:val="73A1821B"/>
    <w:multiLevelType w:val="hybridMultilevel"/>
    <w:lvl w:ilvl="0">
      <w:lvlJc w:val="left"/>
      <w:lvlText w:val="(%1)"/>
      <w:numFmt w:val="lowerLetter"/>
      <w:start w:val="2"/>
    </w:lvl>
  </w:abstractNum>
  <w:abstractNum w:abstractNumId="85">
    <w:nsid w:val="7DE67713"/>
    <w:multiLevelType w:val="hybridMultilevel"/>
    <w:lvl w:ilvl="0">
      <w:lvlJc w:val="left"/>
      <w:lvlText w:val="(%1)"/>
      <w:numFmt w:val="lowerLetter"/>
      <w:start w:val="1"/>
    </w:lvl>
    <w:lvl w:ilvl="1">
      <w:lvlJc w:val="left"/>
      <w:lvlText w:val="(%2)"/>
      <w:numFmt w:val="lowerRoman"/>
      <w:start w:val="1"/>
    </w:lvl>
  </w:abstractNum>
  <w:abstractNum w:abstractNumId="86">
    <w:nsid w:val="555C55B5"/>
    <w:multiLevelType w:val="hybridMultilevel"/>
    <w:lvl w:ilvl="0">
      <w:lvlJc w:val="left"/>
      <w:lvlText w:val="(%1)"/>
      <w:numFmt w:val="lowerLetter"/>
      <w:start w:val="1"/>
    </w:lvl>
  </w:abstractNum>
  <w:abstractNum w:abstractNumId="87">
    <w:nsid w:val="3FA62ACA"/>
    <w:multiLevelType w:val="hybridMultilevel"/>
    <w:lvl w:ilvl="0">
      <w:lvlJc w:val="left"/>
      <w:lvlText w:val="%1"/>
      <w:numFmt w:val="lowerLetter"/>
      <w:start w:val="1"/>
    </w:lvl>
    <w:lvl w:ilvl="1">
      <w:lvlJc w:val="left"/>
      <w:lvlText w:val="(%2)"/>
      <w:numFmt w:val="lowerLetter"/>
      <w:start w:val="1"/>
    </w:lvl>
  </w:abstractNum>
  <w:abstractNum w:abstractNumId="88">
    <w:nsid w:val="14FCE74E"/>
    <w:multiLevelType w:val="hybridMultilevel"/>
    <w:lvl w:ilvl="0">
      <w:lvlJc w:val="left"/>
      <w:lvlText w:val="(%1)"/>
      <w:numFmt w:val="lowerLetter"/>
      <w:start w:val="25"/>
    </w:lvl>
    <w:lvl w:ilvl="1">
      <w:lvlJc w:val="left"/>
      <w:lvlText w:val="(%2)"/>
      <w:numFmt w:val="lowerLetter"/>
      <w:start w:val="2"/>
    </w:lvl>
  </w:abstractNum>
  <w:abstractNum w:abstractNumId="89">
    <w:nsid w:val="6A3DD3E8"/>
    <w:multiLevelType w:val="hybridMultilevel"/>
    <w:lvl w:ilvl="0">
      <w:lvlJc w:val="left"/>
      <w:lvlText w:val="(%1)"/>
      <w:numFmt w:val="lowerLetter"/>
      <w:start w:val="1"/>
    </w:lvl>
  </w:abstractNum>
  <w:abstractNum w:abstractNumId="90">
    <w:nsid w:val="71C91298"/>
    <w:multiLevelType w:val="hybridMultilevel"/>
    <w:lvl w:ilvl="0">
      <w:lvlJc w:val="left"/>
      <w:lvlText w:val="(%1)"/>
      <w:numFmt w:val="lowerLetter"/>
      <w:start w:val="4"/>
    </w:lvl>
  </w:abstractNum>
  <w:abstractNum w:abstractNumId="91">
    <w:nsid w:val="9DAF632"/>
    <w:multiLevelType w:val="hybridMultilevel"/>
    <w:lvl w:ilvl="0">
      <w:lvlJc w:val="left"/>
      <w:lvlText w:val="%1"/>
      <w:numFmt w:val="lowerLetter"/>
      <w:start w:val="1"/>
    </w:lvl>
    <w:lvl w:ilvl="1">
      <w:lvlJc w:val="left"/>
      <w:lvlText w:val="(%2)"/>
      <w:numFmt w:val="lowerLetter"/>
      <w:start w:val="1"/>
    </w:lvl>
  </w:abstractNum>
  <w:abstractNum w:abstractNumId="92">
    <w:nsid w:val="53299938"/>
    <w:multiLevelType w:val="hybridMultilevel"/>
    <w:lvl w:ilvl="0">
      <w:lvlJc w:val="left"/>
      <w:lvlText w:val="(%1)"/>
      <w:numFmt w:val="lowerLetter"/>
      <w:start w:val="2"/>
    </w:lvl>
    <w:lvl w:ilvl="1">
      <w:lvlJc w:val="left"/>
      <w:lvlText w:val="(%2)"/>
      <w:numFmt w:val="lowerLetter"/>
      <w:start w:val="4"/>
    </w:lvl>
  </w:abstractNum>
  <w:abstractNum w:abstractNumId="93">
    <w:nsid w:val="1FBFE8E0"/>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94">
    <w:nsid w:val="5092CA79"/>
    <w:multiLevelType w:val="hybridMultilevel"/>
    <w:lvl w:ilvl="0">
      <w:lvlJc w:val="left"/>
      <w:lvlText w:val="(%1)"/>
      <w:numFmt w:val="lowerLetter"/>
      <w:start w:val="61"/>
    </w:lvl>
    <w:lvl w:ilvl="1">
      <w:lvlJc w:val="left"/>
      <w:lvlText w:val="(%2)"/>
      <w:numFmt w:val="lowerLetter"/>
      <w:start w:val="10"/>
    </w:lvl>
    <w:lvl w:ilvl="2">
      <w:lvlJc w:val="left"/>
      <w:lvlText w:val="(%3)"/>
      <w:numFmt w:val="lowerRoman"/>
      <w:start w:val="1"/>
    </w:lvl>
  </w:abstractNum>
  <w:abstractNum w:abstractNumId="95">
    <w:nsid w:val="1D545C4D"/>
    <w:multiLevelType w:val="hybridMultilevel"/>
    <w:lvl w:ilvl="0">
      <w:lvlJc w:val="left"/>
      <w:lvlText w:val="%1"/>
      <w:numFmt w:val="lowerLetter"/>
      <w:start w:val="1"/>
    </w:lvl>
    <w:lvl w:ilvl="1">
      <w:lvlJc w:val="left"/>
      <w:lvlText w:val="(%2)"/>
      <w:numFmt w:val="lowerRoman"/>
      <w:start w:val="3"/>
    </w:lvl>
  </w:abstractNum>
  <w:abstractNum w:abstractNumId="96">
    <w:nsid w:val="59ADEA3D"/>
    <w:multiLevelType w:val="hybridMultilevel"/>
    <w:lvl w:ilvl="0">
      <w:lvlJc w:val="left"/>
      <w:lvlText w:val="(%1)"/>
      <w:numFmt w:val="lowerLetter"/>
      <w:start w:val="11"/>
    </w:lvl>
    <w:lvl w:ilvl="1">
      <w:lvlJc w:val="left"/>
      <w:lvlText w:val="%2"/>
      <w:numFmt w:val="lowerRoman"/>
      <w:start w:val="1"/>
    </w:lvl>
  </w:abstractNum>
  <w:abstractNum w:abstractNumId="97">
    <w:nsid w:val="288F1A34"/>
    <w:multiLevelType w:val="hybridMultilevel"/>
    <w:lvl w:ilvl="0">
      <w:lvlJc w:val="left"/>
      <w:lvlText w:val="(%1)"/>
      <w:numFmt w:val="lowerLetter"/>
      <w:start w:val="1"/>
    </w:lvl>
  </w:abstractNum>
  <w:abstractNum w:abstractNumId="98">
    <w:nsid w:val="2A155DBC"/>
    <w:multiLevelType w:val="hybridMultilevel"/>
    <w:lvl w:ilvl="0">
      <w:lvlJc w:val="left"/>
      <w:lvlText w:val="(%1)"/>
      <w:numFmt w:val="lowerLetter"/>
      <w:start w:val="6"/>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lowerRoman"/>
      <w:start w:val="1"/>
    </w:lvl>
    <w:lvl w:ilvl="1">
      <w:lvlJc w:val="left"/>
      <w:lvlText w:val="(%2)"/>
      <w:numFmt w:val="lowerLetter"/>
      <w:start w:val="2"/>
    </w:lvl>
  </w:abstractNum>
  <w:abstractNum w:abstractNumId="101">
    <w:nsid w:val="51088277"/>
    <w:multiLevelType w:val="hybridMultilevel"/>
    <w:lvl w:ilvl="0">
      <w:lvlJc w:val="left"/>
      <w:lvlText w:val="(%1)"/>
      <w:numFmt w:val="lowerRoman"/>
      <w:start w:val="8"/>
    </w:lvl>
    <w:lvl w:ilvl="1">
      <w:lvlJc w:val="left"/>
      <w:lvlText w:val="(%2)"/>
      <w:numFmt w:val="lowerLetter"/>
      <w:start w:val="3"/>
    </w:lvl>
  </w:abstractNum>
  <w:abstractNum w:abstractNumId="102">
    <w:nsid w:val="1CA0C5FA"/>
    <w:multiLevelType w:val="hybridMultilevel"/>
    <w:lvl w:ilvl="0">
      <w:lvlJc w:val="left"/>
      <w:lvlText w:val="(%1)"/>
      <w:numFmt w:val="lowerLetter"/>
      <w:start w:val="3"/>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2"/>
    </w:lvl>
  </w:abstractNum>
  <w:abstractNum w:abstractNumId="105">
    <w:nsid w:val="7C58FD05"/>
    <w:multiLevelType w:val="hybridMultilevel"/>
    <w:lvl w:ilvl="0">
      <w:lvlJc w:val="left"/>
      <w:lvlText w:val="(%1)"/>
      <w:numFmt w:val="lowerLetter"/>
      <w:start w:val="1"/>
    </w:lvl>
  </w:abstractNum>
  <w:abstractNum w:abstractNumId="106">
    <w:nsid w:val="23D86AAC"/>
    <w:multiLevelType w:val="hybridMultilevel"/>
    <w:lvl w:ilvl="0">
      <w:lvlJc w:val="left"/>
      <w:lvlText w:val="(%1)"/>
      <w:numFmt w:val="lowerLetter"/>
      <w:start w:val="3"/>
    </w:lvl>
    <w:lvl w:ilvl="1">
      <w:lvlJc w:val="left"/>
      <w:lvlText w:val="(%2)"/>
      <w:numFmt w:val="lowerRoman"/>
      <w:start w:val="1"/>
    </w:lvl>
  </w:abstractNum>
  <w:abstractNum w:abstractNumId="107">
    <w:nsid w:val="45E6D486"/>
    <w:multiLevelType w:val="hybridMultilevel"/>
    <w:lvl w:ilvl="0">
      <w:lvlJc w:val="left"/>
      <w:lvlText w:val="(%1)"/>
      <w:numFmt w:val="lowerLetter"/>
      <w:start w:val="6"/>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lowerLetter"/>
      <w:start w:val="4"/>
    </w:lvl>
  </w:abstractNum>
  <w:abstractNum w:abstractNumId="110">
    <w:nsid w:val="3C5991AA"/>
    <w:multiLevelType w:val="hybridMultilevel"/>
    <w:lvl w:ilvl="0">
      <w:lvlJc w:val="left"/>
      <w:lvlText w:val="(%1)"/>
      <w:numFmt w:val="lowerLetter"/>
      <w:start w:val="1"/>
    </w:lvl>
    <w:lvl w:ilvl="1">
      <w:lvlJc w:val="left"/>
      <w:lvlText w:val="(%2)"/>
      <w:numFmt w:val="lowerRoman"/>
      <w:start w:val="1"/>
    </w:lvl>
  </w:abstractNum>
  <w:abstractNum w:abstractNumId="111">
    <w:nsid w:val="4BD8591A"/>
    <w:multiLevelType w:val="hybridMultilevel"/>
    <w:lvl w:ilvl="0">
      <w:lvlJc w:val="left"/>
      <w:lvlText w:val="(%1)"/>
      <w:numFmt w:val="upperLetter"/>
      <w:start w:val="1"/>
    </w:lvl>
  </w:abstractNum>
  <w:abstractNum w:abstractNumId="112">
    <w:nsid w:val="78DF6A55"/>
    <w:multiLevelType w:val="hybridMultilevel"/>
    <w:lvl w:ilvl="0">
      <w:lvlJc w:val="left"/>
      <w:lvlText w:val="%1."/>
      <w:numFmt w:val="decimal"/>
      <w:start w:val="1"/>
    </w:lvl>
    <w:lvl w:ilvl="1">
      <w:lvlJc w:val="left"/>
      <w:lvlText w:val="%2)"/>
      <w:numFmt w:val="lowerLetter"/>
      <w:start w:val="1"/>
    </w:lvl>
  </w:abstractNum>
  <w:abstractNum w:abstractNumId="113">
    <w:nsid w:val="39B7AAA2"/>
    <w:multiLevelType w:val="hybridMultilevel"/>
    <w:lvl w:ilvl="0">
      <w:lvlJc w:val="left"/>
      <w:lvlText w:val="%1."/>
      <w:numFmt w:val="decimal"/>
      <w:start w:val="1"/>
    </w:lvl>
    <w:lvl w:ilvl="1">
      <w:lvlJc w:val="left"/>
      <w:lvlText w:val="%2."/>
      <w:numFmt w:val="lowerLetter"/>
      <w:start w:val="1"/>
    </w:lvl>
  </w:abstractNum>
  <w:abstractNum w:abstractNumId="114">
    <w:nsid w:val="2B0D8DBE"/>
    <w:multiLevelType w:val="hybridMultilevel"/>
    <w:lvl w:ilvl="0">
      <w:lvlJc w:val="left"/>
      <w:lvlText w:val="%1."/>
      <w:numFmt w:val="decimal"/>
      <w:start w:val="1"/>
    </w:lvl>
  </w:abstractNum>
  <w:abstractNum w:abstractNumId="115">
    <w:nsid w:val="6C80EC70"/>
    <w:multiLevelType w:val="hybridMultilevel"/>
    <w:lvl w:ilvl="0">
      <w:lvlJc w:val="left"/>
      <w:lvlText w:val="*"/>
      <w:numFmt w:val="bullet"/>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45" Type="http://schemas.openxmlformats.org/officeDocument/2006/relationships/hyperlink" Target="http://www.sec.gov/Archives/edgar/data/1035983/0000890566-97-001319.txt" TargetMode="External"/><Relationship Id="rId46" Type="http://schemas.openxmlformats.org/officeDocument/2006/relationships/hyperlink" Target="http://www.sec.gov/Archives/edgar/data/1035983/0000890566-99-000401.txt" TargetMode="External"/><Relationship Id="rId47" Type="http://schemas.openxmlformats.org/officeDocument/2006/relationships/hyperlink" Target="http://www.sec.gov/Archives/edgar/data/1035983/000104746904005828/a2129426zex-3_3.htm" TargetMode="External"/><Relationship Id="rId48" Type="http://schemas.openxmlformats.org/officeDocument/2006/relationships/hyperlink" Target="http://www.sec.gov/Archives/edgar/data/1035983/000110465916122345/a16-10750_2ex3d1.htm" TargetMode="External"/><Relationship Id="rId49" Type="http://schemas.openxmlformats.org/officeDocument/2006/relationships/hyperlink" Target="http://www.sec.gov/Archives/edgar/data/1035983/000110465916107645/a16-7178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2019-12-28T20:54:52Z</dcterms:created>
  <dcterms:modified xsi:type="dcterms:W3CDTF">2019-12-28T20:54:52Z</dcterms:modified>
</cp:coreProperties>
</file>