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79"/>
        <w:spacing w:after="0"/>
        <w:rPr>
          <w:sz w:val="20"/>
          <w:szCs w:val="20"/>
          <w:color w:val="auto"/>
        </w:rPr>
      </w:pPr>
      <w:r>
        <w:rPr>
          <w:rFonts w:ascii="Courier New" w:cs="Courier New" w:eastAsia="Courier New" w:hAnsi="Courier New"/>
          <w:sz w:val="15"/>
          <w:szCs w:val="15"/>
          <w:color w:val="auto"/>
        </w:rPr>
        <w:t>UNITED STATES</w:t>
      </w:r>
    </w:p>
    <w:p>
      <w:pPr>
        <w:jc w:val="center"/>
        <w:ind w:right="339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spacing w:after="0" w:line="167"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FORM 10-Q</w:t>
      </w:r>
    </w:p>
    <w:p>
      <w:pPr>
        <w:spacing w:after="0" w:line="237" w:lineRule="auto"/>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620" w:right="3759" w:hanging="610"/>
        <w:spacing w:after="0" w:line="234"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 (d) OF THE SECURITIES EXCHANGE ACT OF 1934</w:t>
      </w:r>
    </w:p>
    <w:p>
      <w:pPr>
        <w:spacing w:after="0" w:line="167"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5"/>
          <w:szCs w:val="15"/>
          <w:color w:val="auto"/>
        </w:rPr>
        <w:t>FOR THE QUARTERLY PERIOD ENDED MARCH 31, 1999</w:t>
      </w:r>
    </w:p>
    <w:p>
      <w:pPr>
        <w:spacing w:after="0" w:line="166"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360" w:right="3939" w:hanging="350"/>
        <w:spacing w:after="0" w:line="234"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 (D) OF THE SECURITIES EXCHANGE ACT OF 1934</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FOR THE TRANSITION PERIOD FROM _________________ TO _______________</w:t>
      </w:r>
    </w:p>
    <w:p>
      <w:pPr>
        <w:spacing w:after="0" w:line="166"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5"/>
          <w:szCs w:val="15"/>
          <w:color w:val="auto"/>
        </w:rPr>
        <w:t>COMMISSION FILE NUMBER: 1-13011</w:t>
      </w:r>
    </w:p>
    <w:p>
      <w:pPr>
        <w:spacing w:after="0" w:line="166"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5"/>
          <w:szCs w:val="15"/>
          <w:color w:val="auto"/>
        </w:rPr>
        <w:t>COMFORT SYSTEMS USA, INC.</w:t>
      </w:r>
    </w:p>
    <w:p>
      <w:pPr>
        <w:jc w:val="center"/>
        <w:ind w:right="339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25" w:right="1440" w:bottom="1440" w:gutter="0" w:footer="0" w:header="0"/>
        </w:sectPr>
      </w:pPr>
    </w:p>
    <w:p>
      <w:pPr>
        <w:spacing w:after="0" w:line="167"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DELAWARE</w:t>
      </w:r>
    </w:p>
    <w:p>
      <w:pPr>
        <w:ind w:left="100"/>
        <w:spacing w:after="0" w:line="237" w:lineRule="auto"/>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76-0526487</w:t>
      </w:r>
    </w:p>
    <w:p>
      <w:pPr>
        <w:ind w:left="10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3480" w:space="720"/>
            <w:col w:w="6039"/>
          </w:cols>
          <w:pgMar w:left="220" w:top="225" w:right="1440" w:bottom="1440" w:gutter="0" w:footer="0" w:header="0"/>
          <w:type w:val="continuous"/>
        </w:sectPr>
      </w:pPr>
    </w:p>
    <w:p>
      <w:pPr>
        <w:spacing w:after="0" w:line="140"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777 POST OAK BOULEVARD</w:t>
      </w:r>
    </w:p>
    <w:p>
      <w:pPr>
        <w:jc w:val="center"/>
        <w:ind w:right="3499"/>
        <w:spacing w:after="0" w:line="237" w:lineRule="auto"/>
        <w:rPr>
          <w:sz w:val="20"/>
          <w:szCs w:val="20"/>
          <w:color w:val="auto"/>
        </w:rPr>
      </w:pPr>
      <w:r>
        <w:rPr>
          <w:rFonts w:ascii="Courier New" w:cs="Courier New" w:eastAsia="Courier New" w:hAnsi="Courier New"/>
          <w:sz w:val="15"/>
          <w:szCs w:val="15"/>
          <w:color w:val="auto"/>
        </w:rPr>
        <w:t>SUITE 500</w:t>
      </w:r>
    </w:p>
    <w:p>
      <w:pPr>
        <w:jc w:val="center"/>
        <w:ind w:right="3399"/>
        <w:spacing w:after="0" w:line="238" w:lineRule="auto"/>
        <w:rPr>
          <w:sz w:val="20"/>
          <w:szCs w:val="20"/>
          <w:color w:val="auto"/>
        </w:rPr>
      </w:pPr>
      <w:r>
        <w:rPr>
          <w:rFonts w:ascii="Courier New" w:cs="Courier New" w:eastAsia="Courier New" w:hAnsi="Courier New"/>
          <w:sz w:val="15"/>
          <w:szCs w:val="15"/>
          <w:color w:val="auto"/>
        </w:rPr>
        <w:t>HOUSTON, TEXAS 77056</w:t>
      </w:r>
    </w:p>
    <w:p>
      <w:pPr>
        <w:jc w:val="center"/>
        <w:ind w:right="3499"/>
        <w:spacing w:after="0" w:line="237" w:lineRule="auto"/>
        <w:rPr>
          <w:sz w:val="20"/>
          <w:szCs w:val="20"/>
          <w:color w:val="auto"/>
        </w:rPr>
      </w:pPr>
      <w:r>
        <w:rPr>
          <w:rFonts w:ascii="Courier New" w:cs="Courier New" w:eastAsia="Courier New" w:hAnsi="Courier New"/>
          <w:sz w:val="15"/>
          <w:szCs w:val="15"/>
          <w:color w:val="auto"/>
        </w:rPr>
        <w:t>(ADDRESS OF PRINCIPAL EXECUTIVE OFFICES) (ZIP CODE)</w:t>
      </w:r>
    </w:p>
    <w:p>
      <w:pPr>
        <w:spacing w:after="0" w:line="167"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Registrant's telephone number, including area code: (713) 830-9600</w:t>
      </w:r>
    </w:p>
    <w:p>
      <w:pPr>
        <w:spacing w:after="0" w:line="173" w:lineRule="exact"/>
        <w:rPr>
          <w:sz w:val="24"/>
          <w:szCs w:val="24"/>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right="3319" w:firstLine="262"/>
        <w:spacing w:after="0" w:line="234" w:lineRule="auto"/>
        <w:rPr>
          <w:sz w:val="20"/>
          <w:szCs w:val="20"/>
          <w:color w:val="auto"/>
        </w:rPr>
      </w:pPr>
      <w:r>
        <w:rPr>
          <w:rFonts w:ascii="Courier New" w:cs="Courier New" w:eastAsia="Courier New" w:hAnsi="Courier New"/>
          <w:sz w:val="15"/>
          <w:szCs w:val="15"/>
          <w:color w:val="auto"/>
        </w:rPr>
        <w:t>The number of shares outstanding of the issuer's common stock, as of May 11, 1999, was 38,719,605.</w:t>
      </w:r>
    </w:p>
    <w:p>
      <w:pPr>
        <w:spacing w:after="0" w:line="313"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COMFORT SYSTEMS USA, INC.</w:t>
      </w:r>
    </w:p>
    <w:p>
      <w:pPr>
        <w:ind w:left="2640"/>
        <w:spacing w:after="0" w:line="237" w:lineRule="auto"/>
        <w:rPr>
          <w:sz w:val="20"/>
          <w:szCs w:val="20"/>
          <w:color w:val="auto"/>
        </w:rPr>
      </w:pPr>
      <w:r>
        <w:rPr>
          <w:rFonts w:ascii="Courier New" w:cs="Courier New" w:eastAsia="Courier New" w:hAnsi="Courier New"/>
          <w:sz w:val="15"/>
          <w:szCs w:val="15"/>
          <w:color w:val="auto"/>
        </w:rPr>
        <w:t>INDEX TO FORM 10-Q</w:t>
      </w:r>
    </w:p>
    <w:p>
      <w:pPr>
        <w:ind w:left="1840"/>
        <w:spacing w:after="0" w:line="238" w:lineRule="auto"/>
        <w:rPr>
          <w:sz w:val="20"/>
          <w:szCs w:val="20"/>
          <w:color w:val="auto"/>
        </w:rPr>
      </w:pPr>
      <w:r>
        <w:rPr>
          <w:rFonts w:ascii="Courier New" w:cs="Courier New" w:eastAsia="Courier New" w:hAnsi="Courier New"/>
          <w:sz w:val="15"/>
          <w:szCs w:val="15"/>
          <w:color w:val="auto"/>
        </w:rPr>
        <w:t>FOR THE QUARTER ENDED MARCH 31, 1999</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Part I - Financial Information</w:t>
      </w:r>
    </w:p>
    <w:p>
      <w:pPr>
        <w:ind w:left="280"/>
        <w:spacing w:after="0" w:line="237" w:lineRule="auto"/>
        <w:rPr>
          <w:sz w:val="20"/>
          <w:szCs w:val="20"/>
          <w:color w:val="auto"/>
        </w:rPr>
      </w:pPr>
      <w:r>
        <w:rPr>
          <w:rFonts w:ascii="Courier New" w:cs="Courier New" w:eastAsia="Courier New" w:hAnsi="Courier New"/>
          <w:sz w:val="15"/>
          <w:szCs w:val="15"/>
          <w:color w:val="auto"/>
        </w:rPr>
        <w:t>Item 1 - Financial Statements</w:t>
      </w:r>
    </w:p>
    <w:p>
      <w:pPr>
        <w:ind w:left="6480"/>
        <w:spacing w:after="0" w:line="238" w:lineRule="auto"/>
        <w:rPr>
          <w:sz w:val="20"/>
          <w:szCs w:val="20"/>
          <w:color w:val="auto"/>
        </w:rPr>
      </w:pPr>
      <w:r>
        <w:rPr>
          <w:rFonts w:ascii="Courier New" w:cs="Courier New" w:eastAsia="Courier New" w:hAnsi="Courier New"/>
          <w:sz w:val="15"/>
          <w:szCs w:val="15"/>
          <w:color w:val="auto"/>
        </w:rPr>
        <w:t>PAGE</w:t>
      </w:r>
    </w:p>
    <w:p>
      <w:pPr>
        <w:ind w:left="540"/>
        <w:spacing w:after="0" w:line="237" w:lineRule="auto"/>
        <w:rPr>
          <w:sz w:val="20"/>
          <w:szCs w:val="20"/>
          <w:color w:val="auto"/>
        </w:rPr>
      </w:pPr>
      <w:r>
        <w:rPr>
          <w:rFonts w:ascii="Courier New" w:cs="Courier New" w:eastAsia="Courier New" w:hAnsi="Courier New"/>
          <w:sz w:val="15"/>
          <w:szCs w:val="15"/>
          <w:color w:val="auto"/>
        </w:rPr>
        <w:t>COMFORT SYSTEMS USA, INC.</w:t>
      </w:r>
    </w:p>
    <w:p>
      <w:pPr>
        <w:ind w:left="800"/>
        <w:spacing w:after="0"/>
        <w:tabs>
          <w:tab w:leader="dot" w:pos="6640" w:val="left"/>
        </w:tabs>
        <w:rPr>
          <w:sz w:val="20"/>
          <w:szCs w:val="20"/>
          <w:color w:val="auto"/>
        </w:rPr>
      </w:pPr>
      <w:r>
        <w:rPr>
          <w:rFonts w:ascii="Courier New" w:cs="Courier New" w:eastAsia="Courier New" w:hAnsi="Courier New"/>
          <w:sz w:val="15"/>
          <w:szCs w:val="15"/>
          <w:color w:val="auto"/>
        </w:rPr>
        <w:t>Introduction to Financial Statements</w:t>
      </w:r>
      <w:r>
        <w:rPr>
          <w:sz w:val="20"/>
          <w:szCs w:val="20"/>
          <w:color w:val="auto"/>
        </w:rPr>
        <w:tab/>
      </w:r>
      <w:r>
        <w:rPr>
          <w:rFonts w:ascii="Courier New" w:cs="Courier New" w:eastAsia="Courier New" w:hAnsi="Courier New"/>
          <w:sz w:val="12"/>
          <w:szCs w:val="12"/>
          <w:color w:val="auto"/>
        </w:rPr>
        <w:t>1</w:t>
      </w:r>
    </w:p>
    <w:p>
      <w:pPr>
        <w:ind w:left="800"/>
        <w:spacing w:after="0"/>
        <w:tabs>
          <w:tab w:leader="dot" w:pos="6640" w:val="left"/>
        </w:tabs>
        <w:rPr>
          <w:sz w:val="20"/>
          <w:szCs w:val="20"/>
          <w:color w:val="auto"/>
        </w:rPr>
      </w:pPr>
      <w:r>
        <w:rPr>
          <w:rFonts w:ascii="Courier New" w:cs="Courier New" w:eastAsia="Courier New" w:hAnsi="Courier New"/>
          <w:sz w:val="15"/>
          <w:szCs w:val="15"/>
          <w:color w:val="auto"/>
        </w:rPr>
        <w:t>Consolidated Balance Sheets</w:t>
      </w:r>
      <w:r>
        <w:rPr>
          <w:sz w:val="20"/>
          <w:szCs w:val="20"/>
          <w:color w:val="auto"/>
        </w:rPr>
        <w:tab/>
      </w:r>
      <w:r>
        <w:rPr>
          <w:rFonts w:ascii="Courier New" w:cs="Courier New" w:eastAsia="Courier New" w:hAnsi="Courier New"/>
          <w:sz w:val="12"/>
          <w:szCs w:val="12"/>
          <w:color w:val="auto"/>
        </w:rPr>
        <w:t>2</w:t>
      </w:r>
    </w:p>
    <w:p>
      <w:pPr>
        <w:ind w:left="800"/>
        <w:spacing w:after="0"/>
        <w:tabs>
          <w:tab w:leader="dot" w:pos="6640" w:val="left"/>
        </w:tabs>
        <w:rPr>
          <w:sz w:val="20"/>
          <w:szCs w:val="20"/>
          <w:color w:val="auto"/>
        </w:rPr>
      </w:pPr>
      <w:r>
        <w:rPr>
          <w:rFonts w:ascii="Courier New" w:cs="Courier New" w:eastAsia="Courier New" w:hAnsi="Courier New"/>
          <w:sz w:val="15"/>
          <w:szCs w:val="15"/>
          <w:color w:val="auto"/>
        </w:rPr>
        <w:t>Consolidated Statements of Operations</w:t>
      </w:r>
      <w:r>
        <w:rPr>
          <w:sz w:val="20"/>
          <w:szCs w:val="20"/>
          <w:color w:val="auto"/>
        </w:rPr>
        <w:tab/>
      </w:r>
      <w:r>
        <w:rPr>
          <w:rFonts w:ascii="Courier New" w:cs="Courier New" w:eastAsia="Courier New" w:hAnsi="Courier New"/>
          <w:sz w:val="12"/>
          <w:szCs w:val="12"/>
          <w:color w:val="auto"/>
        </w:rPr>
        <w:t>3</w:t>
      </w:r>
    </w:p>
    <w:p>
      <w:pPr>
        <w:ind w:left="800"/>
        <w:spacing w:after="0"/>
        <w:tabs>
          <w:tab w:leader="dot" w:pos="6640" w:val="left"/>
        </w:tabs>
        <w:rPr>
          <w:sz w:val="20"/>
          <w:szCs w:val="20"/>
          <w:color w:val="auto"/>
        </w:rPr>
      </w:pPr>
      <w:r>
        <w:rPr>
          <w:rFonts w:ascii="Courier New" w:cs="Courier New" w:eastAsia="Courier New" w:hAnsi="Courier New"/>
          <w:sz w:val="15"/>
          <w:szCs w:val="15"/>
          <w:color w:val="auto"/>
        </w:rPr>
        <w:t>Consolidated Statements of Stockholders' Equity</w:t>
      </w:r>
      <w:r>
        <w:rPr>
          <w:sz w:val="20"/>
          <w:szCs w:val="20"/>
          <w:color w:val="auto"/>
        </w:rPr>
        <w:tab/>
      </w:r>
      <w:r>
        <w:rPr>
          <w:rFonts w:ascii="Courier New" w:cs="Courier New" w:eastAsia="Courier New" w:hAnsi="Courier New"/>
          <w:sz w:val="12"/>
          <w:szCs w:val="12"/>
          <w:color w:val="auto"/>
        </w:rPr>
        <w:t>4</w:t>
      </w:r>
    </w:p>
    <w:p>
      <w:pPr>
        <w:ind w:left="800"/>
        <w:spacing w:after="0"/>
        <w:tabs>
          <w:tab w:leader="dot" w:pos="6640" w:val="left"/>
        </w:tabs>
        <w:rPr>
          <w:sz w:val="20"/>
          <w:szCs w:val="20"/>
          <w:color w:val="auto"/>
        </w:rPr>
      </w:pPr>
      <w:r>
        <w:rPr>
          <w:rFonts w:ascii="Courier New" w:cs="Courier New" w:eastAsia="Courier New" w:hAnsi="Courier New"/>
          <w:sz w:val="15"/>
          <w:szCs w:val="15"/>
          <w:color w:val="auto"/>
        </w:rPr>
        <w:t>Consolidated Statements of Cash Flows</w:t>
      </w:r>
      <w:r>
        <w:rPr>
          <w:sz w:val="20"/>
          <w:szCs w:val="20"/>
          <w:color w:val="auto"/>
        </w:rPr>
        <w:tab/>
      </w:r>
      <w:r>
        <w:rPr>
          <w:rFonts w:ascii="Courier New" w:cs="Courier New" w:eastAsia="Courier New" w:hAnsi="Courier New"/>
          <w:sz w:val="12"/>
          <w:szCs w:val="12"/>
          <w:color w:val="auto"/>
        </w:rPr>
        <w:t>5</w:t>
      </w:r>
    </w:p>
    <w:p>
      <w:pPr>
        <w:ind w:left="800"/>
        <w:spacing w:after="0"/>
        <w:tabs>
          <w:tab w:leader="dot" w:pos="664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2"/>
          <w:szCs w:val="12"/>
          <w:color w:val="auto"/>
        </w:rPr>
        <w:t>6</w:t>
      </w:r>
    </w:p>
    <w:p>
      <w:pPr>
        <w:ind w:left="280"/>
        <w:spacing w:after="0" w:line="237" w:lineRule="auto"/>
        <w:rPr>
          <w:sz w:val="20"/>
          <w:szCs w:val="20"/>
          <w:color w:val="auto"/>
        </w:rPr>
      </w:pPr>
      <w:r>
        <w:rPr>
          <w:rFonts w:ascii="Courier New" w:cs="Courier New" w:eastAsia="Courier New" w:hAnsi="Courier New"/>
          <w:sz w:val="15"/>
          <w:szCs w:val="15"/>
          <w:color w:val="auto"/>
        </w:rPr>
        <w:t>Item 2 - Management's Discussion and Analysis of Financial Condition</w:t>
      </w:r>
    </w:p>
    <w:p>
      <w:pPr>
        <w:ind w:left="800"/>
        <w:spacing w:after="0" w:line="238" w:lineRule="auto"/>
        <w:tabs>
          <w:tab w:leader="dot" w:pos="6540" w:val="left"/>
        </w:tabs>
        <w:rPr>
          <w:sz w:val="20"/>
          <w:szCs w:val="20"/>
          <w:color w:val="auto"/>
        </w:rPr>
      </w:pPr>
      <w:r>
        <w:rPr>
          <w:rFonts w:ascii="Courier New" w:cs="Courier New" w:eastAsia="Courier New" w:hAnsi="Courier New"/>
          <w:sz w:val="15"/>
          <w:szCs w:val="15"/>
          <w:color w:val="auto"/>
        </w:rPr>
        <w:t>and Results of Operations</w:t>
      </w:r>
      <w:r>
        <w:rPr>
          <w:sz w:val="20"/>
          <w:szCs w:val="20"/>
          <w:color w:val="auto"/>
        </w:rPr>
        <w:tab/>
      </w:r>
      <w:r>
        <w:rPr>
          <w:rFonts w:ascii="Courier New" w:cs="Courier New" w:eastAsia="Courier New" w:hAnsi="Courier New"/>
          <w:sz w:val="15"/>
          <w:szCs w:val="15"/>
          <w:color w:val="auto"/>
        </w:rPr>
        <w:t>11</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Part II - Other Information</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Item 1 - Legal Proceedings</w:t>
      </w:r>
      <w:r>
        <w:rPr>
          <w:sz w:val="20"/>
          <w:szCs w:val="20"/>
          <w:color w:val="auto"/>
        </w:rPr>
        <w:tab/>
      </w:r>
      <w:r>
        <w:rPr>
          <w:rFonts w:ascii="Courier New" w:cs="Courier New" w:eastAsia="Courier New" w:hAnsi="Courier New"/>
          <w:sz w:val="15"/>
          <w:szCs w:val="15"/>
          <w:color w:val="auto"/>
        </w:rPr>
        <w:t>15</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Item 2 - Recent Sales of Unregistered Securities</w:t>
      </w:r>
      <w:r>
        <w:rPr>
          <w:sz w:val="20"/>
          <w:szCs w:val="20"/>
          <w:color w:val="auto"/>
        </w:rPr>
        <w:tab/>
      </w:r>
      <w:r>
        <w:rPr>
          <w:rFonts w:ascii="Courier New" w:cs="Courier New" w:eastAsia="Courier New" w:hAnsi="Courier New"/>
          <w:sz w:val="15"/>
          <w:szCs w:val="15"/>
          <w:color w:val="auto"/>
        </w:rPr>
        <w:t>15</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Item 6 - Exhibits and Reports on Form 8-K</w:t>
      </w:r>
      <w:r>
        <w:rPr>
          <w:sz w:val="20"/>
          <w:szCs w:val="20"/>
          <w:color w:val="auto"/>
        </w:rPr>
        <w:tab/>
      </w:r>
      <w:r>
        <w:rPr>
          <w:rFonts w:ascii="Courier New" w:cs="Courier New" w:eastAsia="Courier New" w:hAnsi="Courier New"/>
          <w:sz w:val="15"/>
          <w:szCs w:val="15"/>
          <w:color w:val="auto"/>
        </w:rPr>
        <w:t>15</w:t>
      </w:r>
    </w:p>
    <w:p>
      <w:pPr>
        <w:ind w:left="280"/>
        <w:spacing w:after="0" w:line="238" w:lineRule="auto"/>
        <w:rPr>
          <w:sz w:val="20"/>
          <w:szCs w:val="20"/>
          <w:color w:val="auto"/>
        </w:rPr>
      </w:pPr>
      <w:r>
        <w:rPr>
          <w:rFonts w:ascii="Courier New" w:cs="Courier New" w:eastAsia="Courier New" w:hAnsi="Courier New"/>
          <w:sz w:val="15"/>
          <w:szCs w:val="15"/>
          <w:color w:val="auto"/>
        </w:rPr>
        <w:t>Item 9 - Changes and Disagreements with Accountants on Accounting and</w:t>
      </w:r>
    </w:p>
    <w:p>
      <w:pPr>
        <w:ind w:left="880"/>
        <w:spacing w:after="0" w:line="237" w:lineRule="auto"/>
        <w:tabs>
          <w:tab w:leader="dot" w:pos="6540" w:val="left"/>
        </w:tabs>
        <w:rPr>
          <w:sz w:val="20"/>
          <w:szCs w:val="20"/>
          <w:color w:val="auto"/>
        </w:rPr>
      </w:pPr>
      <w:r>
        <w:rPr>
          <w:rFonts w:ascii="Courier New" w:cs="Courier New" w:eastAsia="Courier New" w:hAnsi="Courier New"/>
          <w:sz w:val="15"/>
          <w:szCs w:val="15"/>
          <w:color w:val="auto"/>
        </w:rPr>
        <w:t>Financial Disclosure</w:t>
      </w:r>
      <w:r>
        <w:rPr>
          <w:sz w:val="20"/>
          <w:szCs w:val="20"/>
          <w:color w:val="auto"/>
        </w:rPr>
        <w:tab/>
      </w:r>
      <w:r>
        <w:rPr>
          <w:rFonts w:ascii="Courier New" w:cs="Courier New" w:eastAsia="Courier New" w:hAnsi="Courier New"/>
          <w:sz w:val="15"/>
          <w:szCs w:val="15"/>
          <w:color w:val="auto"/>
        </w:rPr>
        <w:t>15</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16</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280"/>
        <w:spacing w:after="0"/>
        <w:rPr>
          <w:sz w:val="20"/>
          <w:szCs w:val="20"/>
          <w:color w:val="auto"/>
        </w:rPr>
      </w:pPr>
      <w:r>
        <w:rPr>
          <w:rFonts w:ascii="Courier New" w:cs="Courier New" w:eastAsia="Courier New" w:hAnsi="Courier New"/>
          <w:sz w:val="15"/>
          <w:szCs w:val="15"/>
          <w:color w:val="auto"/>
        </w:rPr>
        <w:t>COMFORT SYSTEMS USA, INC.</w:t>
      </w:r>
    </w:p>
    <w:p>
      <w:pPr>
        <w:ind w:left="1760"/>
        <w:spacing w:after="0" w:line="237" w:lineRule="auto"/>
        <w:rPr>
          <w:sz w:val="20"/>
          <w:szCs w:val="20"/>
          <w:color w:val="auto"/>
        </w:rPr>
      </w:pPr>
      <w:r>
        <w:rPr>
          <w:rFonts w:ascii="Courier New" w:cs="Courier New" w:eastAsia="Courier New" w:hAnsi="Courier New"/>
          <w:sz w:val="15"/>
          <w:szCs w:val="15"/>
          <w:color w:val="auto"/>
        </w:rPr>
        <w:t>PART I, ITEM 1 - FINANCIAL INFORMATION</w:t>
      </w:r>
    </w:p>
    <w:p>
      <w:pPr>
        <w:ind w:left="2540"/>
        <w:spacing w:after="0" w:line="238" w:lineRule="auto"/>
        <w:rPr>
          <w:sz w:val="20"/>
          <w:szCs w:val="20"/>
          <w:color w:val="auto"/>
        </w:rPr>
      </w:pPr>
      <w:r>
        <w:rPr>
          <w:rFonts w:ascii="Courier New" w:cs="Courier New" w:eastAsia="Courier New" w:hAnsi="Courier New"/>
          <w:sz w:val="15"/>
          <w:szCs w:val="15"/>
          <w:color w:val="auto"/>
        </w:rPr>
        <w:t>GENERAL INFORMATION</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INTRODUCTION TO FINANCIAL STATEMENTS</w:t>
      </w:r>
    </w:p>
    <w:p>
      <w:pPr>
        <w:spacing w:after="0" w:line="173" w:lineRule="exact"/>
        <w:rPr>
          <w:sz w:val="20"/>
          <w:szCs w:val="20"/>
          <w:color w:val="auto"/>
        </w:rPr>
      </w:pPr>
    </w:p>
    <w:p>
      <w:pPr>
        <w:ind w:right="3239" w:firstLine="262"/>
        <w:spacing w:after="0" w:line="255" w:lineRule="auto"/>
        <w:rPr>
          <w:sz w:val="20"/>
          <w:szCs w:val="20"/>
          <w:color w:val="auto"/>
        </w:rPr>
      </w:pPr>
      <w:r>
        <w:rPr>
          <w:rFonts w:ascii="Courier New" w:cs="Courier New" w:eastAsia="Courier New" w:hAnsi="Courier New"/>
          <w:sz w:val="14"/>
          <w:szCs w:val="14"/>
          <w:color w:val="auto"/>
        </w:rPr>
        <w:t>Comfort Systems USA, Inc., a Delaware corporation ("Comfort Systems" and collectively with its subsidiaries, the "Company") is a leading national provider of comprehensive heating, ventilation and air conditioning ("HVAC") installation, maintenance, repair and replacement services. Founded in December 1996, the Company is consolidating the fragmented commercial and industrial HVAC markets, and performs most of its services within manufacturing plants, office buildings, retail centers, apartment complexes, and healthcare, education and government facilities. In addition to standard HVAC services, the Company also provides specialized applications such as process cooling, control systems, electronic monitoring and process piping. Certain locations also perform related services such as electrical and plumbing.</w:t>
      </w:r>
    </w:p>
    <w:p>
      <w:pPr>
        <w:spacing w:after="0" w:line="165" w:lineRule="exact"/>
        <w:rPr>
          <w:sz w:val="20"/>
          <w:szCs w:val="20"/>
          <w:color w:val="auto"/>
        </w:rPr>
      </w:pPr>
    </w:p>
    <w:p>
      <w:pPr>
        <w:ind w:right="3239" w:firstLine="262"/>
        <w:spacing w:after="0" w:line="236" w:lineRule="auto"/>
        <w:rPr>
          <w:sz w:val="20"/>
          <w:szCs w:val="20"/>
          <w:color w:val="auto"/>
        </w:rPr>
      </w:pPr>
      <w:r>
        <w:rPr>
          <w:rFonts w:ascii="Courier New" w:cs="Courier New" w:eastAsia="Courier New" w:hAnsi="Courier New"/>
          <w:sz w:val="15"/>
          <w:szCs w:val="15"/>
          <w:color w:val="auto"/>
        </w:rPr>
        <w:t>On July 2, 1997, the Company completed the initial public offering (the "IPO") of its common stock (the "Common Stock") and simultaneously acquired twelve companies (collectively referred to as the "Founding Companies") engaged in providing HVAC services. The Founding Companies had 18 operating locations in ten states. Subsequent to the IPO, and through March 31, 1999, the Company acquired 92 additional HVAC and complementary businesses (collectively with the Founding Companies, the "Acquired Companies"). The companies acquired subsequent to the IPO added 96 operating locations in 20 additional states. These acquisitions included 18 "tuck-in" operations that have been or are currently being integrated with existing Company operations.</w:t>
      </w:r>
    </w:p>
    <w:p>
      <w:pPr>
        <w:spacing w:after="0" w:line="179" w:lineRule="exact"/>
        <w:rPr>
          <w:sz w:val="20"/>
          <w:szCs w:val="20"/>
          <w:color w:val="auto"/>
        </w:rPr>
      </w:pPr>
    </w:p>
    <w:p>
      <w:pPr>
        <w:ind w:right="3319" w:firstLine="262"/>
        <w:spacing w:after="0" w:line="255" w:lineRule="auto"/>
        <w:rPr>
          <w:sz w:val="20"/>
          <w:szCs w:val="20"/>
          <w:color w:val="auto"/>
        </w:rPr>
      </w:pPr>
      <w:r>
        <w:rPr>
          <w:rFonts w:ascii="Courier New" w:cs="Courier New" w:eastAsia="Courier New" w:hAnsi="Courier New"/>
          <w:sz w:val="14"/>
          <w:szCs w:val="14"/>
          <w:color w:val="auto"/>
        </w:rPr>
        <w:t>Historical interim period results are not necessarily indicative of future results because, among other things, these Acquired Companies were not under common control or management prior to their acquisition by the Company. The Company's results of operations historically have been subject to seasonal fluctuations. These interim statements should be read in conjunction with the historical Consolidated Financial Statements and related notes of Comfort Systems included in the Annual Report on Form 10-K as filed with the Securities and Exchange Commission for the year ended December 31, 1998.</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49" w:right="1440" w:bottom="1440" w:gutter="0" w:footer="0" w:header="0"/>
        </w:sectPr>
      </w:pPr>
    </w:p>
    <w:bookmarkStart w:id="2" w:name="page3"/>
    <w:bookmarkEnd w:id="2"/>
    <w:p>
      <w:pPr>
        <w:jc w:val="center"/>
        <w:ind w:right="3479"/>
        <w:spacing w:after="0"/>
        <w:rPr>
          <w:sz w:val="20"/>
          <w:szCs w:val="20"/>
          <w:color w:val="auto"/>
        </w:rPr>
      </w:pPr>
      <w:r>
        <w:rPr>
          <w:rFonts w:ascii="Courier New" w:cs="Courier New" w:eastAsia="Courier New" w:hAnsi="Courier New"/>
          <w:sz w:val="15"/>
          <w:szCs w:val="15"/>
          <w:color w:val="auto"/>
        </w:rPr>
        <w:t>COMFORT SYSTEMS USA, INC.</w:t>
      </w:r>
    </w:p>
    <w:p>
      <w:pPr>
        <w:jc w:val="center"/>
        <w:ind w:right="3479"/>
        <w:spacing w:after="0" w:line="237" w:lineRule="auto"/>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6080" w:type="dxa"/>
            <w:vAlign w:val="bottom"/>
          </w:tcPr>
          <w:p>
            <w:pPr>
              <w:jc w:val="right"/>
              <w:ind w:right="1007"/>
              <w:spacing w:after="0" w:line="169" w:lineRule="exact"/>
              <w:rPr>
                <w:sz w:val="20"/>
                <w:szCs w:val="20"/>
                <w:color w:val="auto"/>
              </w:rPr>
            </w:pPr>
            <w:r>
              <w:rPr>
                <w:rFonts w:ascii="Courier New" w:cs="Courier New" w:eastAsia="Courier New" w:hAnsi="Courier New"/>
                <w:sz w:val="15"/>
                <w:szCs w:val="15"/>
                <w:color w:val="auto"/>
              </w:rPr>
              <w:t>(IN THOUSANDS, EXCEPT SHARE AMOUNTS)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608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MARCH 31,</w:t>
            </w:r>
          </w:p>
        </w:tc>
      </w:tr>
      <w:tr>
        <w:trPr>
          <w:trHeight w:val="168"/>
        </w:trPr>
        <w:tc>
          <w:tcPr>
            <w:tcW w:w="6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1998</w:t>
            </w:r>
          </w:p>
        </w:tc>
        <w:tc>
          <w:tcPr>
            <w:tcW w:w="30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08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6080" w:type="dxa"/>
            <w:vAlign w:val="bottom"/>
          </w:tcPr>
          <w:p>
            <w:pPr>
              <w:jc w:val="right"/>
              <w:ind w:right="3367"/>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6,985</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3,773</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241,332</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243,353</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Less - Allowance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4,758</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4,973</w:t>
            </w:r>
          </w:p>
        </w:tc>
      </w:tr>
      <w:tr>
        <w:trPr>
          <w:trHeight w:val="168"/>
        </w:trPr>
        <w:tc>
          <w:tcPr>
            <w:tcW w:w="608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236,574</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238,380</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receivables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2,733</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3,605</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Inventories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14,768</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16,408</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Prepaid expenses and other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14,264</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13,583</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Costs and estimated earnings in excess of billings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37,228</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42,747</w:t>
            </w:r>
          </w:p>
        </w:tc>
      </w:tr>
      <w:tr>
        <w:trPr>
          <w:trHeight w:val="168"/>
        </w:trPr>
        <w:tc>
          <w:tcPr>
            <w:tcW w:w="608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312,552</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318,496</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PROPERTY AND EQUIPMENT, net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34,413</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35,802</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GOODWILL, less accumulated amortization of $8,983 and $11,767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430,526</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445,686</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NONCURRENT ASSETS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11,802</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12,482</w:t>
            </w:r>
          </w:p>
        </w:tc>
      </w:tr>
      <w:tr>
        <w:trPr>
          <w:trHeight w:val="168"/>
        </w:trPr>
        <w:tc>
          <w:tcPr>
            <w:tcW w:w="608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assets ..............................................</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789,293</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$ 812,466</w:t>
            </w:r>
          </w:p>
        </w:tc>
      </w:tr>
      <w:tr>
        <w:trPr>
          <w:trHeight w:val="168"/>
        </w:trPr>
        <w:tc>
          <w:tcPr>
            <w:tcW w:w="608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80" w:type="dxa"/>
            <w:vAlign w:val="bottom"/>
          </w:tcPr>
          <w:p>
            <w:pPr>
              <w:jc w:val="right"/>
              <w:ind w:right="2067"/>
              <w:spacing w:after="0"/>
              <w:rPr>
                <w:sz w:val="20"/>
                <w:szCs w:val="20"/>
                <w:color w:val="auto"/>
              </w:rPr>
            </w:pPr>
            <w:r>
              <w:rPr>
                <w:rFonts w:ascii="Courier New" w:cs="Courier New" w:eastAsia="Courier New" w:hAnsi="Courier New"/>
                <w:sz w:val="15"/>
                <w:szCs w:val="15"/>
                <w:color w:val="auto"/>
              </w:rPr>
              <w:t>LIABILITIES AND STOCKHOLDERS' EQUITY</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Current maturities of long-term debt ............................</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1,568</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Current maturities of notes to affiliates and former owners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7,509</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6,530</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74,161</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74,299</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Accrued compensation and benefits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25,869</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22,775</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Billings in excess of costs and estimated earnings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43,968</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40,174</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taxes payable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1,299</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3,472</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current liabilities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24,788</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26,869</w:t>
            </w:r>
          </w:p>
        </w:tc>
      </w:tr>
      <w:tr>
        <w:trPr>
          <w:trHeight w:val="168"/>
        </w:trPr>
        <w:tc>
          <w:tcPr>
            <w:tcW w:w="608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179,162</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174,390</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DEFERRED INCOME TAXES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1,124</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1,144</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LONG-TERM DEBT, NET OF CURRENT MATURITIES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171,039</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182,976</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NOTES TO AFFILIATES AND FORMER OWNERS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56,330</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61,802</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LONG-TERM LIABILITIES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1,706</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1,708</w:t>
            </w:r>
          </w:p>
        </w:tc>
      </w:tr>
      <w:tr>
        <w:trPr>
          <w:trHeight w:val="168"/>
        </w:trPr>
        <w:tc>
          <w:tcPr>
            <w:tcW w:w="608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409,361</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422,020</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COMMITMENTS AND CONTINGENCIES ......................................</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Preferred stock, $.01 par, 5,000,000 shares authorized, none</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issued and outstanding ........................................</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Common stock, $.01 par, 102,969,912 shares authorized, 38,141,180</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and 38,578,430 shares issued and outstanding, respectively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381</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386</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Additional paid-in capital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333,978</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337,923</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45,573</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52,137</w:t>
            </w:r>
          </w:p>
        </w:tc>
      </w:tr>
      <w:tr>
        <w:trPr>
          <w:trHeight w:val="168"/>
        </w:trPr>
        <w:tc>
          <w:tcPr>
            <w:tcW w:w="608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379,932</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390,446</w:t>
            </w:r>
          </w:p>
        </w:tc>
      </w:tr>
      <w:tr>
        <w:trPr>
          <w:trHeight w:val="168"/>
        </w:trPr>
        <w:tc>
          <w:tcPr>
            <w:tcW w:w="608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liabilities and stockholders' equity ................</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789,293</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$ 812,466</w:t>
            </w:r>
          </w:p>
        </w:tc>
      </w:tr>
      <w:tr>
        <w:trPr>
          <w:trHeight w:val="168"/>
        </w:trPr>
        <w:tc>
          <w:tcPr>
            <w:tcW w:w="608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these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1440" w:gutter="0" w:footer="0" w:header="0"/>
        </w:sectPr>
      </w:pPr>
    </w:p>
    <w:bookmarkStart w:id="3" w:name="page4"/>
    <w:bookmarkEnd w:id="3"/>
    <w:p>
      <w:pPr>
        <w:jc w:val="center"/>
        <w:ind w:right="3479"/>
        <w:spacing w:after="0"/>
        <w:rPr>
          <w:sz w:val="20"/>
          <w:szCs w:val="20"/>
          <w:color w:val="auto"/>
        </w:rPr>
      </w:pPr>
      <w:r>
        <w:rPr>
          <w:rFonts w:ascii="Courier New" w:cs="Courier New" w:eastAsia="Courier New" w:hAnsi="Courier New"/>
          <w:sz w:val="15"/>
          <w:szCs w:val="15"/>
          <w:color w:val="auto"/>
        </w:rPr>
        <w:t>COMFORT SYSTEMS USA, INC.</w:t>
      </w:r>
    </w:p>
    <w:p>
      <w:pPr>
        <w:ind w:left="1760"/>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ind w:left="1760"/>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ind w:left="290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w w:val="96"/>
              </w:rPr>
              <w:t>THREE MONTHS ENDED</w:t>
            </w:r>
          </w:p>
        </w:tc>
      </w:tr>
      <w:tr>
        <w:trPr>
          <w:trHeight w:val="168"/>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c>
          <w:tcPr>
            <w:tcW w:w="70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22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1998</w:t>
            </w:r>
          </w:p>
        </w:tc>
        <w:tc>
          <w:tcPr>
            <w:tcW w:w="34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 ...........................................</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$ 132,608</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$ 291,926</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SERVICES ...................................</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101,269</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228,748</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Gross profit ..............................</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31,339</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63,178</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SELLING, GENERAL AND ADMINISTRATIVE EXPENSES .......</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23,130</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44,858</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GOODWILL AND OTHER AMORTIZATION ....................</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1,170</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2,784</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Operating income ..........................</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7,039</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15,536</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Interest income .................................</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Interest expense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(805)</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(4,187)</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(277)</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income (expense)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(876)</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(3,979)</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BEFORE INCOME TAXES .........................</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6,163</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11,557</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PROVISION FOR INCOME TAXES .........................</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2,778</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4,993</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NET INCOME .........................................</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3,385</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6,564</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Basic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0.12</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0.17</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Diluted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0.11</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0.17</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USED IN COMPUTING NET INCOME PER SHARE: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Basic ...........................................</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29,325</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38,311</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Diluted .........................................</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29,756</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39,769</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these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49" w:right="1440" w:bottom="1440" w:gutter="0" w:footer="0" w:header="0"/>
        </w:sectPr>
      </w:pPr>
    </w:p>
    <w:bookmarkStart w:id="4" w:name="page5"/>
    <w:bookmarkEnd w:id="4"/>
    <w:p>
      <w:pPr>
        <w:jc w:val="center"/>
        <w:ind w:right="580"/>
        <w:spacing w:after="0"/>
        <w:rPr>
          <w:sz w:val="20"/>
          <w:szCs w:val="20"/>
          <w:color w:val="auto"/>
        </w:rPr>
      </w:pPr>
      <w:r>
        <w:rPr>
          <w:rFonts w:ascii="Courier New" w:cs="Courier New" w:eastAsia="Courier New" w:hAnsi="Courier New"/>
          <w:sz w:val="15"/>
          <w:szCs w:val="15"/>
          <w:color w:val="auto"/>
        </w:rPr>
        <w:t>COMFORT SYSTEMS USA, INC.</w:t>
      </w:r>
    </w:p>
    <w:p>
      <w:pPr>
        <w:jc w:val="center"/>
        <w:ind w:right="580"/>
        <w:spacing w:after="0" w:line="237" w:lineRule="auto"/>
        <w:rPr>
          <w:sz w:val="20"/>
          <w:szCs w:val="20"/>
          <w:color w:val="auto"/>
        </w:rPr>
      </w:pPr>
      <w:r>
        <w:rPr>
          <w:rFonts w:ascii="Courier New" w:cs="Courier New" w:eastAsia="Courier New" w:hAnsi="Courier New"/>
          <w:sz w:val="15"/>
          <w:szCs w:val="15"/>
          <w:color w:val="auto"/>
        </w:rPr>
        <w:t>CONSOLIDATED STATEMENTS OF STOCKHOLDERS' EQUITY</w:t>
      </w:r>
    </w:p>
    <w:tbl>
      <w:tblPr>
        <w:tblLayout w:type="fixed"/>
        <w:tblInd w:w="0" w:type="dxa"/>
        <w:tblCellMar>
          <w:top w:w="0" w:type="dxa"/>
          <w:left w:w="0" w:type="dxa"/>
          <w:bottom w:w="0" w:type="dxa"/>
          <w:right w:w="0" w:type="dxa"/>
        </w:tblCellMar>
      </w:tblPr>
      <w:tr>
        <w:trPr>
          <w:trHeight w:val="169"/>
        </w:trPr>
        <w:tc>
          <w:tcPr>
            <w:tcW w:w="7320" w:type="dxa"/>
            <w:vAlign w:val="bottom"/>
            <w:gridSpan w:val="3"/>
          </w:tcPr>
          <w:p>
            <w:pPr>
              <w:ind w:left="3940"/>
              <w:spacing w:after="0" w:line="169" w:lineRule="exact"/>
              <w:rPr>
                <w:sz w:val="20"/>
                <w:szCs w:val="20"/>
                <w:color w:val="auto"/>
              </w:rPr>
            </w:pPr>
            <w:r>
              <w:rPr>
                <w:rFonts w:ascii="Courier New" w:cs="Courier New" w:eastAsia="Courier New" w:hAnsi="Courier New"/>
                <w:sz w:val="15"/>
                <w:szCs w:val="15"/>
                <w:color w:val="auto"/>
              </w:rPr>
              <w:t>(IN THOUSANDS, EXCEPT SHARE AMOUNTS)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05"/>
        </w:trPr>
        <w:tc>
          <w:tcPr>
            <w:tcW w:w="556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ADDITIONAL</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5560" w:type="dxa"/>
            <w:vAlign w:val="bottom"/>
          </w:tcPr>
          <w:p>
            <w:pPr>
              <w:spacing w:after="0"/>
              <w:rPr>
                <w:sz w:val="14"/>
                <w:szCs w:val="14"/>
                <w:color w:val="auto"/>
              </w:rPr>
            </w:pPr>
          </w:p>
        </w:tc>
        <w:tc>
          <w:tcPr>
            <w:tcW w:w="1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4"/>
              </w:rPr>
              <w:t>-----------------------</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PAID-IN</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RETAINED</w:t>
            </w:r>
          </w:p>
        </w:tc>
        <w:tc>
          <w:tcPr>
            <w:tcW w:w="22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STOCKHOLDERS'</w:t>
            </w:r>
          </w:p>
        </w:tc>
      </w:tr>
      <w:tr>
        <w:trPr>
          <w:trHeight w:val="168"/>
        </w:trPr>
        <w:tc>
          <w:tcPr>
            <w:tcW w:w="556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CAPITAL</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EARNINGS</w:t>
            </w:r>
          </w:p>
        </w:tc>
        <w:tc>
          <w:tcPr>
            <w:tcW w:w="22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5560" w:type="dxa"/>
            <w:vAlign w:val="bottom"/>
          </w:tcPr>
          <w:p>
            <w:pPr>
              <w:spacing w:after="0"/>
              <w:rPr>
                <w:sz w:val="14"/>
                <w:szCs w:val="14"/>
                <w:color w:val="auto"/>
              </w:rPr>
            </w:pP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BALANCE AT DECEMBER 31, 1997 .................................</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28,013,436</w:t>
            </w:r>
          </w:p>
        </w:tc>
        <w:tc>
          <w:tcPr>
            <w:tcW w:w="480" w:type="dxa"/>
            <w:vAlign w:val="bottom"/>
          </w:tcPr>
          <w:p>
            <w:pPr>
              <w:jc w:val="right"/>
              <w:ind w:right="329"/>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205,829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217,635</w:t>
            </w:r>
          </w:p>
        </w:tc>
      </w:tr>
      <w:tr>
        <w:trPr>
          <w:trHeight w:val="168"/>
        </w:trPr>
        <w:tc>
          <w:tcPr>
            <w:tcW w:w="5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of the Second Public Offering ...........</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861,479</w:t>
            </w:r>
          </w:p>
        </w:tc>
        <w:tc>
          <w:tcPr>
            <w:tcW w:w="480" w:type="dxa"/>
            <w:vAlign w:val="bottom"/>
          </w:tcPr>
          <w:p>
            <w:pPr>
              <w:spacing w:after="0"/>
              <w:rPr>
                <w:sz w:val="14"/>
                <w:szCs w:val="14"/>
                <w:color w:val="auto"/>
              </w:rPr>
            </w:pP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15,892</w:t>
            </w:r>
          </w:p>
        </w:tc>
        <w:tc>
          <w:tcPr>
            <w:tcW w:w="1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15,901</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Acquisition of Purchased Companies ...............</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9,212,573</w:t>
            </w:r>
          </w:p>
        </w:tc>
        <w:tc>
          <w:tcPr>
            <w:tcW w:w="480" w:type="dxa"/>
            <w:vAlign w:val="bottom"/>
          </w:tcPr>
          <w:p>
            <w:pPr>
              <w:spacing w:after="0"/>
              <w:rPr>
                <w:sz w:val="14"/>
                <w:szCs w:val="14"/>
                <w:color w:val="auto"/>
              </w:rPr>
            </w:pP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111,456</w:t>
            </w:r>
          </w:p>
        </w:tc>
        <w:tc>
          <w:tcPr>
            <w:tcW w:w="1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111,548</w:t>
            </w:r>
          </w:p>
        </w:tc>
      </w:tr>
      <w:tr>
        <w:trPr>
          <w:trHeight w:val="168"/>
        </w:trPr>
        <w:tc>
          <w:tcPr>
            <w:tcW w:w="55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Issuance of Employee Stock Purchase</w:t>
            </w: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Plan shares ................................</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29,362</w:t>
            </w:r>
          </w:p>
        </w:tc>
        <w:tc>
          <w:tcPr>
            <w:tcW w:w="480" w:type="dxa"/>
            <w:vAlign w:val="bottom"/>
          </w:tcPr>
          <w:p>
            <w:pPr>
              <w:spacing w:after="0"/>
              <w:rPr>
                <w:sz w:val="14"/>
                <w:szCs w:val="14"/>
                <w:color w:val="auto"/>
              </w:rPr>
            </w:pPr>
          </w:p>
        </w:tc>
        <w:tc>
          <w:tcPr>
            <w:tcW w:w="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482</w:t>
            </w:r>
          </w:p>
        </w:tc>
        <w:tc>
          <w:tcPr>
            <w:tcW w:w="1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482</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Issuance of shares for options exercised .........</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24,330</w:t>
            </w:r>
          </w:p>
        </w:tc>
        <w:tc>
          <w:tcPr>
            <w:tcW w:w="480" w:type="dxa"/>
            <w:vAlign w:val="bottom"/>
          </w:tcPr>
          <w:p>
            <w:pPr>
              <w:spacing w:after="0"/>
              <w:rPr>
                <w:sz w:val="14"/>
                <w:szCs w:val="14"/>
                <w:color w:val="auto"/>
              </w:rPr>
            </w:pPr>
          </w:p>
        </w:tc>
        <w:tc>
          <w:tcPr>
            <w:tcW w:w="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w:t>
            </w:r>
          </w:p>
        </w:tc>
        <w:tc>
          <w:tcPr>
            <w:tcW w:w="1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w:t>
            </w:r>
          </w:p>
        </w:tc>
      </w:tr>
      <w:tr>
        <w:trPr>
          <w:trHeight w:val="168"/>
        </w:trPr>
        <w:tc>
          <w:tcPr>
            <w:tcW w:w="5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 Corporation distributions made by certain</w:t>
            </w: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Pooled Companies .................................</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(966)</w:t>
            </w:r>
          </w:p>
        </w:tc>
        <w:tc>
          <w:tcPr>
            <w:tcW w:w="22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(966)</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income .............................................</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35,013</w:t>
            </w:r>
          </w:p>
        </w:tc>
        <w:tc>
          <w:tcPr>
            <w:tcW w:w="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35,013</w:t>
            </w:r>
          </w:p>
        </w:tc>
      </w:tr>
      <w:tr>
        <w:trPr>
          <w:trHeight w:val="168"/>
        </w:trPr>
        <w:tc>
          <w:tcPr>
            <w:tcW w:w="5560" w:type="dxa"/>
            <w:vAlign w:val="bottom"/>
          </w:tcPr>
          <w:p>
            <w:pPr>
              <w:spacing w:after="0"/>
              <w:rPr>
                <w:sz w:val="14"/>
                <w:szCs w:val="14"/>
                <w:color w:val="auto"/>
              </w:rPr>
            </w:pP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BALANCE AT DECEMBER 31, 1998 .................................</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38,141,180</w:t>
            </w:r>
          </w:p>
        </w:tc>
        <w:tc>
          <w:tcPr>
            <w:tcW w:w="480" w:type="dxa"/>
            <w:vAlign w:val="bottom"/>
          </w:tcPr>
          <w:p>
            <w:pPr>
              <w:spacing w:after="0"/>
              <w:rPr>
                <w:sz w:val="14"/>
                <w:szCs w:val="14"/>
                <w:color w:val="auto"/>
              </w:rPr>
            </w:pP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381</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333,978</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45,573</w:t>
            </w:r>
          </w:p>
        </w:tc>
        <w:tc>
          <w:tcPr>
            <w:tcW w:w="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379,932</w:t>
            </w:r>
          </w:p>
        </w:tc>
      </w:tr>
      <w:tr>
        <w:trPr>
          <w:trHeight w:val="168"/>
        </w:trPr>
        <w:tc>
          <w:tcPr>
            <w:tcW w:w="5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55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Acquisition of Purchased Companies</w:t>
            </w: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(unaudited) .................................</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381,689</w:t>
            </w:r>
          </w:p>
        </w:tc>
        <w:tc>
          <w:tcPr>
            <w:tcW w:w="480" w:type="dxa"/>
            <w:vAlign w:val="bottom"/>
          </w:tcPr>
          <w:p>
            <w:pPr>
              <w:spacing w:after="0"/>
              <w:rPr>
                <w:sz w:val="14"/>
                <w:szCs w:val="14"/>
                <w:color w:val="auto"/>
              </w:rPr>
            </w:pP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3,096</w:t>
            </w:r>
          </w:p>
        </w:tc>
        <w:tc>
          <w:tcPr>
            <w:tcW w:w="1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3,100</w:t>
            </w:r>
          </w:p>
        </w:tc>
      </w:tr>
      <w:tr>
        <w:trPr>
          <w:trHeight w:val="168"/>
        </w:trPr>
        <w:tc>
          <w:tcPr>
            <w:tcW w:w="55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Issuance of Employee Stock Purchase</w:t>
            </w: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Plan shares (unaudited) ....................</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55,561</w:t>
            </w:r>
          </w:p>
        </w:tc>
        <w:tc>
          <w:tcPr>
            <w:tcW w:w="480" w:type="dxa"/>
            <w:vAlign w:val="bottom"/>
          </w:tcPr>
          <w:p>
            <w:pPr>
              <w:spacing w:after="0"/>
              <w:rPr>
                <w:sz w:val="14"/>
                <w:szCs w:val="14"/>
                <w:color w:val="auto"/>
              </w:rPr>
            </w:pP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849</w:t>
            </w:r>
          </w:p>
        </w:tc>
        <w:tc>
          <w:tcPr>
            <w:tcW w:w="1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850</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income (unaudited) .................................</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6,564</w:t>
            </w:r>
          </w:p>
        </w:tc>
        <w:tc>
          <w:tcPr>
            <w:tcW w:w="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6,564</w:t>
            </w:r>
          </w:p>
        </w:tc>
      </w:tr>
      <w:tr>
        <w:trPr>
          <w:trHeight w:val="168"/>
        </w:trPr>
        <w:tc>
          <w:tcPr>
            <w:tcW w:w="5560" w:type="dxa"/>
            <w:vAlign w:val="bottom"/>
          </w:tcPr>
          <w:p>
            <w:pPr>
              <w:spacing w:after="0"/>
              <w:rPr>
                <w:sz w:val="14"/>
                <w:szCs w:val="14"/>
                <w:color w:val="auto"/>
              </w:rPr>
            </w:pP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BALANCE AT MARCH 31, 1999 (unaudited) ........................</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38,578,430</w:t>
            </w:r>
          </w:p>
        </w:tc>
        <w:tc>
          <w:tcPr>
            <w:tcW w:w="480" w:type="dxa"/>
            <w:vAlign w:val="bottom"/>
          </w:tcPr>
          <w:p>
            <w:pPr>
              <w:jc w:val="right"/>
              <w:ind w:right="329"/>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337,923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52,137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390,446</w:t>
            </w:r>
          </w:p>
        </w:tc>
      </w:tr>
      <w:tr>
        <w:trPr>
          <w:trHeight w:val="168"/>
        </w:trPr>
        <w:tc>
          <w:tcPr>
            <w:tcW w:w="5560" w:type="dxa"/>
            <w:vAlign w:val="bottom"/>
          </w:tcPr>
          <w:p>
            <w:pPr>
              <w:spacing w:after="0"/>
              <w:rPr>
                <w:sz w:val="14"/>
                <w:szCs w:val="14"/>
                <w:color w:val="auto"/>
              </w:rPr>
            </w:pP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The accompanying notes are an integral part of</w:t>
      </w:r>
    </w:p>
    <w:p>
      <w:pPr>
        <w:ind w:left="4040"/>
        <w:spacing w:after="0" w:line="237" w:lineRule="auto"/>
        <w:rPr>
          <w:sz w:val="20"/>
          <w:szCs w:val="20"/>
          <w:color w:val="auto"/>
        </w:rPr>
      </w:pPr>
      <w:r>
        <w:rPr>
          <w:rFonts w:ascii="Courier New" w:cs="Courier New" w:eastAsia="Courier New" w:hAnsi="Courier New"/>
          <w:sz w:val="15"/>
          <w:szCs w:val="15"/>
          <w:color w:val="auto"/>
        </w:rPr>
        <w:t>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40"/>
          </w:cols>
          <w:pgMar w:left="220" w:top="785" w:right="139" w:bottom="1440" w:gutter="0" w:footer="0" w:header="0"/>
        </w:sectPr>
      </w:pPr>
    </w:p>
    <w:bookmarkStart w:id="5" w:name="page6"/>
    <w:bookmarkEnd w:id="5"/>
    <w:p>
      <w:pPr>
        <w:jc w:val="center"/>
        <w:ind w:right="3479"/>
        <w:spacing w:after="0"/>
        <w:rPr>
          <w:sz w:val="20"/>
          <w:szCs w:val="20"/>
          <w:color w:val="auto"/>
        </w:rPr>
      </w:pPr>
      <w:r>
        <w:rPr>
          <w:rFonts w:ascii="Courier New" w:cs="Courier New" w:eastAsia="Courier New" w:hAnsi="Courier New"/>
          <w:sz w:val="15"/>
          <w:szCs w:val="15"/>
          <w:color w:val="auto"/>
        </w:rPr>
        <w:t>COMFORT SYSTEMS USA, INC.</w:t>
      </w:r>
    </w:p>
    <w:p>
      <w:pPr>
        <w:jc w:val="center"/>
        <w:ind w:right="3479"/>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jc w:val="center"/>
        <w:ind w:right="3399"/>
        <w:spacing w:after="0" w:line="238" w:lineRule="auto"/>
        <w:rPr>
          <w:sz w:val="20"/>
          <w:szCs w:val="20"/>
          <w:color w:val="auto"/>
        </w:rPr>
      </w:pPr>
      <w:r>
        <w:rPr>
          <w:rFonts w:ascii="Courier New" w:cs="Courier New" w:eastAsia="Courier New" w:hAnsi="Courier New"/>
          <w:sz w:val="15"/>
          <w:szCs w:val="15"/>
          <w:color w:val="auto"/>
        </w:rPr>
        <w:t>(IN THOUSANDS)</w:t>
      </w:r>
    </w:p>
    <w:tbl>
      <w:tblPr>
        <w:tblLayout w:type="fixed"/>
        <w:tblInd w:w="0" w:type="dxa"/>
        <w:tblCellMar>
          <w:top w:w="0" w:type="dxa"/>
          <w:left w:w="0" w:type="dxa"/>
          <w:bottom w:w="0" w:type="dxa"/>
          <w:right w:w="0" w:type="dxa"/>
        </w:tblCellMar>
      </w:tblPr>
      <w:tr>
        <w:trPr>
          <w:trHeight w:val="168"/>
        </w:trPr>
        <w:tc>
          <w:tcPr>
            <w:tcW w:w="58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6"/>
              </w:rPr>
              <w:t>THREE MONTHS ENDED</w:t>
            </w:r>
          </w:p>
        </w:tc>
      </w:tr>
      <w:tr>
        <w:trPr>
          <w:trHeight w:val="168"/>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jc w:val="right"/>
              <w:ind w:right="46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5820" w:type="dxa"/>
            <w:vAlign w:val="bottom"/>
          </w:tcPr>
          <w:p>
            <w:pPr>
              <w:spacing w:after="0"/>
              <w:rPr>
                <w:sz w:val="14"/>
                <w:szCs w:val="14"/>
                <w:color w:val="auto"/>
              </w:rPr>
            </w:pPr>
          </w:p>
        </w:tc>
        <w:tc>
          <w:tcPr>
            <w:tcW w:w="19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8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3,385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6,564</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820" w:type="dxa"/>
            <w:vAlign w:val="bottom"/>
          </w:tcPr>
          <w:p>
            <w:pPr>
              <w:jc w:val="right"/>
              <w:ind w:right="2667"/>
              <w:spacing w:after="0" w:line="168" w:lineRule="exact"/>
              <w:rPr>
                <w:sz w:val="20"/>
                <w:szCs w:val="20"/>
                <w:color w:val="auto"/>
              </w:rPr>
            </w:pPr>
            <w:r>
              <w:rPr>
                <w:rFonts w:ascii="Courier New" w:cs="Courier New" w:eastAsia="Courier New" w:hAnsi="Courier New"/>
                <w:sz w:val="15"/>
                <w:szCs w:val="15"/>
                <w:color w:val="auto"/>
              </w:rPr>
              <w:t>(used in) operating activities -</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Depreciation and amortization expense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2,268</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5,320</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Bad debt expense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tax benefit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(802)</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(584)</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Gain on sale of property and equipment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Changes in operating assets and liabilities, net of effects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820" w:type="dxa"/>
            <w:vAlign w:val="bottom"/>
          </w:tcPr>
          <w:p>
            <w:pPr>
              <w:jc w:val="right"/>
              <w:ind w:right="2067"/>
              <w:spacing w:after="0" w:line="168" w:lineRule="exact"/>
              <w:rPr>
                <w:sz w:val="20"/>
                <w:szCs w:val="20"/>
                <w:color w:val="auto"/>
              </w:rPr>
            </w:pPr>
            <w:r>
              <w:rPr>
                <w:rFonts w:ascii="Courier New" w:cs="Courier New" w:eastAsia="Courier New" w:hAnsi="Courier New"/>
                <w:sz w:val="15"/>
                <w:szCs w:val="15"/>
                <w:color w:val="auto"/>
              </w:rPr>
              <w:t>acquisitions of Purchased Companies -</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820" w:type="dxa"/>
            <w:vAlign w:val="bottom"/>
          </w:tcPr>
          <w:p>
            <w:pPr>
              <w:jc w:val="right"/>
              <w:ind w:right="3107"/>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Receivables, net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(2,540)</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Inventories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(1,468)</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Prepaid expenses and other current assets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(331)</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944</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Costs and estimated earnings in excess of billings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(2,090)</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(5,335)</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noncurrent assets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(312)</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(652)</w:t>
            </w:r>
          </w:p>
        </w:tc>
      </w:tr>
      <w:tr>
        <w:trPr>
          <w:trHeight w:val="168"/>
        </w:trPr>
        <w:tc>
          <w:tcPr>
            <w:tcW w:w="5820" w:type="dxa"/>
            <w:vAlign w:val="bottom"/>
          </w:tcPr>
          <w:p>
            <w:pPr>
              <w:jc w:val="right"/>
              <w:ind w:right="3107"/>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Accounts payable and accrued liabilities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(5,292)</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532</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Billings in excess of costs and estimated earnings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553</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(3,810)</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net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(961)</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58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cash provided by (used in) operating activities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(6,050)</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1,461</w:t>
            </w:r>
          </w:p>
        </w:tc>
      </w:tr>
      <w:tr>
        <w:trPr>
          <w:trHeight w:val="168"/>
        </w:trPr>
        <w:tc>
          <w:tcPr>
            <w:tcW w:w="58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Purchases of property and equipment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(1,790)</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(3,875)</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sales of property and equipment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Cash paid for Purchased Companies, net of cash acquired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(15,449)</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(9,775)</w:t>
            </w:r>
          </w:p>
        </w:tc>
      </w:tr>
      <w:tr>
        <w:trPr>
          <w:trHeight w:val="168"/>
        </w:trPr>
        <w:tc>
          <w:tcPr>
            <w:tcW w:w="58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cash used in investing activities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(17,145)</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(13,331)</w:t>
            </w:r>
          </w:p>
        </w:tc>
      </w:tr>
      <w:tr>
        <w:trPr>
          <w:trHeight w:val="168"/>
        </w:trPr>
        <w:tc>
          <w:tcPr>
            <w:tcW w:w="58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Payments on long-term debt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(29,382)</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(44,474)</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Borrowings of long-term debt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41,736</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52,282</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 Corporation distributions paid by certain Pooled Companies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issuance of common stock .......................</w:t>
            </w:r>
          </w:p>
        </w:tc>
        <w:tc>
          <w:tcPr>
            <w:tcW w:w="2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850</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cash provided by financing activities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12,361</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8,658</w:t>
            </w:r>
          </w:p>
        </w:tc>
      </w:tr>
      <w:tr>
        <w:trPr>
          <w:trHeight w:val="168"/>
        </w:trPr>
        <w:tc>
          <w:tcPr>
            <w:tcW w:w="58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DECREASE IN CASH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(10,834)</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(3,212)</w:t>
            </w:r>
          </w:p>
        </w:tc>
      </w:tr>
      <w:tr>
        <w:trPr>
          <w:trHeight w:val="336"/>
        </w:trPr>
        <w:tc>
          <w:tcPr>
            <w:tcW w:w="5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CASH AND CASH EQUIVALENTS, beginning of period ..................</w:t>
            </w:r>
          </w:p>
        </w:tc>
        <w:tc>
          <w:tcPr>
            <w:tcW w:w="2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18,097</w:t>
            </w:r>
          </w:p>
        </w:tc>
        <w:tc>
          <w:tcPr>
            <w:tcW w:w="2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6,985</w:t>
            </w:r>
          </w:p>
        </w:tc>
      </w:tr>
      <w:tr>
        <w:trPr>
          <w:trHeight w:val="168"/>
        </w:trPr>
        <w:tc>
          <w:tcPr>
            <w:tcW w:w="58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CASH AND CASH EQUIVALENTS, end of period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7,263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3,773</w:t>
            </w:r>
          </w:p>
        </w:tc>
      </w:tr>
      <w:tr>
        <w:trPr>
          <w:trHeight w:val="168"/>
        </w:trPr>
        <w:tc>
          <w:tcPr>
            <w:tcW w:w="58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these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49" w:right="1440" w:bottom="1440" w:gutter="0" w:footer="0" w:header="0"/>
        </w:sectPr>
      </w:pPr>
    </w:p>
    <w:bookmarkStart w:id="6" w:name="page7"/>
    <w:bookmarkEnd w:id="6"/>
    <w:p>
      <w:pPr>
        <w:ind w:left="2280"/>
        <w:spacing w:after="0"/>
        <w:rPr>
          <w:sz w:val="20"/>
          <w:szCs w:val="20"/>
          <w:color w:val="auto"/>
        </w:rPr>
      </w:pPr>
      <w:r>
        <w:rPr>
          <w:rFonts w:ascii="Courier New" w:cs="Courier New" w:eastAsia="Courier New" w:hAnsi="Courier New"/>
          <w:sz w:val="15"/>
          <w:szCs w:val="15"/>
          <w:color w:val="auto"/>
        </w:rPr>
        <w:t>COMFORT SYSTEMS USA, INC.</w:t>
      </w:r>
    </w:p>
    <w:p>
      <w:pPr>
        <w:ind w:left="15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2800"/>
        <w:spacing w:after="0" w:line="238" w:lineRule="auto"/>
        <w:rPr>
          <w:sz w:val="20"/>
          <w:szCs w:val="20"/>
          <w:color w:val="auto"/>
        </w:rPr>
      </w:pPr>
      <w:r>
        <w:rPr>
          <w:rFonts w:ascii="Courier New" w:cs="Courier New" w:eastAsia="Courier New" w:hAnsi="Courier New"/>
          <w:sz w:val="15"/>
          <w:szCs w:val="15"/>
          <w:color w:val="auto"/>
        </w:rPr>
        <w:t>MARCH 31, 1999</w:t>
      </w:r>
    </w:p>
    <w:p>
      <w:pPr>
        <w:ind w:left="29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360" w:hanging="350"/>
        <w:spacing w:after="0"/>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w:t>
      </w:r>
    </w:p>
    <w:p>
      <w:pPr>
        <w:spacing w:after="0" w:line="173" w:lineRule="exact"/>
        <w:rPr>
          <w:sz w:val="20"/>
          <w:szCs w:val="20"/>
          <w:color w:val="auto"/>
        </w:rPr>
      </w:pPr>
    </w:p>
    <w:p>
      <w:pPr>
        <w:ind w:right="3239" w:firstLine="262"/>
        <w:spacing w:after="0" w:line="255" w:lineRule="auto"/>
        <w:rPr>
          <w:sz w:val="20"/>
          <w:szCs w:val="20"/>
          <w:color w:val="auto"/>
        </w:rPr>
      </w:pPr>
      <w:r>
        <w:rPr>
          <w:rFonts w:ascii="Courier New" w:cs="Courier New" w:eastAsia="Courier New" w:hAnsi="Courier New"/>
          <w:sz w:val="14"/>
          <w:szCs w:val="14"/>
          <w:color w:val="auto"/>
        </w:rPr>
        <w:t>Comfort Systems USA, Inc., a Delaware corporation ("Comfort Systems" and collectively with its subsidiaries, the "Company"), is a leading national provider of comprehensive heating, ventilation and air conditioning ("HVAC") installation, maintenance, repair and replacement services. Founded in December 1996, the Company is consolidating the fragmented commercial and industrial HVAC markets, and performs most of its services within manufacturing plants, office buildings, retail centers, apartment complexes, and healthcare, education and government facilities. In addition to standard HVAC services, the Company also provides specialized applications such as process cooling, control systems, electronic monitoring and process piping. Certain locations also perform related services such as electrical and plumbing.</w:t>
      </w:r>
    </w:p>
    <w:p>
      <w:pPr>
        <w:spacing w:after="0" w:line="165" w:lineRule="exact"/>
        <w:rPr>
          <w:sz w:val="20"/>
          <w:szCs w:val="20"/>
          <w:color w:val="auto"/>
        </w:rPr>
      </w:pPr>
    </w:p>
    <w:p>
      <w:pPr>
        <w:ind w:right="3239" w:firstLine="262"/>
        <w:spacing w:after="0" w:line="237" w:lineRule="auto"/>
        <w:rPr>
          <w:sz w:val="20"/>
          <w:szCs w:val="20"/>
          <w:color w:val="auto"/>
        </w:rPr>
      </w:pPr>
      <w:r>
        <w:rPr>
          <w:rFonts w:ascii="Courier New" w:cs="Courier New" w:eastAsia="Courier New" w:hAnsi="Courier New"/>
          <w:sz w:val="15"/>
          <w:szCs w:val="15"/>
          <w:color w:val="auto"/>
        </w:rPr>
        <w:t>On July 2, 1997, Comfort Systems completed the initial public offering (the "IPO") of its common stock (the "Common Stock") and simultaneously acquired twelve companies (collectively referred to as the "Founding Companies") engaged in providing HVAC services. The Founding Companies had 18 operating locations in ten states. Subsequent to the IPO, and through March 31, 1999, the Company acquired 92 additional HVAC and complementary businesses (collectively with the Founding Companies, the "Acquired Companies"). Of these additional businesses acquired, 17 were accounted for as poolings-of-interests (the "Pooled Companies"). The remaining businesses acquired were accounted for as purchases (the "Purchased Companies"). The companies acquired subsequent to the IPO added 96 operating locations in 20 additional states. These acquisitions included 18 "tuck-in" operations that have been or are currently being integrated with existing Company operations.</w:t>
      </w:r>
    </w:p>
    <w:p>
      <w:pPr>
        <w:spacing w:after="0" w:line="173" w:lineRule="exact"/>
        <w:rPr>
          <w:sz w:val="20"/>
          <w:szCs w:val="20"/>
          <w:color w:val="auto"/>
        </w:rPr>
      </w:pPr>
    </w:p>
    <w:p>
      <w:pPr>
        <w:ind w:right="6119" w:firstLine="10"/>
        <w:spacing w:after="0" w:line="465"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14" w:lineRule="exact"/>
        <w:rPr>
          <w:sz w:val="20"/>
          <w:szCs w:val="20"/>
          <w:color w:val="auto"/>
        </w:rPr>
      </w:pPr>
    </w:p>
    <w:p>
      <w:pPr>
        <w:ind w:right="3319" w:firstLine="262"/>
        <w:spacing w:after="0" w:line="235" w:lineRule="auto"/>
        <w:rPr>
          <w:sz w:val="20"/>
          <w:szCs w:val="20"/>
          <w:color w:val="auto"/>
        </w:rPr>
      </w:pPr>
      <w:r>
        <w:rPr>
          <w:rFonts w:ascii="Courier New" w:cs="Courier New" w:eastAsia="Courier New" w:hAnsi="Courier New"/>
          <w:sz w:val="15"/>
          <w:szCs w:val="15"/>
          <w:color w:val="auto"/>
        </w:rPr>
        <w:t>These interim statements should be read in conjunction with the historical Consolidated Financial Statements and related notes of Comfort Systems included in the Annual Report on Form 10-K as filed with the Securities and Exchange Commission for the year ended December 31, 1998.</w:t>
      </w:r>
    </w:p>
    <w:p>
      <w:pPr>
        <w:spacing w:after="0" w:line="175" w:lineRule="exact"/>
        <w:rPr>
          <w:sz w:val="20"/>
          <w:szCs w:val="20"/>
          <w:color w:val="auto"/>
        </w:rPr>
      </w:pPr>
    </w:p>
    <w:p>
      <w:pPr>
        <w:ind w:right="3399" w:firstLine="262"/>
        <w:spacing w:after="0" w:line="236" w:lineRule="auto"/>
        <w:rPr>
          <w:sz w:val="20"/>
          <w:szCs w:val="20"/>
          <w:color w:val="auto"/>
        </w:rPr>
      </w:pPr>
      <w:r>
        <w:rPr>
          <w:rFonts w:ascii="Courier New" w:cs="Courier New" w:eastAsia="Courier New" w:hAnsi="Courier New"/>
          <w:sz w:val="15"/>
          <w:szCs w:val="15"/>
          <w:color w:val="auto"/>
        </w:rPr>
        <w:t>There were no significant changes in the accounting policies of the Company during the periods presented. For a description of the significant accounting policies of the Company, refer to Note 2 of Notes to Consolidated Financial Statements of Comfort Systems included in the Company's Annual Report on Form 10-K for the year ended December 31, 1998.</w:t>
      </w:r>
    </w:p>
    <w:p>
      <w:pPr>
        <w:spacing w:after="0" w:line="174" w:lineRule="exact"/>
        <w:rPr>
          <w:sz w:val="20"/>
          <w:szCs w:val="20"/>
          <w:color w:val="auto"/>
        </w:rPr>
      </w:pPr>
    </w:p>
    <w:p>
      <w:pPr>
        <w:ind w:right="3239" w:firstLine="262"/>
        <w:spacing w:after="0" w:line="258" w:lineRule="auto"/>
        <w:rPr>
          <w:sz w:val="20"/>
          <w:szCs w:val="20"/>
          <w:color w:val="auto"/>
        </w:rPr>
      </w:pPr>
      <w:r>
        <w:rPr>
          <w:rFonts w:ascii="Courier New" w:cs="Courier New" w:eastAsia="Courier New" w:hAnsi="Courier New"/>
          <w:sz w:val="14"/>
          <w:szCs w:val="14"/>
          <w:color w:val="auto"/>
        </w:rPr>
        <w:t>The regulations for unaudited interim financial statements such as those in this report allow certain information and footnotes required by generally accepted accounting principles for year end financial statements to be excluded.</w:t>
      </w:r>
    </w:p>
    <w:p>
      <w:pPr>
        <w:spacing w:after="0" w:line="161" w:lineRule="exact"/>
        <w:rPr>
          <w:sz w:val="20"/>
          <w:szCs w:val="20"/>
          <w:color w:val="auto"/>
        </w:rPr>
      </w:pPr>
    </w:p>
    <w:p>
      <w:pPr>
        <w:ind w:right="3499" w:firstLine="262"/>
        <w:spacing w:after="0" w:line="235" w:lineRule="auto"/>
        <w:rPr>
          <w:sz w:val="20"/>
          <w:szCs w:val="20"/>
          <w:color w:val="auto"/>
        </w:rPr>
      </w:pPr>
      <w:r>
        <w:rPr>
          <w:rFonts w:ascii="Courier New" w:cs="Courier New" w:eastAsia="Courier New" w:hAnsi="Courier New"/>
          <w:sz w:val="15"/>
          <w:szCs w:val="15"/>
          <w:color w:val="auto"/>
        </w:rPr>
        <w:t>The Company believes all adjustments necessary for a fair presentation of these interim statements have been included and are of a normal and recurring nature.</w:t>
      </w:r>
    </w:p>
    <w:p>
      <w:pPr>
        <w:spacing w:after="0" w:line="174" w:lineRule="exact"/>
        <w:rPr>
          <w:sz w:val="20"/>
          <w:szCs w:val="20"/>
          <w:color w:val="auto"/>
        </w:rPr>
      </w:pPr>
    </w:p>
    <w:p>
      <w:pPr>
        <w:ind w:right="3319" w:firstLine="262"/>
        <w:spacing w:after="0" w:line="234" w:lineRule="auto"/>
        <w:rPr>
          <w:sz w:val="20"/>
          <w:szCs w:val="20"/>
          <w:color w:val="auto"/>
        </w:rPr>
      </w:pPr>
      <w:r>
        <w:rPr>
          <w:rFonts w:ascii="Courier New" w:cs="Courier New" w:eastAsia="Courier New" w:hAnsi="Courier New"/>
          <w:sz w:val="15"/>
          <w:szCs w:val="15"/>
          <w:color w:val="auto"/>
        </w:rPr>
        <w:t>The results of operations for interim periods are not necessarily indicative of the results for the fiscal year.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4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CASH FLOW INFORMATION</w:t>
      </w:r>
    </w:p>
    <w:p>
      <w:pPr>
        <w:spacing w:after="0" w:line="173" w:lineRule="exact"/>
        <w:rPr>
          <w:sz w:val="20"/>
          <w:szCs w:val="20"/>
          <w:color w:val="auto"/>
        </w:rPr>
      </w:pPr>
    </w:p>
    <w:p>
      <w:pPr>
        <w:jc w:val="both"/>
        <w:ind w:right="3239" w:firstLine="262"/>
        <w:spacing w:after="0" w:line="235" w:lineRule="auto"/>
        <w:rPr>
          <w:sz w:val="20"/>
          <w:szCs w:val="20"/>
          <w:color w:val="auto"/>
        </w:rPr>
      </w:pPr>
      <w:r>
        <w:rPr>
          <w:rFonts w:ascii="Courier New" w:cs="Courier New" w:eastAsia="Courier New" w:hAnsi="Courier New"/>
          <w:sz w:val="15"/>
          <w:szCs w:val="15"/>
          <w:color w:val="auto"/>
        </w:rPr>
        <w:t>Cash paid for interest for the three months ended March 31, 1998 and 1999 was approximately $0.3 million and $3.9 million, respectively. Cash paid for income taxes for the three months ended March 31, 1998 and 1999 was approximately $6.9 million and $2.9 million, respectively.</w:t>
      </w:r>
    </w:p>
    <w:p>
      <w:pPr>
        <w:spacing w:after="0" w:line="175" w:lineRule="exact"/>
        <w:rPr>
          <w:sz w:val="20"/>
          <w:szCs w:val="20"/>
          <w:color w:val="auto"/>
        </w:rPr>
      </w:pPr>
    </w:p>
    <w:p>
      <w:pPr>
        <w:ind w:right="7959" w:firstLine="10"/>
        <w:spacing w:after="0" w:line="465"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 POOLINGS</w:t>
      </w:r>
    </w:p>
    <w:p>
      <w:pPr>
        <w:spacing w:after="0" w:line="14" w:lineRule="exact"/>
        <w:rPr>
          <w:sz w:val="20"/>
          <w:szCs w:val="20"/>
          <w:color w:val="auto"/>
        </w:rPr>
      </w:pPr>
    </w:p>
    <w:p>
      <w:pPr>
        <w:ind w:right="3239" w:firstLine="262"/>
        <w:spacing w:after="0" w:line="255" w:lineRule="auto"/>
        <w:rPr>
          <w:sz w:val="20"/>
          <w:szCs w:val="20"/>
          <w:color w:val="auto"/>
        </w:rPr>
      </w:pPr>
      <w:r>
        <w:rPr>
          <w:rFonts w:ascii="Courier New" w:cs="Courier New" w:eastAsia="Courier New" w:hAnsi="Courier New"/>
          <w:sz w:val="14"/>
          <w:szCs w:val="14"/>
          <w:color w:val="auto"/>
        </w:rPr>
        <w:t>During 1998, the Company acquired all of the outstanding stock of the Pooled Companies in exchange for 1,437,767 shares of Common Stock. These acquisitions have been accounted for as poolings-of-interests as described in Note 2 of Notes to Consolidated Financial Statements of Comfort Systems included in the Annual Report on Form 10-K as filed with the Securities and Exchange Commission for the year ended December 31, 1998. These companies provide HVAC and related services.</w:t>
      </w:r>
    </w:p>
    <w:p>
      <w:pPr>
        <w:spacing w:after="0" w:line="166" w:lineRule="exact"/>
        <w:rPr>
          <w:sz w:val="20"/>
          <w:szCs w:val="20"/>
          <w:color w:val="auto"/>
        </w:rPr>
      </w:pPr>
    </w:p>
    <w:p>
      <w:pPr>
        <w:ind w:right="3499" w:firstLine="262"/>
        <w:spacing w:after="0" w:line="234" w:lineRule="auto"/>
        <w:rPr>
          <w:sz w:val="20"/>
          <w:szCs w:val="20"/>
          <w:color w:val="auto"/>
        </w:rPr>
      </w:pPr>
      <w:r>
        <w:rPr>
          <w:rFonts w:ascii="Courier New" w:cs="Courier New" w:eastAsia="Courier New" w:hAnsi="Courier New"/>
          <w:sz w:val="15"/>
          <w:szCs w:val="15"/>
          <w:color w:val="auto"/>
        </w:rPr>
        <w:t>There were no acquisitions for the three months ended March 31, 1999 which were accounted for as poolings-of-interests.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PURCHASES</w:t>
      </w:r>
    </w:p>
    <w:p>
      <w:pPr>
        <w:spacing w:after="0" w:line="173" w:lineRule="exact"/>
        <w:rPr>
          <w:sz w:val="20"/>
          <w:szCs w:val="20"/>
          <w:color w:val="auto"/>
        </w:rPr>
      </w:pPr>
    </w:p>
    <w:p>
      <w:pPr>
        <w:ind w:right="3239" w:firstLine="262"/>
        <w:spacing w:after="0" w:line="236" w:lineRule="auto"/>
        <w:rPr>
          <w:sz w:val="20"/>
          <w:szCs w:val="20"/>
          <w:color w:val="auto"/>
        </w:rPr>
      </w:pPr>
      <w:r>
        <w:rPr>
          <w:rFonts w:ascii="Courier New" w:cs="Courier New" w:eastAsia="Courier New" w:hAnsi="Courier New"/>
          <w:sz w:val="15"/>
          <w:szCs w:val="15"/>
          <w:color w:val="auto"/>
        </w:rPr>
        <w:t>During 1998, the Company acquired 52 of the Purchased Companies. These companies provide HVAC and related services. The aggregate consideration paid in these transactions was $161.2 million in cash, 9,212,573 shares of Common Stock with a market value at the date of acquisition totaling $111.5 million, $57.4 million in the form of convertible subordinated notes and $3.1 million in the form of subordinated notes (collectively the "Notes"). The convertible notes are convertible at various dates in 1999, 2000, 2001, and 2002 and thereafter into 1,243,673, 1,699,729, 1,797,937, and 53,655 shares of Common Stock, respectively. Prior to 1998, convertible subordinated notes were issued to Purchased Companies and are convertible at various dates in 1999 and thereafter into 220,449 shares of Common Stock.</w:t>
      </w:r>
    </w:p>
    <w:p>
      <w:pPr>
        <w:spacing w:after="0" w:line="180" w:lineRule="exact"/>
        <w:rPr>
          <w:sz w:val="20"/>
          <w:szCs w:val="20"/>
          <w:color w:val="auto"/>
        </w:rPr>
      </w:pPr>
    </w:p>
    <w:p>
      <w:pPr>
        <w:ind w:right="3239" w:firstLine="262"/>
        <w:spacing w:after="0" w:line="255" w:lineRule="auto"/>
        <w:rPr>
          <w:sz w:val="20"/>
          <w:szCs w:val="20"/>
          <w:color w:val="auto"/>
        </w:rPr>
      </w:pPr>
      <w:r>
        <w:rPr>
          <w:rFonts w:ascii="Courier New" w:cs="Courier New" w:eastAsia="Courier New" w:hAnsi="Courier New"/>
          <w:sz w:val="14"/>
          <w:szCs w:val="14"/>
          <w:color w:val="auto"/>
        </w:rPr>
        <w:t>For the three months ended March 31, 1999, Comfort Systems acquired 10 additional companies, which were accounted for as purchase transactions. These companies also provide HVAC and related services. The aggregate consideration paid in these transactions was approximately $9.9 million in cash, 381,689 shares of Common Stock with a market value at the date of acquisition totaling $5.6 million, approximately $2.2 million in the form of convertible subordinated notes and $3.3 million in the form of subordinated notes (collectively the "Notes"). The convertible notes are convertible at various dates in 2000 and 2001 into 91,868 shares of Common Stock and in 2002 into 76,562 shares of Common Stock. The allocation of the respective purchase prices to the assets assumed and liabilities acquired resulted in $17.9 million of goodwill related to the companies acquired during the first quarter of 1999.</w:t>
      </w:r>
    </w:p>
    <w:p>
      <w:pPr>
        <w:spacing w:after="0" w:line="164" w:lineRule="exact"/>
        <w:rPr>
          <w:sz w:val="20"/>
          <w:szCs w:val="20"/>
          <w:color w:val="auto"/>
        </w:rPr>
      </w:pPr>
    </w:p>
    <w:p>
      <w:pPr>
        <w:jc w:val="both"/>
        <w:ind w:right="3939" w:firstLine="262"/>
        <w:spacing w:after="0" w:line="258" w:lineRule="auto"/>
        <w:rPr>
          <w:sz w:val="20"/>
          <w:szCs w:val="20"/>
          <w:color w:val="auto"/>
        </w:rPr>
      </w:pPr>
      <w:r>
        <w:rPr>
          <w:rFonts w:ascii="Courier New" w:cs="Courier New" w:eastAsia="Courier New" w:hAnsi="Courier New"/>
          <w:sz w:val="14"/>
          <w:szCs w:val="14"/>
          <w:color w:val="auto"/>
        </w:rPr>
        <w:t>The accompanying balance sheets include allocations of the respective purchase prices to the assets acquired and liabilities assumed based on preliminary estimates of fair value and is subject to final adjustment.</w:t>
      </w:r>
    </w:p>
    <w:p>
      <w:pPr>
        <w:spacing w:after="0" w:line="161"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The unaudited pro forma data presented below consist of the income statement data presented in these consolidated financial statements plus income statement data for the Purchased Companies as if the acquisitions were effective on January 1, 1998 through the respective dates of acquisitions (in thousands, except per share data):</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49" w:right="1440" w:bottom="1440" w:gutter="0" w:footer="0" w:header="0"/>
        </w:sectPr>
      </w:pPr>
    </w:p>
    <w:bookmarkStart w:id="8" w:name="page9"/>
    <w:bookmarkEnd w:id="8"/>
    <w:tbl>
      <w:tblPr>
        <w:tblLayout w:type="fixed"/>
        <w:tblInd w:w="44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ENDED</w:t>
            </w:r>
          </w:p>
        </w:tc>
      </w:tr>
      <w:tr>
        <w:trPr>
          <w:trHeight w:val="168"/>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4780" w:type="dxa"/>
            <w:vAlign w:val="bottom"/>
          </w:tcPr>
          <w:p>
            <w:pPr>
              <w:spacing w:after="0"/>
              <w:rPr>
                <w:sz w:val="14"/>
                <w:szCs w:val="14"/>
                <w:color w:val="auto"/>
              </w:rPr>
            </w:pPr>
          </w:p>
        </w:tc>
        <w:tc>
          <w:tcPr>
            <w:tcW w:w="17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78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283,766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293,001</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7,467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6,411</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per share - diluted ......................</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0.20</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Shares used in computing net income per share - diluted $</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38,039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39,994</w:t>
            </w:r>
          </w:p>
        </w:tc>
      </w:tr>
    </w:tbl>
    <w:p>
      <w:pPr>
        <w:spacing w:after="0" w:line="173" w:lineRule="exact"/>
        <w:rPr>
          <w:sz w:val="20"/>
          <w:szCs w:val="20"/>
          <w:color w:val="auto"/>
        </w:rPr>
      </w:pPr>
    </w:p>
    <w:p>
      <w:pPr>
        <w:ind w:right="3239" w:firstLine="262"/>
        <w:spacing w:after="0" w:line="236" w:lineRule="auto"/>
        <w:rPr>
          <w:sz w:val="20"/>
          <w:szCs w:val="20"/>
          <w:color w:val="auto"/>
        </w:rPr>
      </w:pPr>
      <w:r>
        <w:rPr>
          <w:rFonts w:ascii="Courier New" w:cs="Courier New" w:eastAsia="Courier New" w:hAnsi="Courier New"/>
          <w:sz w:val="15"/>
          <w:szCs w:val="15"/>
          <w:color w:val="auto"/>
        </w:rPr>
        <w:t>Pro forma adjustments included in the preceding table regarding the Acquired Companies primarily relate to (a) certain reductions in salaries and benefits to the former owners (the "Compensation Differential") of the Pooled Companies and Purchased Companies which the former owners agreed would take effect as of the acquisition date, (b) amortization of goodwill related to the Purchased Companies and (c) interest expense on borrowings of $11.0 million that would have been necessary to fund certain S Corporation distributions if they had occurred at the beginning of each period presented. In addition, an incremental tax provision has been recorded as if all applicable Purchased Companies and Pooled Companies which were C Corporations had been subject to federal and state income taxes.</w:t>
      </w:r>
    </w:p>
    <w:p>
      <w:pPr>
        <w:spacing w:after="0" w:line="180" w:lineRule="exact"/>
        <w:rPr>
          <w:sz w:val="20"/>
          <w:szCs w:val="20"/>
          <w:color w:val="auto"/>
        </w:rPr>
      </w:pPr>
    </w:p>
    <w:p>
      <w:pPr>
        <w:ind w:right="3239" w:firstLine="262"/>
        <w:spacing w:after="0" w:line="235" w:lineRule="auto"/>
        <w:rPr>
          <w:sz w:val="20"/>
          <w:szCs w:val="20"/>
          <w:color w:val="auto"/>
        </w:rPr>
      </w:pPr>
      <w:r>
        <w:rPr>
          <w:rFonts w:ascii="Courier New" w:cs="Courier New" w:eastAsia="Courier New" w:hAnsi="Courier New"/>
          <w:sz w:val="15"/>
          <w:szCs w:val="15"/>
          <w:color w:val="auto"/>
        </w:rPr>
        <w:t>The pro forma results presented above are not necessarily indicative of actual results which might have occurred had the operations and management teams of the Company, the Purchased Companies and Pooled Companies been combined at the beginning of the periods presented.</w:t>
      </w:r>
    </w:p>
    <w:p>
      <w:pPr>
        <w:spacing w:after="0" w:line="169" w:lineRule="exact"/>
        <w:rPr>
          <w:sz w:val="20"/>
          <w:szCs w:val="20"/>
          <w:color w:val="auto"/>
        </w:rPr>
      </w:pPr>
    </w:p>
    <w:p>
      <w:pPr>
        <w:ind w:left="360" w:hanging="350"/>
        <w:spacing w:after="0"/>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OBLIGATIONS:</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Long-term debt obligations consist of the following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MARCH 31,</w:t>
            </w:r>
          </w:p>
        </w:tc>
      </w:tr>
      <w:tr>
        <w:trPr>
          <w:trHeight w:val="168"/>
        </w:trPr>
        <w:tc>
          <w:tcPr>
            <w:tcW w:w="4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4"/>
              </w:rPr>
              <w:t>1998</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38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Revolving credit facility .......................</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170,700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$182,750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Notes to affiliates and former owners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63,839</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68,332</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1,907</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497</w:t>
            </w:r>
          </w:p>
        </w:tc>
      </w:tr>
      <w:tr>
        <w:trPr>
          <w:trHeight w:val="168"/>
        </w:trPr>
        <w:tc>
          <w:tcPr>
            <w:tcW w:w="438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debt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236,446</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251,579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current maturities ........................</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9,077</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6,801</w:t>
            </w:r>
          </w:p>
        </w:tc>
      </w:tr>
      <w:tr>
        <w:trPr>
          <w:trHeight w:val="168"/>
        </w:trPr>
        <w:tc>
          <w:tcPr>
            <w:tcW w:w="438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227,369</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$244,778</w:t>
            </w:r>
          </w:p>
        </w:tc>
      </w:tr>
      <w:tr>
        <w:trPr>
          <w:trHeight w:val="168"/>
        </w:trPr>
        <w:tc>
          <w:tcPr>
            <w:tcW w:w="438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REVOLVING CREDIT AGREEMENT</w:t>
      </w:r>
    </w:p>
    <w:p>
      <w:pPr>
        <w:spacing w:after="0" w:line="173" w:lineRule="exact"/>
        <w:rPr>
          <w:sz w:val="20"/>
          <w:szCs w:val="20"/>
          <w:color w:val="auto"/>
        </w:rPr>
      </w:pPr>
    </w:p>
    <w:p>
      <w:pPr>
        <w:ind w:right="3239" w:firstLine="262"/>
        <w:spacing w:after="0" w:line="237" w:lineRule="auto"/>
        <w:rPr>
          <w:sz w:val="20"/>
          <w:szCs w:val="20"/>
          <w:color w:val="auto"/>
        </w:rPr>
      </w:pPr>
      <w:r>
        <w:rPr>
          <w:rFonts w:ascii="Courier New" w:cs="Courier New" w:eastAsia="Courier New" w:hAnsi="Courier New"/>
          <w:sz w:val="15"/>
          <w:szCs w:val="15"/>
          <w:color w:val="auto"/>
        </w:rPr>
        <w:t>In July 1997, the Company entered into a credit agreement with Bank One, Texas, N.A. (the "Credit Facility"). The Credit Facility was amended and restated in September 1997 primarily to provide for additional banks to lend to the Company under the Credit Facility. At that time, the Credit Facility provided the Company with an unsecured revolving line of credit of $75 million. The Credit Facility was further amended in April 1998 and again in December 1998 in order to increase borrowing capacity and to provide for additional banks to lend to the Company under the Credit Facility. The Credit Facility currently provides the Company with a revolving line of credit up to $300 million secured by accounts receivable, inventory and the shares of capital stock of the Company's subsidiaries. The Company currently has a choice of two interest rate options when borrowing under the Credit Facility. Under one option, the interest rate is determined based on the higher of the Federal Funds Rate plus 0.5% or the bank's prime rate. An additional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49" w:right="1440" w:bottom="1440" w:gutter="0" w:footer="0" w:header="0"/>
        </w:sectPr>
      </w:pPr>
    </w:p>
    <w:bookmarkStart w:id="9" w:name="page10"/>
    <w:bookmarkEnd w:id="9"/>
    <w:p>
      <w:pPr>
        <w:ind w:right="3319"/>
        <w:spacing w:after="0" w:line="255" w:lineRule="auto"/>
        <w:rPr>
          <w:sz w:val="20"/>
          <w:szCs w:val="20"/>
          <w:color w:val="auto"/>
        </w:rPr>
      </w:pPr>
      <w:r>
        <w:rPr>
          <w:rFonts w:ascii="Courier New" w:cs="Courier New" w:eastAsia="Courier New" w:hAnsi="Courier New"/>
          <w:sz w:val="14"/>
          <w:szCs w:val="14"/>
          <w:color w:val="auto"/>
        </w:rPr>
        <w:t>margin of zero to 1.25% is then added to the higher of these two rates. Under the other interest rate option, borrowings bear interest based on designated short-term Eurodollar rates (which generally approximate LIBOR) plus 1.0% to 2.5%. The additional margin for both options depends on the ratio of the Company's debt to EBITDA. Commitment fees of 0.25% to 0.5% per annum, also depending on the ratio of debt to EBITDA, are payable on the unused portion of the facility. The Credit Facility prohibits the payment of dividends by the Company without the lenders' approval and requires the Company to comply with certain financial covenants. The amended Credit Facility expires on November 1, 2001, at which time all amounts outstanding under the Credit Facility are due.</w:t>
      </w:r>
    </w:p>
    <w:p>
      <w:pPr>
        <w:spacing w:after="0" w:line="165" w:lineRule="exact"/>
        <w:rPr>
          <w:sz w:val="20"/>
          <w:szCs w:val="20"/>
          <w:color w:val="auto"/>
        </w:rPr>
      </w:pPr>
    </w:p>
    <w:p>
      <w:pPr>
        <w:ind w:right="3319" w:firstLine="262"/>
        <w:spacing w:after="0" w:line="235" w:lineRule="auto"/>
        <w:rPr>
          <w:sz w:val="20"/>
          <w:szCs w:val="20"/>
          <w:color w:val="auto"/>
        </w:rPr>
      </w:pPr>
      <w:r>
        <w:rPr>
          <w:rFonts w:ascii="Courier New" w:cs="Courier New" w:eastAsia="Courier New" w:hAnsi="Courier New"/>
          <w:sz w:val="15"/>
          <w:szCs w:val="15"/>
          <w:color w:val="auto"/>
        </w:rPr>
        <w:t>As of March 31, 1999, the Company had borrowed $182.8 million under the Credit Facility at an average interest rate of approximately 6.8% per annum for the first quarter of 1999. As of May 11, 1999, $194.7 million was outstanding under this facility.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AFFILIATES AND FORMER OWNERS</w:t>
      </w:r>
    </w:p>
    <w:p>
      <w:pPr>
        <w:spacing w:after="0" w:line="173" w:lineRule="exact"/>
        <w:rPr>
          <w:sz w:val="20"/>
          <w:szCs w:val="20"/>
          <w:color w:val="auto"/>
        </w:rPr>
      </w:pPr>
    </w:p>
    <w:p>
      <w:pPr>
        <w:ind w:right="3239" w:firstLine="262"/>
        <w:spacing w:after="0" w:line="237" w:lineRule="auto"/>
        <w:rPr>
          <w:sz w:val="20"/>
          <w:szCs w:val="20"/>
          <w:color w:val="auto"/>
        </w:rPr>
      </w:pPr>
      <w:r>
        <w:rPr>
          <w:rFonts w:ascii="Courier New" w:cs="Courier New" w:eastAsia="Courier New" w:hAnsi="Courier New"/>
          <w:sz w:val="15"/>
          <w:szCs w:val="15"/>
          <w:color w:val="auto"/>
        </w:rPr>
        <w:t>The Notes in the amount of $68.3 million, net of $2.6 million of repayments, referred to above were issued to former owners of certain Purchased Companies as partial consideration of the acquisition purchase price. Of these Notes, $67.8 million bear interest, payable quarterly, at a weighted average interest rate of 5.42% and $64.5 million are convertible by the holder into shares of the Company's Common Stock at a weighted average price of $25.78 per share. The remaining Notes in the amount of $0.5 million are non-interest bearing, and require principal payments in four equal annual installments beginning in 2000. The terms of the convertible subordinated notes require $6.5 million of principal payments in 1999, $10.9 million of principal payments in 2000, $43.5 million of principal payments in 2001, $3.2 million of principal payments in 2002 and $0.4 million of principal payments in 2003. The terms of the nonconvertible interest-bearing subordinated notes require $3.3 million of principal payments in 2002.</w:t>
      </w:r>
    </w:p>
    <w:p>
      <w:pPr>
        <w:spacing w:after="0" w:line="174" w:lineRule="exact"/>
        <w:rPr>
          <w:sz w:val="20"/>
          <w:szCs w:val="20"/>
          <w:color w:val="auto"/>
        </w:rPr>
      </w:pPr>
    </w:p>
    <w:p>
      <w:pPr>
        <w:ind w:right="7259" w:firstLine="10"/>
        <w:spacing w:after="0" w:line="509" w:lineRule="auto"/>
        <w:tabs>
          <w:tab w:leader="none" w:pos="35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CLAIMS AND LAWSUITS</w:t>
      </w:r>
    </w:p>
    <w:p>
      <w:pPr>
        <w:ind w:right="3319" w:firstLine="262"/>
        <w:spacing w:after="0" w:line="255" w:lineRule="auto"/>
        <w:rPr>
          <w:sz w:val="20"/>
          <w:szCs w:val="20"/>
          <w:color w:val="auto"/>
        </w:rPr>
      </w:pPr>
      <w:r>
        <w:rPr>
          <w:rFonts w:ascii="Courier New" w:cs="Courier New" w:eastAsia="Courier New" w:hAnsi="Courier New"/>
          <w:sz w:val="14"/>
          <w:szCs w:val="14"/>
          <w:color w:val="auto"/>
        </w:rPr>
        <w:t>The Company is from time to time party to litigation in the ordinary course of business. There are currently no pending legal proceedings that, in management's opinion, would have a material adverse effect on the Company's operating results or financial condition. The Company maintains various insurance coverages in order to minimize financial risk associated with certain claims. The Company has provided accruals for probable losses and legal fees associated with certain of these actions in the accompanying consolidated financial statements. A wholly-owned insurance company subsidiary reinsures a portion of the risk associated with surety bonds issued by a third party insurance company. Because no claims have been made against these financial instruments in the past, management does not expect these instruments will have a material effect on the Company's consolidated financial statements.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STOCKHOLDERS' EQUITY: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AND PREFERRED STOCK</w:t>
      </w:r>
    </w:p>
    <w:p>
      <w:pPr>
        <w:spacing w:after="0" w:line="173"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During 1998, the Company increased the number of authorized shares of Common Stock to 102,969,912. On June 16, 1998, the Company completed a second public offering (the "Second Public Offering") of 400,000 shares of its Common Stock. The net proceeds from this offering of $7.6 million, after deducting underwriting commissions, were used to repay debt. On July 21, 1998, the underwriters exercised their overallotment option in connection with the Second Public Offering completed in June 1998. An additional 461,479 shares of Common Stock were sold and the net proceeds of $8.8 million, after deducting underwriting commissions, were used to repay debt.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COMMON STOCK</w:t>
      </w:r>
    </w:p>
    <w:p>
      <w:pPr>
        <w:spacing w:after="0" w:line="173" w:lineRule="exact"/>
        <w:rPr>
          <w:sz w:val="20"/>
          <w:szCs w:val="20"/>
          <w:color w:val="auto"/>
        </w:rPr>
      </w:pPr>
    </w:p>
    <w:p>
      <w:pPr>
        <w:ind w:right="4019" w:firstLine="262"/>
        <w:spacing w:after="0" w:line="234" w:lineRule="auto"/>
        <w:rPr>
          <w:sz w:val="20"/>
          <w:szCs w:val="20"/>
          <w:color w:val="auto"/>
        </w:rPr>
      </w:pPr>
      <w:r>
        <w:rPr>
          <w:rFonts w:ascii="Courier New" w:cs="Courier New" w:eastAsia="Courier New" w:hAnsi="Courier New"/>
          <w:sz w:val="15"/>
          <w:szCs w:val="15"/>
          <w:color w:val="auto"/>
        </w:rPr>
        <w:t>In March 1997, Notre Capital Ventures II, L.L.C. ("Notre") exchanged 2,742,912 shares of Common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55" w:right="1440" w:bottom="1440" w:gutter="0" w:footer="0" w:header="0"/>
        </w:sectPr>
      </w:pPr>
    </w:p>
    <w:bookmarkStart w:id="10" w:name="page11"/>
    <w:bookmarkEnd w:id="10"/>
    <w:p>
      <w:pPr>
        <w:ind w:right="3239"/>
        <w:spacing w:after="0" w:line="236" w:lineRule="auto"/>
        <w:rPr>
          <w:sz w:val="20"/>
          <w:szCs w:val="20"/>
          <w:color w:val="auto"/>
        </w:rPr>
      </w:pPr>
      <w:r>
        <w:rPr>
          <w:rFonts w:ascii="Courier New" w:cs="Courier New" w:eastAsia="Courier New" w:hAnsi="Courier New"/>
          <w:sz w:val="15"/>
          <w:szCs w:val="15"/>
          <w:color w:val="auto"/>
        </w:rPr>
        <w:t>Stock for an equal number of shares of restricted voting common stock ("Restricted Voting Common Stock"). The holder of Restricted Voting Common Stock is entitled to elect one member of the Company's Board of Directors and to 0.55 of one vote for each share on all other matters on which they are entitled to vote. Holders of Restricted Voting Common Stock are not entitled to vote on the election of any other directors.</w:t>
      </w:r>
    </w:p>
    <w:p>
      <w:pPr>
        <w:spacing w:after="0" w:line="175" w:lineRule="exact"/>
        <w:rPr>
          <w:sz w:val="20"/>
          <w:szCs w:val="20"/>
          <w:color w:val="auto"/>
        </w:rPr>
      </w:pPr>
    </w:p>
    <w:p>
      <w:pPr>
        <w:ind w:right="3239" w:firstLine="262"/>
        <w:spacing w:after="0" w:line="254" w:lineRule="auto"/>
        <w:rPr>
          <w:sz w:val="20"/>
          <w:szCs w:val="20"/>
          <w:color w:val="auto"/>
        </w:rPr>
      </w:pPr>
      <w:r>
        <w:rPr>
          <w:rFonts w:ascii="Courier New" w:cs="Courier New" w:eastAsia="Courier New" w:hAnsi="Courier New"/>
          <w:sz w:val="14"/>
          <w:szCs w:val="14"/>
          <w:color w:val="auto"/>
        </w:rPr>
        <w:t>Each share of Restricted Voting Common Stock will automatically convert to Common Stock on a share-for-share basis (i) in the event of a disposition of such share of Restricted Voting Common Stock by the holder thereof (other than a distribution which is a distribution by a holder to its partners or beneficial owners, or a transfer to a related party of such holders (as defined in Sections 267, 707, 318 and/or 4946 of the Internal Revenue Code of 1986, as amended)),</w:t>
      </w:r>
    </w:p>
    <w:p>
      <w:pPr>
        <w:spacing w:after="0" w:line="2" w:lineRule="exact"/>
        <w:rPr>
          <w:sz w:val="20"/>
          <w:szCs w:val="20"/>
          <w:color w:val="auto"/>
        </w:rPr>
      </w:pPr>
    </w:p>
    <w:p>
      <w:pPr>
        <w:ind w:right="3239" w:firstLine="10"/>
        <w:spacing w:after="0" w:line="236" w:lineRule="auto"/>
        <w:tabs>
          <w:tab w:leader="none" w:pos="43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person acquires beneficial ownership of 15% or more of the total number of outstanding shares of Common Stock of the Company, or (iii) in the event any person offers to acquire 15% or more of the total number of outstanding shares of Common Stock of the Company. After July 1,1998, the Board of Directors may elect to convert any remaining shares of Restricted Voting Common Stock into shares of Common Stock in the event 80% or more of the originally outstanding shares of Restricted Voting Common Stock have been previously converted into shares of Common Stock. As of March 31, 1999, 306,724 shares of Restricted Voting Common Stock had been converted to shares of Common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ind w:right="3319" w:firstLine="262"/>
        <w:spacing w:after="0" w:line="237" w:lineRule="auto"/>
        <w:rPr>
          <w:sz w:val="20"/>
          <w:szCs w:val="20"/>
          <w:color w:val="auto"/>
        </w:rPr>
      </w:pPr>
      <w:r>
        <w:rPr>
          <w:rFonts w:ascii="Courier New" w:cs="Courier New" w:eastAsia="Courier New" w:hAnsi="Courier New"/>
          <w:sz w:val="15"/>
          <w:szCs w:val="15"/>
          <w:color w:val="auto"/>
        </w:rPr>
        <w:t>In February 1997, the Financial Accounting Standards Board issued SFAS No. 128, "Earnings Per Share." SFAS No. 128 revises the methodology to be used in computing earnings per share ("EPS") such that the computations previously required for primary and fully diluted EPS are to be replaced with "basic" and "diluted" EPS. Basic EPS is computed by dividing net income by the weighted average number of shares of common stock outstanding during the year. Diluted EPS is computed in a similar manner as fully diluted EPS, except that, among other changes, the average share price for the period is used in all cases when applying the treasury stock method to potentially dilutive outstanding options. Diluted EPS is also computed by adjusting both net earnings and shares outstanding as if the conversion of the convertible subordinated notes occurred on the first day of the year. The after tax interest expense related to the assumed conversion of the convertible subordinated notes during the first three months of 1999 was $190,000. The effect of the assumed conversion of the convertible subordinated notes during the first three months of 1998 was antidilutive.</w:t>
      </w:r>
    </w:p>
    <w:p>
      <w:pPr>
        <w:spacing w:after="0" w:line="175" w:lineRule="exact"/>
        <w:rPr>
          <w:sz w:val="20"/>
          <w:szCs w:val="20"/>
          <w:color w:val="auto"/>
        </w:rPr>
      </w:pPr>
    </w:p>
    <w:p>
      <w:pPr>
        <w:ind w:right="3399" w:firstLine="262"/>
        <w:spacing w:after="0" w:line="234" w:lineRule="auto"/>
        <w:rPr>
          <w:sz w:val="20"/>
          <w:szCs w:val="20"/>
          <w:color w:val="auto"/>
        </w:rPr>
      </w:pPr>
      <w:r>
        <w:rPr>
          <w:rFonts w:ascii="Courier New" w:cs="Courier New" w:eastAsia="Courier New" w:hAnsi="Courier New"/>
          <w:sz w:val="15"/>
          <w:szCs w:val="15"/>
          <w:color w:val="auto"/>
        </w:rPr>
        <w:t>The following table summarizes weighted average shares outstanding for each of the periods presented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6700" w:type="dxa"/>
            <w:vAlign w:val="bottom"/>
          </w:tcPr>
          <w:p>
            <w:pPr>
              <w:spacing w:after="0"/>
              <w:rPr>
                <w:sz w:val="14"/>
                <w:szCs w:val="14"/>
                <w:color w:val="auto"/>
              </w:rPr>
            </w:pP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6700" w:type="dxa"/>
            <w:vAlign w:val="bottom"/>
          </w:tcPr>
          <w:p>
            <w:pPr>
              <w:spacing w:after="0"/>
              <w:rPr>
                <w:sz w:val="14"/>
                <w:szCs w:val="14"/>
                <w:color w:val="auto"/>
              </w:rPr>
            </w:pP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9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4"/>
              </w:rPr>
              <w:t>1998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7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Shares issued in connection with the acquisitions of the Founding Companies</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9,721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9,721</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Shares sold pursuant to the IPO ...........................................</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6,100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6,100</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Shares held by Notre, management and consultants ..........................</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4,240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4,240</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Shares issued in connection with the acquisitions of the Pooled Companies .</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5,946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5,946</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issued in connection with the underwriter's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overallotment ..........................................................</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1,376</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issued in connection with the acquisitions of the</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Purchased Companies ....................................................</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10,437</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Weighted average shares sold in the Second Public Offering ................</w:t>
            </w:r>
          </w:p>
        </w:tc>
        <w:tc>
          <w:tcPr>
            <w:tcW w:w="9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portion of shares issued in connection with the Employee</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Stock Purchase Plan ....................................................</w:t>
            </w:r>
          </w:p>
        </w:tc>
        <w:tc>
          <w:tcPr>
            <w:tcW w:w="9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portion of shares issued in connection with the exercise</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of stock options ..........................................................</w:t>
            </w:r>
          </w:p>
        </w:tc>
        <w:tc>
          <w:tcPr>
            <w:tcW w:w="9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67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Weighted average shares outstanding  - Basic ..............................</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29,325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38,311</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portion of shares related to stock options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under the treasury stock method ........................................</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Weighted average shares related to the issuance of convertible notes ......</w:t>
            </w:r>
          </w:p>
        </w:tc>
        <w:tc>
          <w:tcPr>
            <w:tcW w:w="9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1,292</w:t>
            </w:r>
          </w:p>
        </w:tc>
      </w:tr>
      <w:tr>
        <w:trPr>
          <w:trHeight w:val="168"/>
        </w:trPr>
        <w:tc>
          <w:tcPr>
            <w:tcW w:w="67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Weighted average shares outstanding - Diluted .............................</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29,756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39,769</w:t>
            </w:r>
          </w:p>
        </w:tc>
      </w:tr>
      <w:tr>
        <w:trPr>
          <w:trHeight w:val="168"/>
        </w:trPr>
        <w:tc>
          <w:tcPr>
            <w:tcW w:w="67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700" w:type="dxa"/>
            <w:vAlign w:val="bottom"/>
          </w:tcPr>
          <w:p>
            <w:pPr>
              <w:ind w:left="3420"/>
              <w:spacing w:after="0"/>
              <w:rPr>
                <w:sz w:val="20"/>
                <w:szCs w:val="20"/>
                <w:color w:val="auto"/>
              </w:rPr>
            </w:pPr>
            <w:r>
              <w:rPr>
                <w:rFonts w:ascii="Courier New" w:cs="Courier New" w:eastAsia="Courier New" w:hAnsi="Courier New"/>
                <w:sz w:val="15"/>
                <w:szCs w:val="15"/>
                <w:color w:val="auto"/>
              </w:rPr>
              <w:t>10</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455" w:right="1440" w:bottom="1440" w:gutter="0" w:footer="0" w:header="0"/>
        </w:sectPr>
      </w:pPr>
    </w:p>
    <w:bookmarkStart w:id="11" w:name="page12"/>
    <w:bookmarkEnd w:id="11"/>
    <w:p>
      <w:pPr>
        <w:ind w:left="2200"/>
        <w:spacing w:after="0"/>
        <w:rPr>
          <w:sz w:val="20"/>
          <w:szCs w:val="20"/>
          <w:color w:val="auto"/>
        </w:rPr>
      </w:pPr>
      <w:r>
        <w:rPr>
          <w:rFonts w:ascii="Courier New" w:cs="Courier New" w:eastAsia="Courier New" w:hAnsi="Courier New"/>
          <w:sz w:val="15"/>
          <w:szCs w:val="15"/>
          <w:color w:val="auto"/>
        </w:rPr>
        <w:t>COMFORT SYSTEMS USA, INC.</w:t>
      </w:r>
    </w:p>
    <w:p>
      <w:pPr>
        <w:spacing w:after="0" w:line="173" w:lineRule="exact"/>
        <w:rPr>
          <w:sz w:val="20"/>
          <w:szCs w:val="20"/>
          <w:color w:val="auto"/>
        </w:rPr>
      </w:pPr>
    </w:p>
    <w:p>
      <w:pPr>
        <w:ind w:left="700" w:right="3319" w:hanging="699"/>
        <w:spacing w:after="0" w:line="234"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ind w:right="3239" w:firstLine="262"/>
        <w:spacing w:after="0" w:line="255" w:lineRule="auto"/>
        <w:rPr>
          <w:sz w:val="20"/>
          <w:szCs w:val="20"/>
          <w:color w:val="auto"/>
        </w:rPr>
      </w:pPr>
      <w:r>
        <w:rPr>
          <w:rFonts w:ascii="Courier New" w:cs="Courier New" w:eastAsia="Courier New" w:hAnsi="Courier New"/>
          <w:sz w:val="14"/>
          <w:szCs w:val="14"/>
          <w:color w:val="auto"/>
        </w:rPr>
        <w:t>The following discussion should be read in conjunction with the consolidated historical and pro forma combined financial statements of the Company and related notes thereto included elsewhere in this Form 10-Q and the Annual Report on Form 10-K for the year ended December 31, 1998 (the "Form 10-K"). This discussion contains forward-looking statements regarding the business and industry of Comfort Systems within the meaning of the Private Securities Litigation Reform Act of 1995. These statements are based on the current plans and expectations of the Company and involve risks and uncertanties that could cause actual future activities and results of operations to be materially different from those set forth in the forward-looking statements. Important factors that could cause actual results to differ include risks set forth in "Factors Which May Affect Future Results," included in the Form 10-K.</w:t>
      </w:r>
    </w:p>
    <w:p>
      <w:pPr>
        <w:spacing w:after="0" w:line="164" w:lineRule="exact"/>
        <w:rPr>
          <w:sz w:val="20"/>
          <w:szCs w:val="20"/>
          <w:color w:val="auto"/>
        </w:rPr>
      </w:pPr>
    </w:p>
    <w:p>
      <w:pPr>
        <w:ind w:right="3239" w:firstLine="262"/>
        <w:spacing w:after="0" w:line="255" w:lineRule="auto"/>
        <w:rPr>
          <w:sz w:val="20"/>
          <w:szCs w:val="20"/>
          <w:color w:val="auto"/>
        </w:rPr>
      </w:pPr>
      <w:r>
        <w:rPr>
          <w:rFonts w:ascii="Courier New" w:cs="Courier New" w:eastAsia="Courier New" w:hAnsi="Courier New"/>
          <w:sz w:val="14"/>
          <w:szCs w:val="14"/>
          <w:color w:val="auto"/>
        </w:rPr>
        <w:t>The Company is a leading national provider of comprehensive HVAC installation, maintenance, repair and replacement services. Founded in December 1996, the Company is consolidating the fragmented commercial and industrial HVAC markets and performs most of its services within manufacturing plants, office buildings, retail centers, apartment complexes, and healthcare, education and government facilities. In addition to standard HVAC services, the Company also provides specialized applications such as process cooling, control systems, electronic monitoring and process piping. Certain locations also perform related services such as electrical and plumbing.</w:t>
      </w:r>
    </w:p>
    <w:p>
      <w:pPr>
        <w:spacing w:after="0" w:line="165" w:lineRule="exact"/>
        <w:rPr>
          <w:sz w:val="20"/>
          <w:szCs w:val="20"/>
          <w:color w:val="auto"/>
        </w:rPr>
      </w:pPr>
    </w:p>
    <w:p>
      <w:pPr>
        <w:ind w:right="3239" w:firstLine="262"/>
        <w:spacing w:after="0" w:line="255" w:lineRule="auto"/>
        <w:rPr>
          <w:sz w:val="20"/>
          <w:szCs w:val="20"/>
          <w:color w:val="auto"/>
        </w:rPr>
      </w:pPr>
      <w:r>
        <w:rPr>
          <w:rFonts w:ascii="Courier New" w:cs="Courier New" w:eastAsia="Courier New" w:hAnsi="Courier New"/>
          <w:sz w:val="14"/>
          <w:szCs w:val="14"/>
          <w:color w:val="auto"/>
        </w:rPr>
        <w:t>On July 2, 1997, the Company completed the IPO and simultaneously acquired the twelve Founding Companies, which are engaged in providing HVAC services. Subsequent to the IPO, and through March 31, 1999, the Company acquired 92 additional HVAC and complementary businesses. Of these additional acquisitions, 17 acquisitions were accounted for as poolings-of-interests and the remaining 75 acquisitions were accounted for as purchases. The consolidated historical financial statements of the Company have been retroactively restated to give effect to the operations of the Pooled Companies.</w:t>
      </w:r>
    </w:p>
    <w:p>
      <w:pPr>
        <w:spacing w:after="0" w:line="166" w:lineRule="exact"/>
        <w:rPr>
          <w:sz w:val="20"/>
          <w:szCs w:val="20"/>
          <w:color w:val="auto"/>
        </w:rPr>
      </w:pPr>
    </w:p>
    <w:p>
      <w:pPr>
        <w:ind w:right="3319" w:firstLine="262"/>
        <w:spacing w:after="0" w:line="237" w:lineRule="auto"/>
        <w:rPr>
          <w:sz w:val="20"/>
          <w:szCs w:val="20"/>
          <w:color w:val="auto"/>
        </w:rPr>
      </w:pPr>
      <w:r>
        <w:rPr>
          <w:rFonts w:ascii="Courier New" w:cs="Courier New" w:eastAsia="Courier New" w:hAnsi="Courier New"/>
          <w:sz w:val="15"/>
          <w:szCs w:val="15"/>
          <w:color w:val="auto"/>
        </w:rPr>
        <w:t>Historical results are not necessarily indicative of future results of the Company because, among other things, the Acquired Companies were not under common control or management prior to their acquisition. The results of the Company have historically been subject to seasonal fluctuations. The timing and magnitude of acquisitions, assimilation costs and the seasonal nature of the HVAC industry may materially affect operating results. Accordingly, the operating results for any period are not necessarily indicative of the results that may be achieved for any subsequent period. These historical statements of operations should be read in conjunction with the historical Consolidated Financial Statements and related notes of Comfort Systems, filed herewith, and the additional information and the respective financial statements and related notes of Comfort Systems included in the Annual Report on Form 10-K as filed with the Securities and Exchange Commission for the year ended December 31, 1998.</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49"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RESULTS OF OPERATIONS - HISTORICAL</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w w:val="95"/>
              </w:rPr>
              <w:t>THREE MONTHS ENDED</w:t>
            </w:r>
          </w:p>
        </w:tc>
        <w:tc>
          <w:tcPr>
            <w:tcW w:w="600" w:type="dxa"/>
            <w:vAlign w:val="bottom"/>
          </w:tcPr>
          <w:p>
            <w:pPr>
              <w:spacing w:after="0"/>
              <w:rPr>
                <w:sz w:val="24"/>
                <w:szCs w:val="24"/>
                <w:color w:val="auto"/>
              </w:rPr>
            </w:pPr>
          </w:p>
        </w:tc>
      </w:tr>
      <w:tr>
        <w:trPr>
          <w:trHeight w:val="168"/>
        </w:trPr>
        <w:tc>
          <w:tcPr>
            <w:tcW w:w="3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0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MARCH 31,</w:t>
            </w:r>
          </w:p>
        </w:tc>
        <w:tc>
          <w:tcPr>
            <w:tcW w:w="60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380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(IN THOUSANDS)</w:t>
            </w:r>
          </w:p>
        </w:tc>
        <w:tc>
          <w:tcPr>
            <w:tcW w:w="60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w:t>
            </w:r>
          </w:p>
        </w:tc>
        <w:tc>
          <w:tcPr>
            <w:tcW w:w="60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2"/>
              </w:rPr>
              <w:t>------------------</w:t>
            </w:r>
          </w:p>
        </w:tc>
        <w:tc>
          <w:tcPr>
            <w:tcW w:w="880" w:type="dxa"/>
            <w:vAlign w:val="bottom"/>
          </w:tcPr>
          <w:p>
            <w:pPr>
              <w:spacing w:after="0"/>
              <w:rPr>
                <w:sz w:val="14"/>
                <w:szCs w:val="14"/>
                <w:color w:val="auto"/>
              </w:rPr>
            </w:pPr>
          </w:p>
        </w:tc>
        <w:tc>
          <w:tcPr>
            <w:tcW w:w="1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Revenues ..........................</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132,608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$ 291,926</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2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Cost of services ..................</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101,269</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76.4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228,748</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78.4</w:t>
            </w:r>
          </w:p>
        </w:tc>
      </w:tr>
      <w:tr>
        <w:trPr>
          <w:trHeight w:val="168"/>
        </w:trPr>
        <w:tc>
          <w:tcPr>
            <w:tcW w:w="32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Gross profit ......................</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31,339</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63,178</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32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Selling, general and administrative</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2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expenses .........................</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23,130</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44,858</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32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Goodwill amortization .............</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1,170</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2,784</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2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Operating income ..................</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7,039</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15,536</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32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income (expense) ............</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(3,979)</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2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before taxes ...............</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6,163</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11,557</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32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Provision for income taxes ........</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2,778</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4,993</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income ........................</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6,564</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2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REVENUES - Revenues increased $159.3 million, or 120.1%, to $291.9 million for first quarter of 1999 compared to 1998. The increase in revenues was primarily due to the acquisition of Purchased Companies.</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GROSS PROFIT - Gross profit increased $31.8 million, or 101.6%, to $63.2 million for first quarter of 1999 compared to 1998. This increase was primarily due to the acquisitions described above. As a percentage of revenues, gross profit decreased from 23.6% for the three months ended March 31, 1998 to 21.6% for the three months ended March 31, 1999. This decrease primarily resulted from the reclassification of certain costs from selling, general and administrative expenses to cost of services. These costs relate to activities that directly support project or service work. This reclassification better aligns the presentation of cost of services and selling, general and administrative expenses across all our acquired operations. Excluding the effect of this reclassification of approximately $5.8 million, gross profit as a percent of revenues was unchanged from the first quarter of 1998 at 23.6%.</w:t>
      </w:r>
    </w:p>
    <w:p>
      <w:pPr>
        <w:spacing w:after="0" w:line="15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SELLING, GENERAL AND ADMINISTRATIVE EXPENSES ("SG&amp;A") - SG&amp;A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$21.7 million, or 93.9%, to $44.9 million for the first quarter of 1999 compared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1998. Most of this increase was related to Purchased Companies acquired</w:t>
      </w:r>
    </w:p>
    <w:p>
      <w:pPr>
        <w:spacing w:after="0" w:line="237" w:lineRule="auto"/>
        <w:rPr>
          <w:sz w:val="20"/>
          <w:szCs w:val="20"/>
          <w:color w:val="auto"/>
        </w:rPr>
      </w:pPr>
      <w:r>
        <w:rPr>
          <w:rFonts w:ascii="Courier New" w:cs="Courier New" w:eastAsia="Courier New" w:hAnsi="Courier New"/>
          <w:sz w:val="15"/>
          <w:szCs w:val="15"/>
          <w:color w:val="auto"/>
        </w:rPr>
        <w:t>subsequent to first quarter 1998 along with corporate office and management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associated with the Company's establishment as a public company. As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of revenues, selling, general and administrative expenses decreased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17.4% for the three months ended March 31, 1998 to 15.4% for the three</w:t>
      </w:r>
    </w:p>
    <w:p>
      <w:pPr>
        <w:spacing w:after="0" w:line="237" w:lineRule="auto"/>
        <w:rPr>
          <w:sz w:val="20"/>
          <w:szCs w:val="20"/>
          <w:color w:val="auto"/>
        </w:rPr>
      </w:pPr>
      <w:r>
        <w:rPr>
          <w:rFonts w:ascii="Courier New" w:cs="Courier New" w:eastAsia="Courier New" w:hAnsi="Courier New"/>
          <w:sz w:val="15"/>
          <w:szCs w:val="15"/>
          <w:color w:val="auto"/>
        </w:rPr>
        <w:t>months ended March 31, 1999. This decrease is primarily attributable to the</w:t>
      </w:r>
    </w:p>
    <w:p>
      <w:pPr>
        <w:spacing w:after="0" w:line="238" w:lineRule="auto"/>
        <w:rPr>
          <w:sz w:val="20"/>
          <w:szCs w:val="20"/>
          <w:color w:val="auto"/>
        </w:rPr>
      </w:pPr>
      <w:r>
        <w:rPr>
          <w:rFonts w:ascii="Courier New" w:cs="Courier New" w:eastAsia="Courier New" w:hAnsi="Courier New"/>
          <w:sz w:val="15"/>
          <w:szCs w:val="15"/>
          <w:color w:val="auto"/>
        </w:rPr>
        <w:t>reclassification of costs as described above. Excluding the effect of this</w:t>
      </w:r>
    </w:p>
    <w:p>
      <w:pPr>
        <w:spacing w:after="0" w:line="237" w:lineRule="auto"/>
        <w:rPr>
          <w:sz w:val="20"/>
          <w:szCs w:val="20"/>
          <w:color w:val="auto"/>
        </w:rPr>
      </w:pPr>
      <w:r>
        <w:rPr>
          <w:rFonts w:ascii="Courier New" w:cs="Courier New" w:eastAsia="Courier New" w:hAnsi="Courier New"/>
          <w:sz w:val="15"/>
          <w:szCs w:val="15"/>
          <w:color w:val="auto"/>
        </w:rPr>
        <w:t>reclassification of approximately $5.8 million, SG&amp;A expenses as a percent of</w:t>
      </w:r>
    </w:p>
    <w:p>
      <w:pPr>
        <w:spacing w:after="0" w:line="238" w:lineRule="auto"/>
        <w:rPr>
          <w:sz w:val="20"/>
          <w:szCs w:val="20"/>
          <w:color w:val="auto"/>
        </w:rPr>
      </w:pPr>
      <w:r>
        <w:rPr>
          <w:rFonts w:ascii="Courier New" w:cs="Courier New" w:eastAsia="Courier New" w:hAnsi="Courier New"/>
          <w:sz w:val="15"/>
          <w:szCs w:val="15"/>
          <w:color w:val="auto"/>
        </w:rPr>
        <w:t>revenues was unchanged from the first quarter of 1998 at 17.4%. SG&amp;A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quarter of 1998 includes $0.4 million of salaries and benefits paid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owners of the Pooled Companies which the former owners contractually</w:t>
      </w:r>
    </w:p>
    <w:p>
      <w:pPr>
        <w:spacing w:after="0" w:line="237" w:lineRule="auto"/>
        <w:rPr>
          <w:sz w:val="20"/>
          <w:szCs w:val="20"/>
          <w:color w:val="auto"/>
        </w:rPr>
      </w:pPr>
      <w:r>
        <w:rPr>
          <w:rFonts w:ascii="Courier New" w:cs="Courier New" w:eastAsia="Courier New" w:hAnsi="Courier New"/>
          <w:sz w:val="15"/>
          <w:szCs w:val="15"/>
          <w:color w:val="auto"/>
        </w:rPr>
        <w:t>agreed would not continue following their acquisition by Comfort Systems.</w:t>
      </w:r>
    </w:p>
    <w:p>
      <w:pPr>
        <w:spacing w:after="0" w:line="173"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OPERATING INCOME - Operating income increased $8.5 million, or 120.7% to $15.5 million for the first quarter of 1999 compared to 1998 primarily due to the addition of Purchased Companies. As a percentage of revenues, operating income remained at 5.3% for the first quarter of 1998 and 1999.</w:t>
      </w:r>
    </w:p>
    <w:p>
      <w:pPr>
        <w:spacing w:after="0" w:line="175"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OTHER INCOME (EXPENSE) - Other expense, net, increased to $4.0 million for the first quarter of 1999 primarily due to the increase in interest expense related to the acquisition of Purchased Companies subsequent to the first quarter of 1998.</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4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LIQUIDITY AND CAPITAL RESOURCES - HISTORICAL</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For the three months ended March 31, 1999, net cash provided by operating activities was $1.5 million primarily due to a decrease in prepaid expenses and other current assets of $0.9 million and an increase in accounts payable and accrued liabilities of $0.5 million. Cash used in operating activities for the three months ended March 31, 1998 was $6.1 million, primarily as a result of a decrease in accounts payable.</w:t>
      </w:r>
    </w:p>
    <w:p>
      <w:pPr>
        <w:spacing w:after="0" w:line="17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Cash used in investing activities was $13.3 million for the three months ended March 31, 1999, primarily in connection with the acquisition of Purchased Companies for $9.8 million, net of cash acquired. Cash used in investing activities for the three months ended March 31, 1998 was $17.1 million, primarily for the acquisition of Purchased Companies.</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Cash provided by financing activities for the three months ended March 31, 1999 was $8.7 million and was primarily attributable to net borrowings of long-term debt of $7.8 million, which were primarily used to fund acquisitions. Net cash provided by financing activities for the three months ended March 31, 1998 was $12.4 million and was primarily attributable to net borrowings of long-term debt related to the acquisition of Purchased Companies.</w:t>
      </w:r>
    </w:p>
    <w:p>
      <w:pPr>
        <w:spacing w:after="0" w:line="166"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In July 1997, the Company entered into a credit agreement with Bank One, Texas, N.A. (the "Credit Facility"). The Credit Facility was amended and restated in September 1997 primarily to provide for additional banks to lend to the Company under the Credit Facility. At that time, the Credit Facility provided the Company with an unsecured revolving line of credit of $75 million. The Credit Facility was further amended in April 1998 and again in December 1998 in order to increase borrowing capacity and to provide for additional banks to lend to the Company under the Credit Facility. The Credit Facility currently provides the Company with a revolving line of credit up to $300 million secured by accounts receivable, inventory and the shares of capital stock of the Company's subsidiaries. The Company currently has a choice of two interest rate options when borrowing under the Credit Facility. Under one option, the interest rate is determined based on the higher of the Federal Funds Rate plus 0.5% or the bank's prime rate. An additional margin of zero to 1.25% is then added to the higher of these two rates. Under the other interest rate option, borrowings bear interest based on designated short-term Eurodollar rates (which generally approximate LIBOR) plus 1.0% to 2.5%. The additional margin for both options depends on the ratio of the Company's debt to EBITDA. Commitment fees of 0.25% to 0.5% per annum, also depending on the ratio of debt to EBITDA, are payable on the unused portion of the facility. The Credit Facility prohibits the payment of dividends by the Company without the lenders' approval and requires the Company to comply with certain financial covenants. The amended Credit Facility expires on November 1, 2001, at which time all amounts outstanding under the Credit Facility are due.</w:t>
      </w:r>
    </w:p>
    <w:p>
      <w:pPr>
        <w:spacing w:after="0" w:line="344"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As of March 31, 1999, the Company had borrowed $182.8 million under the Credit Facility at an average interest rate of approximately 6.8% per annum for the first quarter of 1999. As of May 11, 1999, $194.7 million was outstanding under this facility.</w:t>
      </w:r>
    </w:p>
    <w:p>
      <w:pPr>
        <w:spacing w:after="0" w:line="175" w:lineRule="exact"/>
        <w:rPr>
          <w:sz w:val="20"/>
          <w:szCs w:val="20"/>
          <w:color w:val="auto"/>
        </w:rPr>
      </w:pPr>
    </w:p>
    <w:p>
      <w:pPr>
        <w:ind w:right="3579" w:firstLine="525"/>
        <w:spacing w:after="0" w:line="255" w:lineRule="auto"/>
        <w:rPr>
          <w:sz w:val="20"/>
          <w:szCs w:val="20"/>
          <w:color w:val="auto"/>
        </w:rPr>
      </w:pPr>
      <w:r>
        <w:rPr>
          <w:rFonts w:ascii="Courier New" w:cs="Courier New" w:eastAsia="Courier New" w:hAnsi="Courier New"/>
          <w:sz w:val="14"/>
          <w:szCs w:val="14"/>
          <w:color w:val="auto"/>
        </w:rPr>
        <w:t>The Company anticipates that available borrowings under its Credit Facility and cash flow from operations will provide cash in excess of the Company's normal working capital and capital expenditure needs, debt service requirements and additional acquisition opportunities. Should the Company accelerate or revise its acquisition program, the Company may need to seek additional financing through the public or private sale of equity or debt securities or increase its Credit Facility. There can be no</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49" w:right="1440" w:bottom="1440" w:gutter="0" w:footer="0" w:header="0"/>
        </w:sectPr>
      </w:pPr>
    </w:p>
    <w:bookmarkStart w:id="14" w:name="page15"/>
    <w:bookmarkEnd w:id="14"/>
    <w:p>
      <w:pPr>
        <w:ind w:right="3319"/>
        <w:spacing w:after="0" w:line="235" w:lineRule="auto"/>
        <w:rPr>
          <w:sz w:val="20"/>
          <w:szCs w:val="20"/>
          <w:color w:val="auto"/>
        </w:rPr>
      </w:pPr>
      <w:r>
        <w:rPr>
          <w:rFonts w:ascii="Courier New" w:cs="Courier New" w:eastAsia="Courier New" w:hAnsi="Courier New"/>
          <w:sz w:val="15"/>
          <w:szCs w:val="15"/>
          <w:color w:val="auto"/>
        </w:rPr>
        <w:t>assurance that the Company will secure such financing if and when it is needed, or that such financing will be available on terms that the Company deems acceptable.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Computers, software, and other equipment utilizing embedded technology that use only two digits to identify a year in a date field may be unable to process accurately certain date-based information at or after the year 2000. This is commonly referred to as the "Year 2000 issue." The Company has implemented a Year 2000 program and is using both internal and external resources to assess and replace or reprogram computers, software and other equipment as needed. Key areas of the Company's operations that are being addressed include external customers, external suppliers and internal computers, software and potential back-up and contingency plans.</w:t>
      </w:r>
    </w:p>
    <w:p>
      <w:pPr>
        <w:spacing w:after="0" w:line="178"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Year 2000 considerations may have an effect on some of the Company's customers and suppliers, and thus indirectly on the Company. If the Company's vendors or suppliers of the Company's necessary dispatching, power, telecommunications, transportation and financial services fail to provide the Company with equipment and service, the Company will be unable to provide services to its customers. If any of these uncertainties were to occur, the Company's business, financial condition and results of operations could be materially adversely affected. The Company is studying the potential effect on the Company with respect to customers and suppliers with Year 2000 issues and does not currently expect a material effect on the Company's financial condition or results of operations at this time. The Company has initiated communications with its significant customers and suppliers to assess the extent to which the Company is vulnerable to those third parties with which the Company transacts business.</w:t>
      </w:r>
    </w:p>
    <w:p>
      <w:pPr>
        <w:spacing w:after="0" w:line="174"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The Company's initial assessment identified Year 2000 issues within the Company's operating systems. The total cost of anticipated Year 2000 enhancements is approximately $500,000 and is being funded from operating cash flows. The majority of such costs is for the acquisition of hardware and software and will be capitalized. The remaining costs will be expensed as incurred and are not expected to have a material effect on the results of operations. The Company expects, but cannot be certain, that it will be substantially complete with Year 2000 enhancements for internal operating systems by September 1999.</w:t>
      </w:r>
    </w:p>
    <w:p>
      <w:pPr>
        <w:spacing w:after="0" w:line="178"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The ability of third parties with which the Company transacts business to adequately address Year 2000 issues is outside of the Company's control. There can be no assurance that the failure of the Company, or such third parties, to adequately address their respective Year 2000 issues will not have a material adverse effect on the Company's financial condition or results of operations. Accordingly, as part of the Year 2000 program, contingency plans are being assessed and developed to respond to any failures as they may occur. Such contingency plans are scheduled to be completed during 1999. At this time, the Company does not expect that any failure of the Company or third parties to achieve Year 2000 compliance will adversely affect the Company.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CYCLICALITY</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HVAC industry is subject to seasonal variations. Specifically, the demand for new installation and replacement is generally lower during the winter months due to reduced construction activity during inclement weather and less use of air conditioning during the colder months. Demands for HVAC services is generally higher in the second and third calendar quarters due to increased construction activity and increased use of air conditioning during the warmer months. Accordingly, the Company expects its revenues and operating results generally will be lower in the first and fourth calendar quarters.</w:t>
      </w:r>
    </w:p>
    <w:p>
      <w:pPr>
        <w:spacing w:after="0" w:line="166"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4"/>
          <w:szCs w:val="14"/>
          <w:color w:val="auto"/>
        </w:rPr>
        <w:t>Historically, the construction industry has been highly cyclical. As a result, the Company's volume of business may be adversely affected by declines in new installation projects in various geographic regions of the United States.</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55" w:right="1440" w:bottom="1440" w:gutter="0" w:footer="0" w:header="0"/>
        </w:sectPr>
      </w:pPr>
    </w:p>
    <w:bookmarkStart w:id="15" w:name="page16"/>
    <w:bookmarkEnd w:id="15"/>
    <w:p>
      <w:pPr>
        <w:jc w:val="center"/>
        <w:ind w:right="3139"/>
        <w:spacing w:after="0"/>
        <w:rPr>
          <w:sz w:val="20"/>
          <w:szCs w:val="20"/>
          <w:color w:val="auto"/>
        </w:rPr>
      </w:pPr>
      <w:r>
        <w:rPr>
          <w:rFonts w:ascii="Courier New" w:cs="Courier New" w:eastAsia="Courier New" w:hAnsi="Courier New"/>
          <w:sz w:val="15"/>
          <w:szCs w:val="15"/>
          <w:color w:val="auto"/>
        </w:rPr>
        <w:t>COMFORT SYSTEMS USA,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PART II - OTHER INFORMATION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LEGAL PROCEEDINGS</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The Company is involved in various legal proceedings that have arisen in the ordinary course of business. The Company does not believe that any of these proceedings will have a material adverse effect on the financial position or results of operations of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RECENT SALES OF UNREGISTERED SECURITIES</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During the three month period ended March 31, 1999, the Company issued 133,824 unregistered shares of its Common Stock in connection with the acquisition of two Purchased Companies. These shares were issued under the Securities Act in reliance on the exemption provided by Section 4(2), no public offering being involved.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 Exhibits</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27.1 - Financial Data Schedule. (Filed herewith)</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 Reports on Form 8-K</w:t>
      </w:r>
    </w:p>
    <w:p>
      <w:pPr>
        <w:spacing w:after="0" w:line="173" w:lineRule="exact"/>
        <w:rPr>
          <w:sz w:val="20"/>
          <w:szCs w:val="20"/>
          <w:color w:val="auto"/>
        </w:rPr>
      </w:pPr>
    </w:p>
    <w:p>
      <w:pPr>
        <w:ind w:right="3399" w:firstLine="525"/>
        <w:spacing w:after="0" w:line="254" w:lineRule="auto"/>
        <w:rPr>
          <w:sz w:val="20"/>
          <w:szCs w:val="20"/>
          <w:color w:val="auto"/>
        </w:rPr>
      </w:pPr>
      <w:r>
        <w:rPr>
          <w:rFonts w:ascii="Courier New" w:cs="Courier New" w:eastAsia="Courier New" w:hAnsi="Courier New"/>
          <w:sz w:val="14"/>
          <w:szCs w:val="14"/>
          <w:color w:val="auto"/>
        </w:rPr>
        <w:t>The Company filed a report on Form 8-K with the Securities and Exchange Commission on November 25, 1998. Under Item 2 of that report, the Company described its acquisition of Shambaugh and Son, Inc., a mechanical contractor engaged primarily in HVAC, electrical, plumbing and fire suppression services. On January 29, 1999, the Company filed an amendment to that report on Form</w:t>
      </w:r>
    </w:p>
    <w:p>
      <w:pPr>
        <w:spacing w:after="0" w:line="2"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8-K/A, which supplemented the previous filing with the financial statements of the above-referenced acquired company and certain pro forma financial information.</w:t>
      </w:r>
    </w:p>
    <w:p>
      <w:pPr>
        <w:spacing w:after="0" w:line="174" w:lineRule="exact"/>
        <w:rPr>
          <w:sz w:val="20"/>
          <w:szCs w:val="20"/>
          <w:color w:val="auto"/>
        </w:rPr>
      </w:pPr>
    </w:p>
    <w:p>
      <w:pPr>
        <w:ind w:left="700" w:right="3399" w:hanging="699"/>
        <w:spacing w:after="0" w:line="234" w:lineRule="auto"/>
        <w:rPr>
          <w:sz w:val="20"/>
          <w:szCs w:val="20"/>
          <w:color w:val="auto"/>
        </w:rPr>
      </w:pPr>
      <w:r>
        <w:rPr>
          <w:rFonts w:ascii="Courier New" w:cs="Courier New" w:eastAsia="Courier New" w:hAnsi="Courier New"/>
          <w:sz w:val="15"/>
          <w:szCs w:val="15"/>
          <w:color w:val="auto"/>
        </w:rPr>
        <w:t>ITEM 9. CHANGES AND DISAGREEMENTS WITH ACCOUNTANTS ON ACCOUNTING AND FINANCIAL DISCLOSURE</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49" w:right="1440" w:bottom="1440" w:gutter="0" w:footer="0" w:header="0"/>
        </w:sectPr>
      </w:pPr>
    </w:p>
    <w:bookmarkStart w:id="16" w:name="page17"/>
    <w:bookmarkEnd w:id="16"/>
    <w:p>
      <w:pPr>
        <w:jc w:val="center"/>
        <w:ind w:right="3499"/>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679" w:firstLine="262"/>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COMFORT SYSTEMS USA, INC.</w:t>
      </w:r>
    </w:p>
    <w:p>
      <w:pPr>
        <w:spacing w:after="0" w:line="200" w:lineRule="exact"/>
        <w:rPr>
          <w:sz w:val="20"/>
          <w:szCs w:val="20"/>
          <w:color w:val="auto"/>
        </w:rPr>
      </w:pPr>
    </w:p>
    <w:p>
      <w:pPr>
        <w:spacing w:after="0" w:line="30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J. GORDON BEITTENMILLER</w:t>
      </w:r>
    </w:p>
    <w:p>
      <w:pPr>
        <w:ind w:left="4380"/>
        <w:spacing w:after="0" w:line="237" w:lineRule="auto"/>
        <w:rPr>
          <w:sz w:val="20"/>
          <w:szCs w:val="20"/>
          <w:color w:val="auto"/>
        </w:rPr>
      </w:pPr>
      <w:r>
        <w:rPr>
          <w:rFonts w:ascii="Courier New" w:cs="Courier New" w:eastAsia="Courier New" w:hAnsi="Courier New"/>
          <w:sz w:val="15"/>
          <w:szCs w:val="15"/>
          <w:color w:val="auto"/>
        </w:rPr>
        <w:t>J. Gordon Beittenmiller</w:t>
      </w:r>
    </w:p>
    <w:p>
      <w:pPr>
        <w:ind w:left="4380"/>
        <w:spacing w:after="0" w:line="238" w:lineRule="auto"/>
        <w:rPr>
          <w:sz w:val="20"/>
          <w:szCs w:val="20"/>
          <w:color w:val="auto"/>
        </w:rPr>
      </w:pPr>
      <w:r>
        <w:rPr>
          <w:rFonts w:ascii="Courier New" w:cs="Courier New" w:eastAsia="Courier New" w:hAnsi="Courier New"/>
          <w:sz w:val="15"/>
          <w:szCs w:val="15"/>
          <w:color w:val="auto"/>
        </w:rPr>
        <w:t>Executive Vice President,</w:t>
      </w:r>
    </w:p>
    <w:p>
      <w:pPr>
        <w:jc w:val="right"/>
        <w:ind w:right="3499"/>
        <w:spacing w:after="0" w:line="237" w:lineRule="auto"/>
        <w:rPr>
          <w:sz w:val="20"/>
          <w:szCs w:val="20"/>
          <w:color w:val="auto"/>
        </w:rPr>
      </w:pPr>
      <w:r>
        <w:rPr>
          <w:rFonts w:ascii="Courier New" w:cs="Courier New" w:eastAsia="Courier New" w:hAnsi="Courier New"/>
          <w:sz w:val="15"/>
          <w:szCs w:val="15"/>
          <w:color w:val="auto"/>
        </w:rPr>
        <w:t>Chief Financial Officer and</w:t>
      </w:r>
    </w:p>
    <w:p>
      <w:pPr>
        <w:ind w:left="4380"/>
        <w:spacing w:after="0" w:line="238" w:lineRule="auto"/>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0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May __, 1999</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49" w:right="1440" w:bottom="1440" w:gutter="0" w:footer="0" w:header="0"/>
        </w:sectPr>
      </w:pPr>
    </w:p>
    <w:bookmarkStart w:id="17" w:name="page18"/>
    <w:bookmarkEnd w:id="17"/>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559"/>
        <w:spacing w:after="0" w:line="235" w:lineRule="auto"/>
        <w:rPr>
          <w:sz w:val="20"/>
          <w:szCs w:val="20"/>
          <w:color w:val="auto"/>
        </w:rPr>
      </w:pPr>
      <w:r>
        <w:rPr>
          <w:rFonts w:ascii="Courier New" w:cs="Courier New" w:eastAsia="Courier New" w:hAnsi="Courier New"/>
          <w:sz w:val="15"/>
          <w:szCs w:val="15"/>
          <w:color w:val="auto"/>
        </w:rPr>
        <w:t>THE FINANCIAL DATA SCHEDULE CONTAINS SUMMARY FINANCIAL INFORMATION EXTRACTED FROM FORM 10-Q THREE MONTHS ENDED MARCH 31, 1999 AND IS QUALIFIED IN ITS ENTIRETY BY REFERENCE TO SUCH FINANCIAL STATEMENTS.</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3-MOS</w:t>
      </w:r>
    </w:p>
    <w:p>
      <w:pPr>
        <w:ind w:left="2680"/>
        <w:spacing w:after="0" w:line="237" w:lineRule="auto"/>
        <w:rPr>
          <w:sz w:val="20"/>
          <w:szCs w:val="20"/>
          <w:color w:val="auto"/>
        </w:rPr>
      </w:pPr>
      <w:r>
        <w:rPr>
          <w:rFonts w:ascii="Courier New" w:cs="Courier New" w:eastAsia="Courier New" w:hAnsi="Courier New"/>
          <w:sz w:val="15"/>
          <w:szCs w:val="15"/>
          <w:color w:val="auto"/>
        </w:rPr>
        <w:t>DEC-31-1999</w:t>
      </w:r>
    </w:p>
    <w:p>
      <w:pPr>
        <w:ind w:left="3120"/>
        <w:spacing w:after="0" w:line="238" w:lineRule="auto"/>
        <w:rPr>
          <w:sz w:val="20"/>
          <w:szCs w:val="20"/>
          <w:color w:val="auto"/>
        </w:rPr>
      </w:pPr>
      <w:r>
        <w:rPr>
          <w:rFonts w:ascii="Courier New" w:cs="Courier New" w:eastAsia="Courier New" w:hAnsi="Courier New"/>
          <w:sz w:val="15"/>
          <w:szCs w:val="15"/>
          <w:color w:val="auto"/>
        </w:rPr>
        <w:t>MAR-31-1999</w:t>
      </w:r>
    </w:p>
    <w:p>
      <w:pPr>
        <w:ind w:left="4160"/>
        <w:spacing w:after="0" w:line="237" w:lineRule="auto"/>
        <w:rPr>
          <w:sz w:val="20"/>
          <w:szCs w:val="20"/>
          <w:color w:val="auto"/>
        </w:rPr>
      </w:pPr>
      <w:r>
        <w:rPr>
          <w:rFonts w:ascii="Courier New" w:cs="Courier New" w:eastAsia="Courier New" w:hAnsi="Courier New"/>
          <w:sz w:val="15"/>
          <w:szCs w:val="15"/>
          <w:color w:val="auto"/>
        </w:rPr>
        <w:t>3,773</w:t>
      </w:r>
    </w:p>
    <w:p>
      <w:pPr>
        <w:ind w:left="4000"/>
        <w:spacing w:after="0" w:line="238" w:lineRule="auto"/>
        <w:rPr>
          <w:sz w:val="20"/>
          <w:szCs w:val="20"/>
          <w:color w:val="auto"/>
        </w:rPr>
      </w:pPr>
      <w:r>
        <w:rPr>
          <w:rFonts w:ascii="Courier New" w:cs="Courier New" w:eastAsia="Courier New" w:hAnsi="Courier New"/>
          <w:sz w:val="15"/>
          <w:szCs w:val="15"/>
          <w:color w:val="auto"/>
        </w:rPr>
        <w:t>0</w:t>
      </w:r>
    </w:p>
    <w:p>
      <w:pPr>
        <w:ind w:left="3380"/>
        <w:spacing w:after="0" w:line="237" w:lineRule="auto"/>
        <w:rPr>
          <w:sz w:val="20"/>
          <w:szCs w:val="20"/>
          <w:color w:val="auto"/>
        </w:rPr>
      </w:pPr>
      <w:r>
        <w:rPr>
          <w:rFonts w:ascii="Courier New" w:cs="Courier New" w:eastAsia="Courier New" w:hAnsi="Courier New"/>
          <w:sz w:val="15"/>
          <w:szCs w:val="15"/>
          <w:color w:val="auto"/>
        </w:rPr>
        <w:t>243,353</w:t>
      </w:r>
    </w:p>
    <w:p>
      <w:pPr>
        <w:ind w:left="3640"/>
        <w:spacing w:after="0" w:line="238" w:lineRule="auto"/>
        <w:rPr>
          <w:sz w:val="20"/>
          <w:szCs w:val="20"/>
          <w:color w:val="auto"/>
        </w:rPr>
      </w:pPr>
      <w:r>
        <w:rPr>
          <w:rFonts w:ascii="Courier New" w:cs="Courier New" w:eastAsia="Courier New" w:hAnsi="Courier New"/>
          <w:sz w:val="15"/>
          <w:szCs w:val="15"/>
          <w:color w:val="auto"/>
        </w:rPr>
        <w:t>4,973</w:t>
      </w:r>
    </w:p>
    <w:p>
      <w:pPr>
        <w:ind w:left="3640"/>
        <w:spacing w:after="0" w:line="237" w:lineRule="auto"/>
        <w:rPr>
          <w:sz w:val="20"/>
          <w:szCs w:val="20"/>
          <w:color w:val="auto"/>
        </w:rPr>
      </w:pPr>
      <w:r>
        <w:rPr>
          <w:rFonts w:ascii="Courier New" w:cs="Courier New" w:eastAsia="Courier New" w:hAnsi="Courier New"/>
          <w:sz w:val="15"/>
          <w:szCs w:val="15"/>
          <w:color w:val="auto"/>
        </w:rPr>
        <w:t>16,408</w:t>
      </w:r>
    </w:p>
    <w:p>
      <w:pPr>
        <w:ind w:left="3120"/>
        <w:spacing w:after="0" w:line="238" w:lineRule="auto"/>
        <w:rPr>
          <w:sz w:val="20"/>
          <w:szCs w:val="20"/>
          <w:color w:val="auto"/>
        </w:rPr>
      </w:pPr>
      <w:r>
        <w:rPr>
          <w:rFonts w:ascii="Courier New" w:cs="Courier New" w:eastAsia="Courier New" w:hAnsi="Courier New"/>
          <w:sz w:val="15"/>
          <w:szCs w:val="15"/>
          <w:color w:val="auto"/>
        </w:rPr>
        <w:t>318,496</w:t>
      </w:r>
    </w:p>
    <w:p>
      <w:pPr>
        <w:ind w:left="4080"/>
        <w:spacing w:after="0" w:line="238" w:lineRule="auto"/>
        <w:rPr>
          <w:sz w:val="20"/>
          <w:szCs w:val="20"/>
          <w:color w:val="auto"/>
        </w:rPr>
      </w:pPr>
      <w:r>
        <w:rPr>
          <w:rFonts w:ascii="Courier New" w:cs="Courier New" w:eastAsia="Courier New" w:hAnsi="Courier New"/>
          <w:sz w:val="15"/>
          <w:szCs w:val="15"/>
          <w:color w:val="auto"/>
        </w:rPr>
        <w:t>84,675</w:t>
      </w:r>
    </w:p>
    <w:p>
      <w:pPr>
        <w:jc w:val="right"/>
        <w:ind w:right="6299"/>
        <w:spacing w:after="0" w:line="237" w:lineRule="auto"/>
        <w:rPr>
          <w:sz w:val="20"/>
          <w:szCs w:val="20"/>
          <w:color w:val="auto"/>
        </w:rPr>
      </w:pPr>
      <w:r>
        <w:rPr>
          <w:rFonts w:ascii="Courier New" w:cs="Courier New" w:eastAsia="Courier New" w:hAnsi="Courier New"/>
          <w:sz w:val="15"/>
          <w:szCs w:val="15"/>
          <w:color w:val="auto"/>
        </w:rPr>
        <w:t>(48,873)</w:t>
      </w:r>
    </w:p>
    <w:p>
      <w:pPr>
        <w:jc w:val="right"/>
        <w:ind w:right="6299"/>
        <w:spacing w:after="0" w:line="238" w:lineRule="auto"/>
        <w:rPr>
          <w:sz w:val="20"/>
          <w:szCs w:val="20"/>
          <w:color w:val="auto"/>
        </w:rPr>
      </w:pPr>
      <w:r>
        <w:rPr>
          <w:rFonts w:ascii="Courier New" w:cs="Courier New" w:eastAsia="Courier New" w:hAnsi="Courier New"/>
          <w:sz w:val="15"/>
          <w:szCs w:val="15"/>
          <w:color w:val="auto"/>
        </w:rPr>
        <w:t>812,466</w:t>
      </w:r>
    </w:p>
    <w:p>
      <w:pPr>
        <w:ind w:left="2680"/>
        <w:spacing w:after="0" w:line="237" w:lineRule="auto"/>
        <w:rPr>
          <w:sz w:val="20"/>
          <w:szCs w:val="20"/>
          <w:color w:val="auto"/>
        </w:rPr>
      </w:pPr>
      <w:r>
        <w:rPr>
          <w:rFonts w:ascii="Courier New" w:cs="Courier New" w:eastAsia="Courier New" w:hAnsi="Courier New"/>
          <w:sz w:val="15"/>
          <w:szCs w:val="15"/>
          <w:color w:val="auto"/>
        </w:rPr>
        <w:t>174,390</w:t>
      </w:r>
    </w:p>
    <w:p>
      <w:pPr>
        <w:ind w:left="3900"/>
        <w:spacing w:after="0" w:line="238" w:lineRule="auto"/>
        <w:rPr>
          <w:sz w:val="20"/>
          <w:szCs w:val="20"/>
          <w:color w:val="auto"/>
        </w:rPr>
      </w:pPr>
      <w:r>
        <w:rPr>
          <w:rFonts w:ascii="Courier New" w:cs="Courier New" w:eastAsia="Courier New" w:hAnsi="Courier New"/>
          <w:sz w:val="15"/>
          <w:szCs w:val="15"/>
          <w:color w:val="auto"/>
        </w:rPr>
        <w:t>244,778</w:t>
      </w:r>
    </w:p>
    <w:p>
      <w:pPr>
        <w:ind w:left="3200"/>
        <w:spacing w:after="0" w:line="237" w:lineRule="auto"/>
        <w:rPr>
          <w:sz w:val="20"/>
          <w:szCs w:val="20"/>
          <w:color w:val="auto"/>
        </w:rPr>
      </w:pPr>
      <w:r>
        <w:rPr>
          <w:rFonts w:ascii="Courier New" w:cs="Courier New" w:eastAsia="Courier New" w:hAnsi="Courier New"/>
          <w:sz w:val="15"/>
          <w:szCs w:val="15"/>
          <w:color w:val="auto"/>
        </w:rPr>
        <w:t>0</w:t>
      </w:r>
    </w:p>
    <w:p>
      <w:pPr>
        <w:ind w:left="4080"/>
        <w:spacing w:after="0" w:line="238" w:lineRule="auto"/>
        <w:rPr>
          <w:sz w:val="20"/>
          <w:szCs w:val="20"/>
          <w:color w:val="auto"/>
        </w:rPr>
      </w:pPr>
      <w:r>
        <w:rPr>
          <w:rFonts w:ascii="Courier New" w:cs="Courier New" w:eastAsia="Courier New" w:hAnsi="Courier New"/>
          <w:sz w:val="15"/>
          <w:szCs w:val="15"/>
          <w:color w:val="auto"/>
        </w:rPr>
        <w:t>0</w:t>
      </w:r>
    </w:p>
    <w:p>
      <w:pPr>
        <w:ind w:left="4160"/>
        <w:spacing w:after="0" w:line="238" w:lineRule="auto"/>
        <w:rPr>
          <w:sz w:val="20"/>
          <w:szCs w:val="20"/>
          <w:color w:val="auto"/>
        </w:rPr>
      </w:pPr>
      <w:r>
        <w:rPr>
          <w:rFonts w:ascii="Courier New" w:cs="Courier New" w:eastAsia="Courier New" w:hAnsi="Courier New"/>
          <w:sz w:val="15"/>
          <w:szCs w:val="15"/>
          <w:color w:val="auto"/>
        </w:rPr>
        <w:t>386</w:t>
      </w:r>
    </w:p>
    <w:p>
      <w:pPr>
        <w:ind w:left="3640"/>
        <w:spacing w:after="0" w:line="237" w:lineRule="auto"/>
        <w:rPr>
          <w:sz w:val="20"/>
          <w:szCs w:val="20"/>
          <w:color w:val="auto"/>
        </w:rPr>
      </w:pPr>
      <w:r>
        <w:rPr>
          <w:rFonts w:ascii="Courier New" w:cs="Courier New" w:eastAsia="Courier New" w:hAnsi="Courier New"/>
          <w:sz w:val="15"/>
          <w:szCs w:val="15"/>
          <w:color w:val="auto"/>
        </w:rPr>
        <w:t>390,060</w:t>
      </w:r>
    </w:p>
    <w:p>
      <w:pPr>
        <w:ind w:left="2060"/>
        <w:spacing w:after="0" w:line="238" w:lineRule="auto"/>
        <w:rPr>
          <w:sz w:val="20"/>
          <w:szCs w:val="20"/>
          <w:color w:val="auto"/>
        </w:rPr>
      </w:pPr>
      <w:r>
        <w:rPr>
          <w:rFonts w:ascii="Courier New" w:cs="Courier New" w:eastAsia="Courier New" w:hAnsi="Courier New"/>
          <w:sz w:val="15"/>
          <w:szCs w:val="15"/>
          <w:color w:val="auto"/>
        </w:rPr>
        <w:t>812,466</w:t>
      </w:r>
    </w:p>
    <w:p>
      <w:pPr>
        <w:ind w:left="3900"/>
        <w:spacing w:after="0" w:line="237" w:lineRule="auto"/>
        <w:rPr>
          <w:sz w:val="20"/>
          <w:szCs w:val="20"/>
          <w:color w:val="auto"/>
        </w:rPr>
      </w:pPr>
      <w:r>
        <w:rPr>
          <w:rFonts w:ascii="Courier New" w:cs="Courier New" w:eastAsia="Courier New" w:hAnsi="Courier New"/>
          <w:sz w:val="15"/>
          <w:szCs w:val="15"/>
          <w:color w:val="auto"/>
        </w:rPr>
        <w:t>291,926</w:t>
      </w:r>
    </w:p>
    <w:p>
      <w:pPr>
        <w:ind w:left="3120"/>
        <w:spacing w:after="0" w:line="238" w:lineRule="auto"/>
        <w:rPr>
          <w:sz w:val="20"/>
          <w:szCs w:val="20"/>
          <w:color w:val="auto"/>
        </w:rPr>
      </w:pPr>
      <w:r>
        <w:rPr>
          <w:rFonts w:ascii="Courier New" w:cs="Courier New" w:eastAsia="Courier New" w:hAnsi="Courier New"/>
          <w:sz w:val="15"/>
          <w:szCs w:val="15"/>
          <w:color w:val="auto"/>
        </w:rPr>
        <w:t>291,926</w:t>
      </w:r>
    </w:p>
    <w:p>
      <w:pPr>
        <w:ind w:left="4080"/>
        <w:spacing w:after="0" w:line="237" w:lineRule="auto"/>
        <w:rPr>
          <w:sz w:val="20"/>
          <w:szCs w:val="20"/>
          <w:color w:val="auto"/>
        </w:rPr>
      </w:pPr>
      <w:r>
        <w:rPr>
          <w:rFonts w:ascii="Courier New" w:cs="Courier New" w:eastAsia="Courier New" w:hAnsi="Courier New"/>
          <w:sz w:val="15"/>
          <w:szCs w:val="15"/>
          <w:color w:val="auto"/>
        </w:rPr>
        <w:t>228,748</w:t>
      </w:r>
    </w:p>
    <w:p>
      <w:pPr>
        <w:ind w:left="3380"/>
        <w:spacing w:after="0" w:line="238" w:lineRule="auto"/>
        <w:rPr>
          <w:sz w:val="20"/>
          <w:szCs w:val="20"/>
          <w:color w:val="auto"/>
        </w:rPr>
      </w:pPr>
      <w:r>
        <w:rPr>
          <w:rFonts w:ascii="Courier New" w:cs="Courier New" w:eastAsia="Courier New" w:hAnsi="Courier New"/>
          <w:sz w:val="15"/>
          <w:szCs w:val="15"/>
          <w:color w:val="auto"/>
        </w:rPr>
        <w:t>228,748</w:t>
      </w:r>
    </w:p>
    <w:p>
      <w:pPr>
        <w:ind w:left="3200"/>
        <w:spacing w:after="0" w:line="238" w:lineRule="auto"/>
        <w:rPr>
          <w:sz w:val="20"/>
          <w:szCs w:val="20"/>
          <w:color w:val="auto"/>
        </w:rPr>
      </w:pPr>
      <w:r>
        <w:rPr>
          <w:rFonts w:ascii="Courier New" w:cs="Courier New" w:eastAsia="Courier New" w:hAnsi="Courier New"/>
          <w:sz w:val="15"/>
          <w:szCs w:val="15"/>
          <w:color w:val="auto"/>
        </w:rPr>
        <w:t>47,484</w:t>
      </w:r>
    </w:p>
    <w:p>
      <w:pPr>
        <w:ind w:left="3460"/>
        <w:spacing w:after="0" w:line="237" w:lineRule="auto"/>
        <w:rPr>
          <w:sz w:val="20"/>
          <w:szCs w:val="20"/>
          <w:color w:val="auto"/>
        </w:rPr>
      </w:pPr>
      <w:r>
        <w:rPr>
          <w:rFonts w:ascii="Courier New" w:cs="Courier New" w:eastAsia="Courier New" w:hAnsi="Courier New"/>
          <w:sz w:val="15"/>
          <w:szCs w:val="15"/>
          <w:color w:val="auto"/>
        </w:rPr>
        <w:t>158</w:t>
      </w:r>
    </w:p>
    <w:p>
      <w:pPr>
        <w:ind w:left="3120"/>
        <w:spacing w:after="0" w:line="238" w:lineRule="auto"/>
        <w:rPr>
          <w:sz w:val="20"/>
          <w:szCs w:val="20"/>
          <w:color w:val="auto"/>
        </w:rPr>
      </w:pPr>
      <w:r>
        <w:rPr>
          <w:rFonts w:ascii="Courier New" w:cs="Courier New" w:eastAsia="Courier New" w:hAnsi="Courier New"/>
          <w:sz w:val="15"/>
          <w:szCs w:val="15"/>
          <w:color w:val="auto"/>
        </w:rPr>
        <w:t>4,187</w:t>
      </w:r>
    </w:p>
    <w:p>
      <w:pPr>
        <w:ind w:left="3300"/>
        <w:spacing w:after="0" w:line="237" w:lineRule="auto"/>
        <w:rPr>
          <w:sz w:val="20"/>
          <w:szCs w:val="20"/>
          <w:color w:val="auto"/>
        </w:rPr>
      </w:pPr>
      <w:r>
        <w:rPr>
          <w:rFonts w:ascii="Courier New" w:cs="Courier New" w:eastAsia="Courier New" w:hAnsi="Courier New"/>
          <w:sz w:val="15"/>
          <w:szCs w:val="15"/>
          <w:color w:val="auto"/>
        </w:rPr>
        <w:t>11,557</w:t>
      </w:r>
    </w:p>
    <w:p>
      <w:pPr>
        <w:ind w:left="3640"/>
        <w:spacing w:after="0" w:line="238" w:lineRule="auto"/>
        <w:rPr>
          <w:sz w:val="20"/>
          <w:szCs w:val="20"/>
          <w:color w:val="auto"/>
        </w:rPr>
      </w:pPr>
      <w:r>
        <w:rPr>
          <w:rFonts w:ascii="Courier New" w:cs="Courier New" w:eastAsia="Courier New" w:hAnsi="Courier New"/>
          <w:sz w:val="15"/>
          <w:szCs w:val="15"/>
          <w:color w:val="auto"/>
        </w:rPr>
        <w:t>4,993</w:t>
      </w:r>
    </w:p>
    <w:p>
      <w:pPr>
        <w:ind w:left="3040"/>
        <w:spacing w:after="0" w:line="237" w:lineRule="auto"/>
        <w:rPr>
          <w:sz w:val="20"/>
          <w:szCs w:val="20"/>
          <w:color w:val="auto"/>
        </w:rPr>
      </w:pPr>
      <w:r>
        <w:rPr>
          <w:rFonts w:ascii="Courier New" w:cs="Courier New" w:eastAsia="Courier New" w:hAnsi="Courier New"/>
          <w:sz w:val="15"/>
          <w:szCs w:val="15"/>
          <w:color w:val="auto"/>
        </w:rPr>
        <w:t>6,564</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ind w:left="3740"/>
        <w:spacing w:after="0" w:line="238" w:lineRule="auto"/>
        <w:rPr>
          <w:sz w:val="20"/>
          <w:szCs w:val="20"/>
          <w:color w:val="auto"/>
        </w:rPr>
      </w:pPr>
      <w:r>
        <w:rPr>
          <w:rFonts w:ascii="Courier New" w:cs="Courier New" w:eastAsia="Courier New" w:hAnsi="Courier New"/>
          <w:sz w:val="15"/>
          <w:szCs w:val="15"/>
          <w:color w:val="auto"/>
        </w:rPr>
        <w:t>0</w:t>
      </w:r>
    </w:p>
    <w:p>
      <w:pPr>
        <w:ind w:left="4260"/>
        <w:spacing w:after="0" w:line="237"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6,564</w:t>
      </w:r>
    </w:p>
    <w:p>
      <w:pPr>
        <w:ind w:left="3640"/>
        <w:spacing w:after="0" w:line="237" w:lineRule="auto"/>
        <w:rPr>
          <w:sz w:val="20"/>
          <w:szCs w:val="20"/>
          <w:color w:val="auto"/>
        </w:rPr>
      </w:pPr>
      <w:r>
        <w:rPr>
          <w:rFonts w:ascii="Courier New" w:cs="Courier New" w:eastAsia="Courier New" w:hAnsi="Courier New"/>
          <w:sz w:val="15"/>
          <w:szCs w:val="15"/>
          <w:color w:val="auto"/>
        </w:rPr>
        <w:t>0.17</w:t>
      </w:r>
    </w:p>
    <w:p>
      <w:pPr>
        <w:ind w:left="3640"/>
        <w:spacing w:after="0" w:line="238" w:lineRule="auto"/>
        <w:rPr>
          <w:sz w:val="20"/>
          <w:szCs w:val="20"/>
          <w:color w:val="auto"/>
        </w:rPr>
      </w:pPr>
      <w:r>
        <w:rPr>
          <w:rFonts w:ascii="Courier New" w:cs="Courier New" w:eastAsia="Courier New" w:hAnsi="Courier New"/>
          <w:sz w:val="15"/>
          <w:szCs w:val="15"/>
          <w:color w:val="auto"/>
        </w:rPr>
        <w:t>0.17</w:t>
      </w:r>
    </w:p>
    <w:sectPr>
      <w:pgSz w:w="11900" w:h="16838" w:orient="portrait"/>
      <w:cols w:equalWidth="0" w:num="1">
        <w:col w:w="10199"/>
      </w:cols>
      <w:pgMar w:left="26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2020-02-22T12:50:08Z</dcterms:created>
  <dcterms:modified xsi:type="dcterms:W3CDTF">2020-02-22T12:50:08Z</dcterms:modified>
</cp:coreProperties>
</file>