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259"/>
        <w:spacing w:after="0"/>
        <w:rPr>
          <w:sz w:val="20"/>
          <w:szCs w:val="20"/>
          <w:color w:val="auto"/>
        </w:rPr>
      </w:pPr>
      <w:r>
        <w:rPr>
          <w:rFonts w:ascii="Courier New" w:cs="Courier New" w:eastAsia="Courier New" w:hAnsi="Courier New"/>
          <w:sz w:val="17"/>
          <w:szCs w:val="17"/>
          <w:color w:val="auto"/>
        </w:rPr>
        <w:t>REGISTRATION NO. 333-32595</w:t>
      </w:r>
    </w:p>
    <w:p>
      <w:pPr>
        <w:jc w:val="right"/>
        <w:ind w:right="2259"/>
        <w:spacing w:after="0" w:line="238" w:lineRule="auto"/>
        <w:rPr>
          <w:sz w:val="20"/>
          <w:szCs w:val="20"/>
          <w:color w:val="auto"/>
        </w:rPr>
      </w:pPr>
      <w:r>
        <w:rPr>
          <w:rFonts w:ascii="Courier New" w:cs="Courier New" w:eastAsia="Courier New" w:hAnsi="Courier New"/>
          <w:sz w:val="17"/>
          <w:szCs w:val="17"/>
          <w:color w:val="auto"/>
        </w:rPr>
        <w:t>FILED PURSUANT TO RULE 424(b)(3)</w:t>
      </w:r>
    </w:p>
    <w:p>
      <w:pPr>
        <w:spacing w:after="0" w:line="190" w:lineRule="exact"/>
        <w:rPr>
          <w:sz w:val="24"/>
          <w:szCs w:val="24"/>
          <w:color w:val="auto"/>
        </w:rPr>
      </w:pPr>
    </w:p>
    <w:p>
      <w:pPr>
        <w:ind w:left="2780"/>
        <w:spacing w:after="0"/>
        <w:rPr>
          <w:sz w:val="20"/>
          <w:szCs w:val="20"/>
          <w:color w:val="auto"/>
        </w:rPr>
      </w:pPr>
      <w:r>
        <w:rPr>
          <w:rFonts w:ascii="Courier New" w:cs="Courier New" w:eastAsia="Courier New" w:hAnsi="Courier New"/>
          <w:sz w:val="17"/>
          <w:szCs w:val="17"/>
          <w:color w:val="auto"/>
        </w:rPr>
        <w:t>COMFORT SYSTEMS USA, INC.</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8,000,000 Shares of Common Stock</w:t>
      </w:r>
    </w:p>
    <w:p>
      <w:pPr>
        <w:spacing w:after="0" w:line="190" w:lineRule="exact"/>
        <w:rPr>
          <w:sz w:val="24"/>
          <w:szCs w:val="24"/>
          <w:color w:val="auto"/>
        </w:rPr>
      </w:pPr>
    </w:p>
    <w:p>
      <w:pPr>
        <w:jc w:val="center"/>
        <w:ind w:right="2259"/>
        <w:spacing w:after="0"/>
        <w:rPr>
          <w:sz w:val="20"/>
          <w:szCs w:val="20"/>
          <w:color w:val="auto"/>
        </w:rPr>
      </w:pPr>
      <w:r>
        <w:rPr>
          <w:rFonts w:ascii="Courier New" w:cs="Courier New" w:eastAsia="Courier New" w:hAnsi="Courier New"/>
          <w:sz w:val="17"/>
          <w:szCs w:val="17"/>
          <w:color w:val="auto"/>
        </w:rPr>
        <w:t>Supplement No. 1 dated August 17, 1998</w:t>
      </w:r>
    </w:p>
    <w:p>
      <w:pPr>
        <w:jc w:val="center"/>
        <w:ind w:right="2259"/>
        <w:spacing w:after="0" w:line="238" w:lineRule="auto"/>
        <w:rPr>
          <w:sz w:val="20"/>
          <w:szCs w:val="20"/>
          <w:color w:val="auto"/>
        </w:rPr>
      </w:pPr>
      <w:r>
        <w:rPr>
          <w:rFonts w:ascii="Courier New" w:cs="Courier New" w:eastAsia="Courier New" w:hAnsi="Courier New"/>
          <w:sz w:val="17"/>
          <w:szCs w:val="17"/>
          <w:color w:val="auto"/>
        </w:rPr>
        <w:t>Prospectus dated May 5, 1998</w:t>
      </w: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THIRD QUARTER RESULTS</w:t>
      </w:r>
    </w:p>
    <w:p>
      <w:pPr>
        <w:spacing w:after="0" w:line="196" w:lineRule="exact"/>
        <w:rPr>
          <w:sz w:val="24"/>
          <w:szCs w:val="24"/>
          <w:color w:val="auto"/>
        </w:rPr>
      </w:pPr>
    </w:p>
    <w:p>
      <w:pPr>
        <w:ind w:right="2859" w:firstLine="597"/>
        <w:spacing w:after="0" w:line="235" w:lineRule="auto"/>
        <w:rPr>
          <w:sz w:val="20"/>
          <w:szCs w:val="20"/>
          <w:color w:val="auto"/>
        </w:rPr>
      </w:pPr>
      <w:r>
        <w:rPr>
          <w:rFonts w:ascii="Courier New" w:cs="Courier New" w:eastAsia="Courier New" w:hAnsi="Courier New"/>
          <w:sz w:val="17"/>
          <w:szCs w:val="17"/>
          <w:color w:val="auto"/>
        </w:rPr>
        <w:t>A copy of the Company's Quarterly Report on Form 10-Q for the fiscal quarter ended June 30, 1998 is attached hereto.</w:t>
      </w:r>
    </w:p>
    <w:p>
      <w:pPr>
        <w:spacing w:after="0" w:line="200" w:lineRule="exact"/>
        <w:rPr>
          <w:sz w:val="24"/>
          <w:szCs w:val="24"/>
          <w:color w:val="auto"/>
        </w:rPr>
      </w:pPr>
    </w:p>
    <w:p>
      <w:pPr>
        <w:spacing w:after="0" w:line="347"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UNITED STATES</w:t>
      </w:r>
    </w:p>
    <w:p>
      <w:pPr>
        <w:jc w:val="center"/>
        <w:ind w:right="2459"/>
        <w:spacing w:after="0" w:line="238" w:lineRule="auto"/>
        <w:rPr>
          <w:sz w:val="20"/>
          <w:szCs w:val="20"/>
          <w:color w:val="auto"/>
        </w:rPr>
      </w:pPr>
      <w:r>
        <w:rPr>
          <w:rFonts w:ascii="Courier New" w:cs="Courier New" w:eastAsia="Courier New" w:hAnsi="Courier New"/>
          <w:sz w:val="17"/>
          <w:szCs w:val="17"/>
          <w:color w:val="auto"/>
        </w:rPr>
        <w:t>SECURITIES AND EXCHANGE COMMISSION</w:t>
      </w:r>
    </w:p>
    <w:p>
      <w:pPr>
        <w:jc w:val="center"/>
        <w:ind w:right="2459"/>
        <w:spacing w:after="0" w:line="238" w:lineRule="auto"/>
        <w:rPr>
          <w:sz w:val="20"/>
          <w:szCs w:val="20"/>
          <w:color w:val="auto"/>
        </w:rPr>
      </w:pPr>
      <w:r>
        <w:rPr>
          <w:rFonts w:ascii="Courier New" w:cs="Courier New" w:eastAsia="Courier New" w:hAnsi="Courier New"/>
          <w:sz w:val="17"/>
          <w:szCs w:val="17"/>
          <w:color w:val="auto"/>
        </w:rPr>
        <w:t>WASHINGTON, D.C. 20549</w:t>
      </w:r>
    </w:p>
    <w:p>
      <w:pPr>
        <w:spacing w:after="0" w:line="382"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FORM 10-Q</w:t>
      </w:r>
    </w:p>
    <w:p>
      <w:pPr>
        <w:spacing w:after="0" w:line="238" w:lineRule="auto"/>
        <w:rPr>
          <w:sz w:val="20"/>
          <w:szCs w:val="20"/>
          <w:color w:val="auto"/>
        </w:rPr>
      </w:pPr>
      <w:r>
        <w:rPr>
          <w:rFonts w:ascii="Courier New" w:cs="Courier New" w:eastAsia="Courier New" w:hAnsi="Courier New"/>
          <w:sz w:val="17"/>
          <w:szCs w:val="17"/>
          <w:color w:val="auto"/>
        </w:rPr>
        <w:t>(Mark One)</w:t>
      </w:r>
    </w:p>
    <w:p>
      <w:pPr>
        <w:spacing w:after="0" w:line="197" w:lineRule="exact"/>
        <w:rPr>
          <w:sz w:val="24"/>
          <w:szCs w:val="24"/>
          <w:color w:val="auto"/>
        </w:rPr>
      </w:pPr>
    </w:p>
    <w:p>
      <w:pPr>
        <w:ind w:left="600" w:right="2459" w:hanging="598"/>
        <w:spacing w:after="0" w:line="235" w:lineRule="auto"/>
        <w:tabs>
          <w:tab w:leader="none" w:pos="6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 (D) OF THE SECURITIES EXCHANGE ACT OF 1934</w:t>
      </w:r>
    </w:p>
    <w:p>
      <w:pPr>
        <w:spacing w:after="0" w:line="19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FOR THE QUARTERLY PERIOD ENDED JUNE 30, 1998</w:t>
      </w:r>
    </w:p>
    <w:p>
      <w:pPr>
        <w:spacing w:after="0" w:line="190" w:lineRule="exact"/>
        <w:rPr>
          <w:sz w:val="24"/>
          <w:szCs w:val="24"/>
          <w:color w:val="auto"/>
        </w:rPr>
      </w:pPr>
    </w:p>
    <w:p>
      <w:pPr>
        <w:ind w:left="3780"/>
        <w:spacing w:after="0"/>
        <w:rPr>
          <w:sz w:val="20"/>
          <w:szCs w:val="20"/>
          <w:color w:val="auto"/>
        </w:rPr>
      </w:pPr>
      <w:r>
        <w:rPr>
          <w:rFonts w:ascii="Courier New" w:cs="Courier New" w:eastAsia="Courier New" w:hAnsi="Courier New"/>
          <w:sz w:val="17"/>
          <w:szCs w:val="17"/>
          <w:color w:val="auto"/>
        </w:rPr>
        <w:t>OR</w:t>
      </w:r>
    </w:p>
    <w:p>
      <w:pPr>
        <w:spacing w:after="0" w:line="196" w:lineRule="exact"/>
        <w:rPr>
          <w:sz w:val="24"/>
          <w:szCs w:val="24"/>
          <w:color w:val="auto"/>
        </w:rPr>
      </w:pPr>
    </w:p>
    <w:p>
      <w:pPr>
        <w:ind w:left="600" w:right="2459" w:hanging="598"/>
        <w:spacing w:after="0" w:line="235" w:lineRule="auto"/>
        <w:tabs>
          <w:tab w:leader="none" w:pos="30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 (D) OF THE SECURITIES EXCHANGE ACT OF 1934</w:t>
      </w:r>
    </w:p>
    <w:p>
      <w:pPr>
        <w:spacing w:after="0" w:line="190"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FOR THE TRANSITION PERIOD FROM __________ TO __________</w:t>
      </w:r>
    </w:p>
    <w:p>
      <w:pPr>
        <w:spacing w:after="0" w:line="190"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COMMISSION FILE NUMBER: 1-13011</w:t>
      </w:r>
    </w:p>
    <w:p>
      <w:pPr>
        <w:spacing w:after="0" w:line="190"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7"/>
          <w:szCs w:val="17"/>
          <w:color w:val="auto"/>
        </w:rPr>
        <w:t>COMFORT SYSTEMS USA, INC.</w:t>
      </w:r>
    </w:p>
    <w:p>
      <w:pPr>
        <w:jc w:val="center"/>
        <w:ind w:right="2459"/>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190" w:lineRule="exact"/>
        <w:rPr>
          <w:sz w:val="24"/>
          <w:szCs w:val="24"/>
          <w:color w:val="auto"/>
        </w:rPr>
      </w:pPr>
    </w:p>
    <w:tbl>
      <w:tblPr>
        <w:tblLayout w:type="fixed"/>
        <w:tblInd w:w="500" w:type="dxa"/>
        <w:tblCellMar>
          <w:top w:w="0" w:type="dxa"/>
          <w:left w:w="0" w:type="dxa"/>
          <w:bottom w:w="0" w:type="dxa"/>
          <w:right w:w="0" w:type="dxa"/>
        </w:tblCellMar>
      </w:tblPr>
      <w:tr>
        <w:trPr>
          <w:trHeight w:val="193"/>
        </w:trPr>
        <w:tc>
          <w:tcPr>
            <w:tcW w:w="34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5"/>
              </w:rPr>
              <w:t>DELAWARE</w:t>
            </w:r>
          </w:p>
        </w:tc>
        <w:tc>
          <w:tcPr>
            <w:tcW w:w="2080" w:type="dxa"/>
            <w:vAlign w:val="bottom"/>
          </w:tcPr>
          <w:p>
            <w:pPr>
              <w:jc w:val="right"/>
              <w:ind w:right="397"/>
              <w:spacing w:after="0"/>
              <w:rPr>
                <w:sz w:val="20"/>
                <w:szCs w:val="20"/>
                <w:color w:val="auto"/>
              </w:rPr>
            </w:pPr>
            <w:r>
              <w:rPr>
                <w:rFonts w:ascii="Courier New" w:cs="Courier New" w:eastAsia="Courier New" w:hAnsi="Courier New"/>
                <w:sz w:val="17"/>
                <w:szCs w:val="17"/>
                <w:color w:val="auto"/>
              </w:rPr>
              <w:t>76-0526487</w:t>
            </w:r>
          </w:p>
        </w:tc>
      </w:tr>
      <w:tr>
        <w:trPr>
          <w:trHeight w:val="191"/>
        </w:trPr>
        <w:tc>
          <w:tcPr>
            <w:tcW w:w="34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(STATE OR OTHER JURISDICTION</w:t>
            </w:r>
          </w:p>
        </w:tc>
        <w:tc>
          <w:tcPr>
            <w:tcW w:w="2080" w:type="dxa"/>
            <w:vAlign w:val="bottom"/>
          </w:tcPr>
          <w:p>
            <w:pPr>
              <w:jc w:val="center"/>
              <w:ind w:left="17"/>
              <w:spacing w:after="0" w:line="191" w:lineRule="exact"/>
              <w:rPr>
                <w:sz w:val="20"/>
                <w:szCs w:val="20"/>
                <w:color w:val="auto"/>
              </w:rPr>
            </w:pPr>
            <w:r>
              <w:rPr>
                <w:rFonts w:ascii="Courier New" w:cs="Courier New" w:eastAsia="Courier New" w:hAnsi="Courier New"/>
                <w:sz w:val="17"/>
                <w:szCs w:val="17"/>
                <w:color w:val="auto"/>
                <w:w w:val="96"/>
              </w:rPr>
              <w:t>(I.R.S. EMPLOYER</w:t>
            </w:r>
          </w:p>
        </w:tc>
      </w:tr>
      <w:tr>
        <w:trPr>
          <w:trHeight w:val="191"/>
        </w:trPr>
        <w:tc>
          <w:tcPr>
            <w:tcW w:w="3480" w:type="dxa"/>
            <w:vAlign w:val="bottom"/>
          </w:tcPr>
          <w:p>
            <w:pPr>
              <w:spacing w:after="0" w:line="191" w:lineRule="exact"/>
              <w:rPr>
                <w:sz w:val="20"/>
                <w:szCs w:val="20"/>
                <w:color w:val="auto"/>
              </w:rPr>
            </w:pPr>
            <w:r>
              <w:rPr>
                <w:rFonts w:ascii="Courier New" w:cs="Courier New" w:eastAsia="Courier New" w:hAnsi="Courier New"/>
                <w:sz w:val="17"/>
                <w:szCs w:val="17"/>
                <w:color w:val="auto"/>
              </w:rPr>
              <w:t>OF INCORPORATION OR ORGANIZATION)</w:t>
            </w:r>
          </w:p>
        </w:tc>
        <w:tc>
          <w:tcPr>
            <w:tcW w:w="2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5"/>
              </w:rPr>
              <w:t>IDENTIFICATION NO.)</w:t>
            </w:r>
          </w:p>
        </w:tc>
      </w:tr>
    </w:tbl>
    <w:p>
      <w:pPr>
        <w:spacing w:after="0" w:line="190"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THREE RIVERWAY</w:t>
      </w:r>
    </w:p>
    <w:p>
      <w:pPr>
        <w:jc w:val="center"/>
        <w:ind w:right="2559"/>
        <w:spacing w:after="0" w:line="238" w:lineRule="auto"/>
        <w:rPr>
          <w:sz w:val="20"/>
          <w:szCs w:val="20"/>
          <w:color w:val="auto"/>
        </w:rPr>
      </w:pPr>
      <w:r>
        <w:rPr>
          <w:rFonts w:ascii="Courier New" w:cs="Courier New" w:eastAsia="Courier New" w:hAnsi="Courier New"/>
          <w:sz w:val="17"/>
          <w:szCs w:val="17"/>
          <w:color w:val="auto"/>
        </w:rPr>
        <w:t>SUITE 200</w:t>
      </w:r>
    </w:p>
    <w:p>
      <w:pPr>
        <w:jc w:val="center"/>
        <w:ind w:right="2459"/>
        <w:spacing w:after="0" w:line="238" w:lineRule="auto"/>
        <w:rPr>
          <w:sz w:val="20"/>
          <w:szCs w:val="20"/>
          <w:color w:val="auto"/>
        </w:rPr>
      </w:pPr>
      <w:r>
        <w:rPr>
          <w:rFonts w:ascii="Courier New" w:cs="Courier New" w:eastAsia="Courier New" w:hAnsi="Courier New"/>
          <w:sz w:val="17"/>
          <w:szCs w:val="17"/>
          <w:color w:val="auto"/>
        </w:rPr>
        <w:t>HOUSTON, TEXAS 77056</w:t>
      </w:r>
    </w:p>
    <w:p>
      <w:pPr>
        <w:jc w:val="center"/>
        <w:ind w:right="2559"/>
        <w:spacing w:after="0"/>
        <w:rPr>
          <w:sz w:val="20"/>
          <w:szCs w:val="20"/>
          <w:color w:val="auto"/>
        </w:rPr>
      </w:pPr>
      <w:r>
        <w:rPr>
          <w:rFonts w:ascii="Courier New" w:cs="Courier New" w:eastAsia="Courier New" w:hAnsi="Courier New"/>
          <w:sz w:val="17"/>
          <w:szCs w:val="17"/>
          <w:color w:val="auto"/>
        </w:rPr>
        <w:t>(ADDRESS OF PRINCIPAL EXECUTIVE OFFICES) (ZIP CODE)</w:t>
      </w:r>
    </w:p>
    <w:p>
      <w:pPr>
        <w:spacing w:after="0" w:line="189"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Registrant's telephone number, including area code: (713) 830-9600</w:t>
      </w:r>
    </w:p>
    <w:p>
      <w:pPr>
        <w:spacing w:after="0" w:line="388" w:lineRule="exact"/>
        <w:rPr>
          <w:sz w:val="24"/>
          <w:szCs w:val="24"/>
          <w:color w:val="auto"/>
        </w:rPr>
      </w:pPr>
    </w:p>
    <w:p>
      <w:pPr>
        <w:ind w:right="2359" w:firstLine="597"/>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 ]</w:t>
      </w:r>
    </w:p>
    <w:p>
      <w:pPr>
        <w:spacing w:after="0" w:line="197" w:lineRule="exact"/>
        <w:rPr>
          <w:sz w:val="24"/>
          <w:szCs w:val="24"/>
          <w:color w:val="auto"/>
        </w:rPr>
      </w:pPr>
    </w:p>
    <w:p>
      <w:pPr>
        <w:ind w:right="2859" w:firstLine="597"/>
        <w:spacing w:after="0" w:line="235" w:lineRule="auto"/>
        <w:rPr>
          <w:sz w:val="20"/>
          <w:szCs w:val="20"/>
          <w:color w:val="auto"/>
        </w:rPr>
      </w:pPr>
      <w:r>
        <w:rPr>
          <w:rFonts w:ascii="Courier New" w:cs="Courier New" w:eastAsia="Courier New" w:hAnsi="Courier New"/>
          <w:sz w:val="17"/>
          <w:szCs w:val="17"/>
          <w:color w:val="auto"/>
        </w:rPr>
        <w:t>The number of shares outstanding of the issuer's common stock, as of August ___, 1998, was____________.</w:t>
      </w:r>
    </w:p>
    <w:p>
      <w:pPr>
        <w:sectPr>
          <w:pgSz w:w="11900" w:h="16838" w:orient="portrait"/>
          <w:cols w:equalWidth="0" w:num="1">
            <w:col w:w="10219"/>
          </w:cols>
          <w:pgMar w:left="240" w:top="23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ind w:right="1457"/>
              <w:spacing w:after="0"/>
              <w:rPr>
                <w:sz w:val="20"/>
                <w:szCs w:val="20"/>
                <w:color w:val="auto"/>
              </w:rPr>
            </w:pPr>
            <w:r>
              <w:rPr>
                <w:rFonts w:ascii="Courier New" w:cs="Courier New" w:eastAsia="Courier New" w:hAnsi="Courier New"/>
                <w:sz w:val="17"/>
                <w:szCs w:val="17"/>
                <w:color w:val="auto"/>
              </w:rPr>
              <w:t>COMFORT SYSTEMS USA, INC.</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ind w:right="1757"/>
              <w:spacing w:after="0" w:line="191" w:lineRule="exact"/>
              <w:rPr>
                <w:sz w:val="20"/>
                <w:szCs w:val="20"/>
                <w:color w:val="auto"/>
              </w:rPr>
            </w:pPr>
            <w:r>
              <w:rPr>
                <w:rFonts w:ascii="Courier New" w:cs="Courier New" w:eastAsia="Courier New" w:hAnsi="Courier New"/>
                <w:sz w:val="17"/>
                <w:szCs w:val="17"/>
                <w:color w:val="auto"/>
              </w:rPr>
              <w:t>INDEX TO FORM 10-Q</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FOR THE QUARTER ENDED JUNE 30, 1998</w:t>
            </w:r>
          </w:p>
        </w:tc>
        <w:tc>
          <w:tcPr>
            <w:tcW w:w="440" w:type="dxa"/>
            <w:vAlign w:val="bottom"/>
          </w:tcPr>
          <w:p>
            <w:pPr>
              <w:spacing w:after="0"/>
              <w:rPr>
                <w:sz w:val="16"/>
                <w:szCs w:val="16"/>
                <w:color w:val="auto"/>
              </w:rPr>
            </w:pPr>
          </w:p>
        </w:tc>
      </w:tr>
      <w:tr>
        <w:trPr>
          <w:trHeight w:val="383"/>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87"/>
              </w:rPr>
              <w:t>--</w:t>
            </w:r>
          </w:p>
        </w:tc>
        <w:tc>
          <w:tcPr>
            <w:tcW w:w="5620" w:type="dxa"/>
            <w:vAlign w:val="bottom"/>
          </w:tcPr>
          <w:p>
            <w:pPr>
              <w:spacing w:after="0"/>
              <w:rPr>
                <w:sz w:val="20"/>
                <w:szCs w:val="20"/>
                <w:color w:val="auto"/>
              </w:rPr>
            </w:pPr>
            <w:r>
              <w:rPr>
                <w:rFonts w:ascii="Courier New" w:cs="Courier New" w:eastAsia="Courier New" w:hAnsi="Courier New"/>
                <w:sz w:val="17"/>
                <w:szCs w:val="17"/>
                <w:color w:val="auto"/>
              </w:rPr>
              <w:t>Financial Information</w:t>
            </w:r>
          </w:p>
        </w:tc>
        <w:tc>
          <w:tcPr>
            <w:tcW w:w="440" w:type="dxa"/>
            <w:vAlign w:val="bottom"/>
          </w:tcPr>
          <w:p>
            <w:pPr>
              <w:spacing w:after="0"/>
              <w:rPr>
                <w:sz w:val="24"/>
                <w:szCs w:val="24"/>
                <w:color w:val="auto"/>
              </w:rPr>
            </w:pPr>
          </w:p>
        </w:tc>
      </w:tr>
      <w:tr>
        <w:trPr>
          <w:trHeight w:val="191"/>
        </w:trPr>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Item</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 Financial Statements</w:t>
            </w:r>
          </w:p>
        </w:tc>
        <w:tc>
          <w:tcPr>
            <w:tcW w:w="440" w:type="dxa"/>
            <w:vAlign w:val="bottom"/>
          </w:tcPr>
          <w:p>
            <w:pPr>
              <w:spacing w:after="0"/>
              <w:rPr>
                <w:sz w:val="16"/>
                <w:szCs w:val="16"/>
                <w:color w:val="auto"/>
              </w:rPr>
            </w:pPr>
          </w:p>
        </w:tc>
      </w:tr>
      <w:tr>
        <w:trPr>
          <w:trHeight w:val="191"/>
        </w:trPr>
        <w:tc>
          <w:tcPr>
            <w:tcW w:w="6620" w:type="dxa"/>
            <w:vAlign w:val="bottom"/>
            <w:gridSpan w:val="3"/>
          </w:tcPr>
          <w:p>
            <w:pPr>
              <w:ind w:left="600"/>
              <w:spacing w:after="0" w:line="191" w:lineRule="exact"/>
              <w:rPr>
                <w:sz w:val="20"/>
                <w:szCs w:val="20"/>
                <w:color w:val="auto"/>
              </w:rPr>
            </w:pPr>
            <w:r>
              <w:rPr>
                <w:rFonts w:ascii="Courier New" w:cs="Courier New" w:eastAsia="Courier New" w:hAnsi="Courier New"/>
                <w:sz w:val="17"/>
                <w:szCs w:val="17"/>
                <w:color w:val="auto"/>
              </w:rPr>
              <w:t>COMFORT SYSTEMS USA, INC. PRO FORMA COMBINED</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Introduction to Pro Forma Combined Statements of</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Operations............................................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Pro Forma Combined Statements of Operations............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Note to Pro Forma Combined Statements of Operations....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r>
      <w:tr>
        <w:trPr>
          <w:trHeight w:val="383"/>
        </w:trPr>
        <w:tc>
          <w:tcPr>
            <w:tcW w:w="6620" w:type="dxa"/>
            <w:vAlign w:val="bottom"/>
            <w:gridSpan w:val="3"/>
          </w:tcPr>
          <w:p>
            <w:pPr>
              <w:ind w:left="600"/>
              <w:spacing w:after="0"/>
              <w:rPr>
                <w:sz w:val="20"/>
                <w:szCs w:val="20"/>
                <w:color w:val="auto"/>
              </w:rPr>
            </w:pPr>
            <w:r>
              <w:rPr>
                <w:rFonts w:ascii="Courier New" w:cs="Courier New" w:eastAsia="Courier New" w:hAnsi="Courier New"/>
                <w:sz w:val="17"/>
                <w:szCs w:val="17"/>
                <w:color w:val="auto"/>
              </w:rPr>
              <w:t>COMFORT SYSTEMS USA, INC.</w:t>
            </w:r>
          </w:p>
        </w:tc>
        <w:tc>
          <w:tcPr>
            <w:tcW w:w="44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Condensed Consolidated Balance Sheets..................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Condensed Consolidated Statements of Operations........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Condensed Consolidated Statements of Stockholders'</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Equity................................................</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Condensed Consolidated Statements of Cash Flows........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w:t>
            </w: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8"/>
              </w:rPr>
              <w:t>Notes to Condensed Consolidated Financial Statements...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r>
      <w:tr>
        <w:trPr>
          <w:trHeight w:val="383"/>
        </w:trPr>
        <w:tc>
          <w:tcPr>
            <w:tcW w:w="700" w:type="dxa"/>
            <w:vAlign w:val="bottom"/>
          </w:tcPr>
          <w:p>
            <w:pPr>
              <w:ind w:left="300"/>
              <w:spacing w:after="0"/>
              <w:rPr>
                <w:sz w:val="20"/>
                <w:szCs w:val="20"/>
                <w:color w:val="auto"/>
              </w:rPr>
            </w:pPr>
            <w:r>
              <w:rPr>
                <w:rFonts w:ascii="Courier New" w:cs="Courier New" w:eastAsia="Courier New" w:hAnsi="Courier New"/>
                <w:sz w:val="17"/>
                <w:szCs w:val="17"/>
                <w:color w:val="auto"/>
                <w:w w:val="93"/>
              </w:rPr>
              <w:t>Item</w:t>
            </w:r>
          </w:p>
        </w:tc>
        <w:tc>
          <w:tcPr>
            <w:tcW w:w="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w:t>
            </w:r>
          </w:p>
        </w:tc>
        <w:tc>
          <w:tcPr>
            <w:tcW w:w="5620" w:type="dxa"/>
            <w:vAlign w:val="bottom"/>
          </w:tcPr>
          <w:p>
            <w:pPr>
              <w:spacing w:after="0"/>
              <w:rPr>
                <w:sz w:val="20"/>
                <w:szCs w:val="20"/>
                <w:color w:val="auto"/>
              </w:rPr>
            </w:pPr>
            <w:r>
              <w:rPr>
                <w:rFonts w:ascii="Courier New" w:cs="Courier New" w:eastAsia="Courier New" w:hAnsi="Courier New"/>
                <w:sz w:val="17"/>
                <w:szCs w:val="17"/>
                <w:color w:val="auto"/>
              </w:rPr>
              <w:t>-- Management's Discussion and Analysis of Financial</w:t>
            </w:r>
          </w:p>
        </w:tc>
        <w:tc>
          <w:tcPr>
            <w:tcW w:w="440" w:type="dxa"/>
            <w:vAlign w:val="bottom"/>
          </w:tcPr>
          <w:p>
            <w:pPr>
              <w:spacing w:after="0"/>
              <w:rPr>
                <w:sz w:val="24"/>
                <w:szCs w:val="24"/>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Condition and Results Of Operations.................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r>
      <w:tr>
        <w:trPr>
          <w:trHeight w:val="383"/>
        </w:trPr>
        <w:tc>
          <w:tcPr>
            <w:tcW w:w="700" w:type="dxa"/>
            <w:vAlign w:val="bottom"/>
          </w:tcPr>
          <w:p>
            <w:pPr>
              <w:spacing w:after="0"/>
              <w:rPr>
                <w:sz w:val="20"/>
                <w:szCs w:val="20"/>
                <w:color w:val="auto"/>
              </w:rPr>
            </w:pPr>
            <w:r>
              <w:rPr>
                <w:rFonts w:ascii="Courier New" w:cs="Courier New" w:eastAsia="Courier New" w:hAnsi="Courier New"/>
                <w:sz w:val="17"/>
                <w:szCs w:val="17"/>
                <w:color w:val="auto"/>
                <w:w w:val="95"/>
              </w:rPr>
              <w:t>Part II</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20" w:type="dxa"/>
            <w:vAlign w:val="bottom"/>
          </w:tcPr>
          <w:p>
            <w:pPr>
              <w:ind w:left="100"/>
              <w:spacing w:after="0"/>
              <w:rPr>
                <w:sz w:val="20"/>
                <w:szCs w:val="20"/>
                <w:color w:val="auto"/>
              </w:rPr>
            </w:pPr>
            <w:r>
              <w:rPr>
                <w:rFonts w:ascii="Courier New" w:cs="Courier New" w:eastAsia="Courier New" w:hAnsi="Courier New"/>
                <w:sz w:val="17"/>
                <w:szCs w:val="17"/>
                <w:color w:val="auto"/>
              </w:rPr>
              <w:t>Other Information</w:t>
            </w:r>
          </w:p>
        </w:tc>
        <w:tc>
          <w:tcPr>
            <w:tcW w:w="440" w:type="dxa"/>
            <w:vAlign w:val="bottom"/>
          </w:tcPr>
          <w:p>
            <w:pPr>
              <w:spacing w:after="0"/>
              <w:rPr>
                <w:sz w:val="24"/>
                <w:szCs w:val="24"/>
                <w:color w:val="auto"/>
              </w:rPr>
            </w:pPr>
          </w:p>
        </w:tc>
      </w:tr>
      <w:tr>
        <w:trPr>
          <w:trHeight w:val="191"/>
        </w:trPr>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Item</w:t>
            </w:r>
          </w:p>
        </w:tc>
        <w:tc>
          <w:tcPr>
            <w:tcW w:w="59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1 -- Legal Proceedings....................................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Item</w:t>
            </w:r>
          </w:p>
        </w:tc>
        <w:tc>
          <w:tcPr>
            <w:tcW w:w="59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2 -- Recent Sales of Unregistered Securities..............</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Item</w:t>
            </w:r>
          </w:p>
        </w:tc>
        <w:tc>
          <w:tcPr>
            <w:tcW w:w="59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8"/>
              </w:rPr>
              <w:t>6 -- Exhibits and Reports on Form 8-K.....................</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7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3"/>
              </w:rPr>
              <w:t>Item</w:t>
            </w:r>
          </w:p>
        </w:tc>
        <w:tc>
          <w:tcPr>
            <w:tcW w:w="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w:t>
            </w:r>
          </w:p>
        </w:tc>
        <w:tc>
          <w:tcPr>
            <w:tcW w:w="5620" w:type="dxa"/>
            <w:vAlign w:val="bottom"/>
          </w:tcPr>
          <w:p>
            <w:pPr>
              <w:spacing w:after="0" w:line="191" w:lineRule="exact"/>
              <w:rPr>
                <w:sz w:val="20"/>
                <w:szCs w:val="20"/>
                <w:color w:val="auto"/>
              </w:rPr>
            </w:pPr>
            <w:r>
              <w:rPr>
                <w:rFonts w:ascii="Courier New" w:cs="Courier New" w:eastAsia="Courier New" w:hAnsi="Courier New"/>
                <w:sz w:val="17"/>
                <w:szCs w:val="17"/>
                <w:color w:val="auto"/>
              </w:rPr>
              <w:t>-- Changes and Disagreements with Accountants on</w:t>
            </w:r>
          </w:p>
        </w:tc>
        <w:tc>
          <w:tcPr>
            <w:tcW w:w="440" w:type="dxa"/>
            <w:vAlign w:val="bottom"/>
          </w:tcPr>
          <w:p>
            <w:pPr>
              <w:spacing w:after="0"/>
              <w:rPr>
                <w:sz w:val="16"/>
                <w:szCs w:val="16"/>
                <w:color w:val="auto"/>
              </w:rPr>
            </w:pPr>
          </w:p>
        </w:tc>
      </w:tr>
      <w:tr>
        <w:trPr>
          <w:trHeight w:val="191"/>
        </w:trPr>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Accounting and Financial Disclosure................</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w:t>
            </w:r>
          </w:p>
        </w:tc>
      </w:tr>
      <w:tr>
        <w:trPr>
          <w:trHeight w:val="191"/>
        </w:trPr>
        <w:tc>
          <w:tcPr>
            <w:tcW w:w="662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w w:val="98"/>
              </w:rPr>
              <w:t>Signature......................................................</w:t>
            </w:r>
          </w:p>
        </w:tc>
        <w:tc>
          <w:tcPr>
            <w:tcW w:w="4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w:t>
            </w:r>
          </w:p>
        </w:tc>
      </w:tr>
    </w:tbl>
    <w:p>
      <w:pPr>
        <w:sectPr>
          <w:pgSz w:w="11900" w:h="16838" w:orient="portrait"/>
          <w:cols w:equalWidth="0" w:num="1">
            <w:col w:w="10219"/>
          </w:cols>
          <w:pgMar w:left="240" w:top="492" w:right="1440" w:bottom="1440" w:gutter="0" w:footer="0" w:header="0"/>
        </w:sectPr>
      </w:pPr>
    </w:p>
    <w:bookmarkStart w:id="2" w:name="page3"/>
    <w:bookmarkEnd w:id="2"/>
    <w:p>
      <w:pPr>
        <w:ind w:left="2680"/>
        <w:spacing w:after="0"/>
        <w:rPr>
          <w:sz w:val="20"/>
          <w:szCs w:val="20"/>
          <w:color w:val="auto"/>
        </w:rPr>
      </w:pPr>
      <w:r>
        <w:rPr>
          <w:rFonts w:ascii="Courier New" w:cs="Courier New" w:eastAsia="Courier New" w:hAnsi="Courier New"/>
          <w:sz w:val="17"/>
          <w:szCs w:val="17"/>
          <w:color w:val="auto"/>
        </w:rPr>
        <w:t>COMFORT SYSTEMS USA, INC.</w:t>
      </w:r>
    </w:p>
    <w:p>
      <w:pPr>
        <w:ind w:left="2100"/>
        <w:spacing w:after="0" w:line="238" w:lineRule="auto"/>
        <w:rPr>
          <w:sz w:val="20"/>
          <w:szCs w:val="20"/>
          <w:color w:val="auto"/>
        </w:rPr>
      </w:pPr>
      <w:r>
        <w:rPr>
          <w:rFonts w:ascii="Courier New" w:cs="Courier New" w:eastAsia="Courier New" w:hAnsi="Courier New"/>
          <w:sz w:val="17"/>
          <w:szCs w:val="17"/>
          <w:color w:val="auto"/>
        </w:rPr>
        <w:t>PART I, ITEM 1 -- FINANCIAL INFORMATION</w:t>
      </w:r>
    </w:p>
    <w:p>
      <w:pPr>
        <w:ind w:left="2980"/>
        <w:spacing w:after="0" w:line="238" w:lineRule="auto"/>
        <w:rPr>
          <w:sz w:val="20"/>
          <w:szCs w:val="20"/>
          <w:color w:val="auto"/>
        </w:rPr>
      </w:pPr>
      <w:r>
        <w:rPr>
          <w:rFonts w:ascii="Courier New" w:cs="Courier New" w:eastAsia="Courier New" w:hAnsi="Courier New"/>
          <w:sz w:val="17"/>
          <w:szCs w:val="17"/>
          <w:color w:val="auto"/>
        </w:rPr>
        <w:t>GENERAL INFORMATION</w:t>
      </w:r>
    </w:p>
    <w:p>
      <w:pPr>
        <w:spacing w:after="0" w:line="190"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INTRODUCTION TO PRO FORMA COMBINED STATEMENTS OF OPERATIONS</w:t>
      </w:r>
    </w:p>
    <w:p>
      <w:pPr>
        <w:spacing w:after="0" w:line="196" w:lineRule="exact"/>
        <w:rPr>
          <w:sz w:val="20"/>
          <w:szCs w:val="20"/>
          <w:color w:val="auto"/>
        </w:rPr>
      </w:pPr>
    </w:p>
    <w:p>
      <w:pPr>
        <w:ind w:right="2559" w:firstLine="298"/>
        <w:spacing w:after="0" w:line="255" w:lineRule="auto"/>
        <w:rPr>
          <w:sz w:val="20"/>
          <w:szCs w:val="20"/>
          <w:color w:val="auto"/>
        </w:rPr>
      </w:pPr>
      <w:r>
        <w:rPr>
          <w:rFonts w:ascii="Courier New" w:cs="Courier New" w:eastAsia="Courier New" w:hAnsi="Courier New"/>
          <w:sz w:val="16"/>
          <w:szCs w:val="16"/>
          <w:color w:val="auto"/>
        </w:rPr>
        <w:t>Comfort Systems USA, Inc. ("Comfort Systems" and collectively with its subsidiaries, the "Company") was founded in December 1996 to become a leading national provider of heating, ventilation and air conditioning ("HVAC") services, focusing primarily on the commercial and industrial markets.</w:t>
      </w:r>
    </w:p>
    <w:p>
      <w:pPr>
        <w:spacing w:after="0" w:line="18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On July 2, 1997, the Company completed the initial public offering (the "IPO") of its common stock (the "Common Stock") and simultaneously acquired 12 companies (collectively referred to as the "Founding Companies") engaged principally in the commercial and industrial HVAC business. The closing of the acquisitions of the Founding Companies and the IPO occurred on July 2, 1997. The acquisitions of the Founding Companies have been accounted for using the purchase method of accounting.</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Subsequent to July 2, 1997, and through June 30, 1998, the Company acquired 55 additional HVAC and complementary businesses (collectively with the Founding Companies referred to as the "Acquired Companies"). Of these additional businesses acquired, 14 acquisitions were accounted for as pooling-of-interests (the "Pooled Companies"). The remaining businesses acquired were accounted for as purchases (the "Purchased Companies").</w:t>
      </w:r>
    </w:p>
    <w:p>
      <w:pPr>
        <w:spacing w:after="0" w:line="198"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On June 16, 1998, the company completed a second public offering (the "Second Public Offering") of 400,000 shares of its Common Stock. The net proceeds from this offering of $7.6 million were used to repay debt.</w:t>
      </w:r>
    </w:p>
    <w:p>
      <w:pPr>
        <w:spacing w:after="0" w:line="197"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The following unaudited pro forma combined statements of operations assume that the IPO and the acquisitions of the Founding Companies were consummated on January 1, 1997. This pro forma presentation also gives effect to the retroactive restatement to January 1, 1997, of 13 of the 14 Pooled Companies and reflects the acquisitions of the Purchased Companies acquired subsequent to the IPO through June 30, 1998, from the date of their respective acquisitions. This presentation is not intended to be in accordance with the regulations promulgated by the Securities and Exchange Commission.</w:t>
      </w:r>
    </w:p>
    <w:p>
      <w:pPr>
        <w:spacing w:after="0" w:line="200" w:lineRule="exact"/>
        <w:rPr>
          <w:sz w:val="20"/>
          <w:szCs w:val="20"/>
          <w:color w:val="auto"/>
        </w:rPr>
      </w:pPr>
    </w:p>
    <w:p>
      <w:pPr>
        <w:ind w:right="2259" w:firstLine="298"/>
        <w:spacing w:after="0" w:line="238" w:lineRule="auto"/>
        <w:rPr>
          <w:sz w:val="20"/>
          <w:szCs w:val="20"/>
          <w:color w:val="auto"/>
        </w:rPr>
      </w:pPr>
      <w:r>
        <w:rPr>
          <w:rFonts w:ascii="Courier New" w:cs="Courier New" w:eastAsia="Courier New" w:hAnsi="Courier New"/>
          <w:sz w:val="17"/>
          <w:szCs w:val="17"/>
          <w:color w:val="auto"/>
        </w:rPr>
        <w:t>The Acquired Companies were managed prior to their acquisitions as independent private companies. Therefore, historical selling, general and administrative expenses for the periods presented in the condensed consolidated statements of operations reflect compensation and related benefits those owners received from their respective businesses prior to acquisition. Historical selling, general and administrative expenses also include the non-recurring, non-cash compensation charge of $11.6 million recorded by Comfort Systems in the first quarter of 1997 related to Common Stock issued to management of and consultants to the Company (the "Compensation Charge") prior to the IPO. The pro forma combined adjustments reflect (a) a decrease in selling, general and administrative expenses to exclude the Compensation Charge for the first quarter of 1997, (b) certain reductions in salaries and benefits to the former owners of the Acquired Companies which they agreed would take effect as of the date of acquisition (the "Compensation Differential"), (c) pro forma combined compensation expense of $430,000 for the six months ended June 30, 1997, to reflect the ongoing salaries received by corporate management of the Company as though those salaries were paid prior to the IPO, (d) amortization of goodwill related to the Founding Companies, and (e) pro forma interest expense on borrowings that would have been necessary to fund certain S Corporation Distributions related to the Founding Companies, as if those distributions had been made on January 1, 1997. In addition, an incremental tax provision has been recorded as if all applicable Purchased and Founding Companies, and Pooled Companies which were C Corporations had been subject to federal and state income taxes.</w:t>
      </w:r>
    </w:p>
    <w:p>
      <w:pPr>
        <w:spacing w:after="0" w:line="198"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Historical and pro forma interim periods results are not necessarily indicative of future results because, among other things, the Acquired Companies were not under common control or management prior to their</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492" w:right="1440" w:bottom="1440" w:gutter="0" w:footer="0" w:header="0"/>
        </w:sectPr>
      </w:pPr>
    </w:p>
    <w:bookmarkStart w:id="3" w:name="page4"/>
    <w:bookmarkEnd w:id="3"/>
    <w:p>
      <w:pPr>
        <w:ind w:right="2259"/>
        <w:spacing w:after="0" w:line="237" w:lineRule="auto"/>
        <w:rPr>
          <w:sz w:val="20"/>
          <w:szCs w:val="20"/>
          <w:color w:val="auto"/>
        </w:rPr>
      </w:pPr>
      <w:r>
        <w:rPr>
          <w:rFonts w:ascii="Courier New" w:cs="Courier New" w:eastAsia="Courier New" w:hAnsi="Courier New"/>
          <w:sz w:val="17"/>
          <w:szCs w:val="17"/>
          <w:color w:val="auto"/>
        </w:rPr>
        <w:t>acquisition. The Company's results of operations historically have been subject to seasonal fluctuations. These pro forma combined statements of operations should be read in conjunction with the additional information and the respective financial statements and related notes of Comfort Systems and the Founding Companies included in the Annual Report on Form 10-K as filed with the Securities and Exchange Commission.</w:t>
      </w:r>
    </w:p>
    <w:p>
      <w:pPr>
        <w:spacing w:after="0" w:line="38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499" w:right="1440" w:bottom="1440" w:gutter="0" w:footer="0" w:header="0"/>
        </w:sectPr>
      </w:pPr>
    </w:p>
    <w:bookmarkStart w:id="4" w:name="page5"/>
    <w:bookmarkEnd w:id="4"/>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ind w:left="1800"/>
        <w:spacing w:after="0" w:line="238" w:lineRule="auto"/>
        <w:rPr>
          <w:sz w:val="20"/>
          <w:szCs w:val="20"/>
          <w:color w:val="auto"/>
        </w:rPr>
      </w:pPr>
      <w:r>
        <w:rPr>
          <w:rFonts w:ascii="Courier New" w:cs="Courier New" w:eastAsia="Courier New" w:hAnsi="Courier New"/>
          <w:sz w:val="17"/>
          <w:szCs w:val="17"/>
          <w:color w:val="auto"/>
        </w:rPr>
        <w:t>PRO FORMA COMBINED STATEMENTS OF OPERATIONS</w:t>
      </w:r>
    </w:p>
    <w:p>
      <w:pPr>
        <w:ind w:left="2180"/>
        <w:spacing w:after="0" w:line="238" w:lineRule="auto"/>
        <w:rPr>
          <w:sz w:val="20"/>
          <w:szCs w:val="20"/>
          <w:color w:val="auto"/>
        </w:rPr>
      </w:pPr>
      <w:r>
        <w:rPr>
          <w:rFonts w:ascii="Courier New" w:cs="Courier New" w:eastAsia="Courier New" w:hAnsi="Courier New"/>
          <w:sz w:val="17"/>
          <w:szCs w:val="17"/>
          <w:color w:val="auto"/>
        </w:rPr>
        <w:t>(IN THOUSANDS, EXCEPT PER SHARE DATA)</w:t>
      </w:r>
    </w:p>
    <w:tbl>
      <w:tblPr>
        <w:tblLayout w:type="fixed"/>
        <w:tblInd w:w="0" w:type="dxa"/>
        <w:tblCellMar>
          <w:top w:w="0" w:type="dxa"/>
          <w:left w:w="0" w:type="dxa"/>
          <w:bottom w:w="0" w:type="dxa"/>
          <w:right w:w="0" w:type="dxa"/>
        </w:tblCellMar>
      </w:tblPr>
      <w:tr>
        <w:trPr>
          <w:trHeight w:val="192"/>
        </w:trPr>
        <w:tc>
          <w:tcPr>
            <w:tcW w:w="6620" w:type="dxa"/>
            <w:vAlign w:val="bottom"/>
          </w:tcPr>
          <w:p>
            <w:pPr>
              <w:jc w:val="right"/>
              <w:ind w:right="2057"/>
              <w:spacing w:after="0"/>
              <w:rPr>
                <w:sz w:val="20"/>
                <w:szCs w:val="20"/>
                <w:color w:val="auto"/>
              </w:rPr>
            </w:pPr>
            <w:r>
              <w:rPr>
                <w:rFonts w:ascii="Courier New" w:cs="Courier New" w:eastAsia="Courier New" w:hAnsi="Courier New"/>
                <w:sz w:val="17"/>
                <w:szCs w:val="17"/>
                <w:color w:val="auto"/>
              </w:rPr>
              <w:t>(UNAUDITED)</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74"/>
        </w:trPr>
        <w:tc>
          <w:tcPr>
            <w:tcW w:w="6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2"/>
          </w:tcPr>
          <w:p>
            <w:pPr>
              <w:ind w:left="300"/>
              <w:spacing w:after="0"/>
              <w:rPr>
                <w:sz w:val="20"/>
                <w:szCs w:val="20"/>
                <w:color w:val="auto"/>
              </w:rPr>
            </w:pPr>
            <w:r>
              <w:rPr>
                <w:rFonts w:ascii="Courier New" w:cs="Courier New" w:eastAsia="Courier New" w:hAnsi="Courier New"/>
                <w:sz w:val="17"/>
                <w:szCs w:val="17"/>
                <w:color w:val="auto"/>
                <w:w w:val="96"/>
              </w:rPr>
              <w:t>SIX MONTHS</w:t>
            </w:r>
          </w:p>
        </w:tc>
        <w:tc>
          <w:tcPr>
            <w:tcW w:w="800" w:type="dxa"/>
            <w:vAlign w:val="bottom"/>
          </w:tcPr>
          <w:p>
            <w:pPr>
              <w:spacing w:after="0"/>
              <w:rPr>
                <w:sz w:val="24"/>
                <w:szCs w:val="24"/>
                <w:color w:val="auto"/>
              </w:rPr>
            </w:pPr>
          </w:p>
        </w:tc>
      </w:tr>
      <w:tr>
        <w:trPr>
          <w:trHeight w:val="191"/>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gridSpan w:val="3"/>
          </w:tcPr>
          <w:p>
            <w:pPr>
              <w:ind w:left="300"/>
              <w:spacing w:after="0" w:line="191" w:lineRule="exact"/>
              <w:rPr>
                <w:sz w:val="20"/>
                <w:szCs w:val="20"/>
                <w:color w:val="auto"/>
              </w:rPr>
            </w:pPr>
            <w:r>
              <w:rPr>
                <w:rFonts w:ascii="Courier New" w:cs="Courier New" w:eastAsia="Courier New" w:hAnsi="Courier New"/>
                <w:sz w:val="17"/>
                <w:szCs w:val="17"/>
                <w:color w:val="auto"/>
              </w:rPr>
              <w:t>ENDED JUNE 30,</w:t>
            </w:r>
          </w:p>
        </w:tc>
      </w:tr>
      <w:tr>
        <w:trPr>
          <w:trHeight w:val="191"/>
        </w:trPr>
        <w:tc>
          <w:tcPr>
            <w:tcW w:w="6620" w:type="dxa"/>
            <w:vAlign w:val="bottom"/>
          </w:tcPr>
          <w:p>
            <w:pPr>
              <w:spacing w:after="0"/>
              <w:rPr>
                <w:sz w:val="16"/>
                <w:szCs w:val="16"/>
                <w:color w:val="auto"/>
              </w:rPr>
            </w:pPr>
          </w:p>
        </w:tc>
        <w:tc>
          <w:tcPr>
            <w:tcW w:w="24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3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6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Revenues ........................................................</w:t>
            </w:r>
          </w:p>
        </w:tc>
        <w:tc>
          <w:tcPr>
            <w:tcW w:w="128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rPr>
              <w:t>$ 142,162</w:t>
            </w:r>
          </w:p>
        </w:tc>
        <w:tc>
          <w:tcPr>
            <w:tcW w:w="116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$ 294,575</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Cost of services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102,566</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221,613</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Gross profit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39,596</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72,962</w:t>
            </w:r>
          </w:p>
        </w:tc>
      </w:tr>
      <w:tr>
        <w:trPr>
          <w:trHeight w:val="383"/>
        </w:trPr>
        <w:tc>
          <w:tcPr>
            <w:tcW w:w="66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Selling, general and administrative expenses ....................</w:t>
            </w:r>
          </w:p>
        </w:tc>
        <w:tc>
          <w:tcPr>
            <w:tcW w:w="340" w:type="dxa"/>
            <w:vAlign w:val="bottom"/>
          </w:tcPr>
          <w:p>
            <w:pPr>
              <w:spacing w:after="0"/>
              <w:rPr>
                <w:sz w:val="24"/>
                <w:szCs w:val="24"/>
                <w:color w:val="auto"/>
              </w:rPr>
            </w:pP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25,897</w:t>
            </w:r>
          </w:p>
        </w:tc>
        <w:tc>
          <w:tcPr>
            <w:tcW w:w="36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47,407</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Goodwill amortization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1,748</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2,768</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6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Operating income ................................................</w:t>
            </w:r>
          </w:p>
        </w:tc>
        <w:tc>
          <w:tcPr>
            <w:tcW w:w="340" w:type="dxa"/>
            <w:vAlign w:val="bottom"/>
          </w:tcPr>
          <w:p>
            <w:pPr>
              <w:spacing w:after="0"/>
              <w:rPr>
                <w:sz w:val="24"/>
                <w:szCs w:val="24"/>
                <w:color w:val="auto"/>
              </w:rPr>
            </w:pP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11,951</w:t>
            </w:r>
          </w:p>
        </w:tc>
        <w:tc>
          <w:tcPr>
            <w:tcW w:w="36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22,787</w:t>
            </w:r>
          </w:p>
        </w:tc>
      </w:tr>
      <w:tr>
        <w:trPr>
          <w:trHeight w:val="383"/>
        </w:trPr>
        <w:tc>
          <w:tcPr>
            <w:tcW w:w="66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Other income (expense), net .....................................</w:t>
            </w:r>
          </w:p>
        </w:tc>
        <w:tc>
          <w:tcPr>
            <w:tcW w:w="340" w:type="dxa"/>
            <w:vAlign w:val="bottom"/>
          </w:tcPr>
          <w:p>
            <w:pPr>
              <w:spacing w:after="0"/>
              <w:rPr>
                <w:sz w:val="24"/>
                <w:szCs w:val="24"/>
                <w:color w:val="auto"/>
              </w:rPr>
            </w:pP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(523)</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7"/>
                <w:szCs w:val="17"/>
                <w:color w:val="auto"/>
              </w:rPr>
              <w:t>(1,881)</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Income before taxes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11,428</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20,906</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Provision for income taxes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4,771</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9,187</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Pro forma combined net income ...................................</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6,657</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11,719</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6620" w:type="dxa"/>
            <w:vAlign w:val="bottom"/>
          </w:tcPr>
          <w:p>
            <w:pPr>
              <w:jc w:val="right"/>
              <w:ind w:right="2557"/>
              <w:spacing w:after="0"/>
              <w:rPr>
                <w:sz w:val="20"/>
                <w:szCs w:val="20"/>
                <w:color w:val="auto"/>
              </w:rPr>
            </w:pPr>
            <w:r>
              <w:rPr>
                <w:rFonts w:ascii="Courier New" w:cs="Courier New" w:eastAsia="Courier New" w:hAnsi="Courier New"/>
                <w:sz w:val="17"/>
                <w:szCs w:val="17"/>
                <w:color w:val="auto"/>
                <w:w w:val="97"/>
              </w:rPr>
              <w:t>Pro Forma Combined Net Income Per Share:</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Basic ........................................................</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Diluted ......................................................</w:t>
            </w:r>
          </w:p>
        </w:tc>
        <w:tc>
          <w:tcPr>
            <w:tcW w:w="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w:t>
            </w:r>
          </w:p>
        </w:tc>
        <w:tc>
          <w:tcPr>
            <w:tcW w:w="3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Shares Used in Computing Pro Forma Combined Net Income Per Share: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Basic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22,760</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29,095</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6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Diluted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22,760</w:t>
            </w:r>
          </w:p>
        </w:tc>
        <w:tc>
          <w:tcPr>
            <w:tcW w:w="36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29,598</w:t>
            </w:r>
          </w:p>
        </w:tc>
      </w:tr>
      <w:tr>
        <w:trPr>
          <w:trHeight w:val="191"/>
        </w:trPr>
        <w:tc>
          <w:tcPr>
            <w:tcW w:w="6620" w:type="dxa"/>
            <w:vAlign w:val="bottom"/>
          </w:tcPr>
          <w:p>
            <w:pPr>
              <w:spacing w:after="0"/>
              <w:rPr>
                <w:sz w:val="16"/>
                <w:szCs w:val="16"/>
                <w:color w:val="auto"/>
              </w:rPr>
            </w:pP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559" w:firstLine="298"/>
        <w:spacing w:after="0" w:line="236" w:lineRule="auto"/>
        <w:rPr>
          <w:sz w:val="20"/>
          <w:szCs w:val="20"/>
          <w:color w:val="auto"/>
        </w:rPr>
      </w:pPr>
      <w:r>
        <w:rPr>
          <w:rFonts w:ascii="Courier New" w:cs="Courier New" w:eastAsia="Courier New" w:hAnsi="Courier New"/>
          <w:sz w:val="17"/>
          <w:szCs w:val="17"/>
          <w:color w:val="auto"/>
        </w:rPr>
        <w:t>This pro forma combined financial information may not be comparable to and may not be indicative of the Company's future results of operations because these Acquired Companies were not under common control or management prior to their acquisition.</w:t>
      </w:r>
    </w:p>
    <w:p>
      <w:pPr>
        <w:spacing w:after="0" w:line="38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 is an integral part of these pro</w:t>
      </w:r>
    </w:p>
    <w:p>
      <w:pPr>
        <w:jc w:val="center"/>
        <w:ind w:right="2259"/>
        <w:spacing w:after="0" w:line="238" w:lineRule="auto"/>
        <w:rPr>
          <w:sz w:val="20"/>
          <w:szCs w:val="20"/>
          <w:color w:val="auto"/>
        </w:rPr>
      </w:pPr>
      <w:r>
        <w:rPr>
          <w:rFonts w:ascii="Courier New" w:cs="Courier New" w:eastAsia="Courier New" w:hAnsi="Courier New"/>
          <w:sz w:val="17"/>
          <w:szCs w:val="17"/>
          <w:color w:val="auto"/>
        </w:rPr>
        <w:t>forma combined statements of operations.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492" w:right="1440" w:bottom="1440" w:gutter="0" w:footer="0" w:header="0"/>
        </w:sectPr>
      </w:pPr>
    </w:p>
    <w:bookmarkStart w:id="5" w:name="page6"/>
    <w:bookmarkEnd w:id="5"/>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NOTE TO PRO FORMA COMBINED STATEMENTS OF OPERATIONS</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The computation of the weighted average shares outstanding for pro forma combined net income per share for the six months ended June 30, 1997 and 1998, is calculated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6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6260" w:type="dxa"/>
            <w:vAlign w:val="bottom"/>
          </w:tcPr>
          <w:p>
            <w:pPr>
              <w:spacing w:after="0"/>
              <w:rPr>
                <w:sz w:val="16"/>
                <w:szCs w:val="16"/>
                <w:color w:val="auto"/>
              </w:rPr>
            </w:pPr>
          </w:p>
        </w:tc>
        <w:tc>
          <w:tcPr>
            <w:tcW w:w="17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JUNE 30,</w:t>
            </w:r>
          </w:p>
        </w:tc>
      </w:tr>
      <w:tr>
        <w:trPr>
          <w:trHeight w:val="191"/>
        </w:trPr>
        <w:tc>
          <w:tcPr>
            <w:tcW w:w="6260" w:type="dxa"/>
            <w:vAlign w:val="bottom"/>
          </w:tcPr>
          <w:p>
            <w:pPr>
              <w:spacing w:after="0"/>
              <w:rPr>
                <w:sz w:val="16"/>
                <w:szCs w:val="16"/>
                <w:color w:val="auto"/>
              </w:rPr>
            </w:pPr>
          </w:p>
        </w:tc>
        <w:tc>
          <w:tcPr>
            <w:tcW w:w="9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1997</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26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issued in connection with the acquisitions of the</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Founding Companies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9,721</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Shares sold pursuant to the IPO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6,100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6,100</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held by Notre Capital Ventures II, L.L.C. ("Notre"),</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Comfort Systems' management and consultants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4,240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4,240</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issued in connection with the acquisitions</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of the Pooled Companies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4,507</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4,507</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Shares sold in connection with the underwriter's overallotment</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for the IPO .................................................</w:t>
            </w:r>
          </w:p>
        </w:tc>
        <w:tc>
          <w:tcPr>
            <w:tcW w:w="9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915</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portion of shares issued in connection with</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the acquisition of the Purchased Companies ..................</w:t>
            </w:r>
          </w:p>
        </w:tc>
        <w:tc>
          <w:tcPr>
            <w:tcW w:w="9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3,586</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portion of shares sold in the</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Second Public Offering ......................................</w:t>
            </w:r>
          </w:p>
        </w:tc>
        <w:tc>
          <w:tcPr>
            <w:tcW w:w="9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Shares sold in the IPO that were not used for the</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cash portion of the acquisition of the Founding Companies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1,808</w:t>
            </w:r>
          </w:p>
        </w:tc>
        <w:tc>
          <w:tcPr>
            <w:tcW w:w="7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Weighted average shares outstanding - Basic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22,760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29,095</w:t>
            </w:r>
          </w:p>
        </w:tc>
      </w:tr>
      <w:tr>
        <w:trPr>
          <w:trHeight w:val="191"/>
        </w:trPr>
        <w:tc>
          <w:tcPr>
            <w:tcW w:w="626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portion of shares related to stock options</w:t>
            </w: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8"/>
              </w:rPr>
              <w:t>under the treasury stock method .............................</w:t>
            </w:r>
          </w:p>
        </w:tc>
        <w:tc>
          <w:tcPr>
            <w:tcW w:w="96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503</w:t>
            </w:r>
          </w:p>
        </w:tc>
      </w:tr>
      <w:tr>
        <w:trPr>
          <w:trHeight w:val="191"/>
        </w:trPr>
        <w:tc>
          <w:tcPr>
            <w:tcW w:w="626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7"/>
              </w:rPr>
              <w:t>Weighted average shares outstanding - Diluted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22,760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29,598</w:t>
            </w:r>
          </w:p>
        </w:tc>
      </w:tr>
      <w:tr>
        <w:trPr>
          <w:trHeight w:val="191"/>
        </w:trPr>
        <w:tc>
          <w:tcPr>
            <w:tcW w:w="626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60" w:type="dxa"/>
            <w:vAlign w:val="bottom"/>
          </w:tcPr>
          <w:p>
            <w:pPr>
              <w:jc w:val="right"/>
              <w:ind w:right="2197"/>
              <w:spacing w:after="0"/>
              <w:rPr>
                <w:sz w:val="20"/>
                <w:szCs w:val="20"/>
                <w:color w:val="auto"/>
              </w:rPr>
            </w:pPr>
            <w:r>
              <w:rPr>
                <w:rFonts w:ascii="Courier New" w:cs="Courier New" w:eastAsia="Courier New" w:hAnsi="Courier New"/>
                <w:sz w:val="17"/>
                <w:szCs w:val="17"/>
                <w:color w:val="auto"/>
              </w:rPr>
              <w:t>4</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492" w:right="1440" w:bottom="1440" w:gutter="0" w:footer="0" w:header="0"/>
        </w:sectPr>
      </w:pPr>
    </w:p>
    <w:bookmarkStart w:id="6" w:name="page7"/>
    <w:bookmarkEnd w:id="6"/>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CONDENSED CONSOLIDATED BALANCE SHEETS</w:t>
      </w:r>
    </w:p>
    <w:tbl>
      <w:tblPr>
        <w:tblLayout w:type="fixed"/>
        <w:tblInd w:w="0" w:type="dxa"/>
        <w:tblCellMar>
          <w:top w:w="0" w:type="dxa"/>
          <w:left w:w="0" w:type="dxa"/>
          <w:bottom w:w="0" w:type="dxa"/>
          <w:right w:w="0" w:type="dxa"/>
        </w:tblCellMar>
      </w:tblPr>
      <w:tr>
        <w:trPr>
          <w:trHeight w:val="192"/>
        </w:trPr>
        <w:tc>
          <w:tcPr>
            <w:tcW w:w="682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(IN THOUSANDS, EXCEPT SHARE INFORMATION)</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74"/>
        </w:trPr>
        <w:tc>
          <w:tcPr>
            <w:tcW w:w="6820" w:type="dxa"/>
            <w:vAlign w:val="bottom"/>
          </w:tcPr>
          <w:p>
            <w:pPr>
              <w:spacing w:after="0"/>
              <w:rPr>
                <w:sz w:val="24"/>
                <w:szCs w:val="24"/>
                <w:color w:val="auto"/>
              </w:rPr>
            </w:pPr>
          </w:p>
        </w:tc>
        <w:tc>
          <w:tcPr>
            <w:tcW w:w="2340" w:type="dxa"/>
            <w:vAlign w:val="bottom"/>
            <w:gridSpan w:val="4"/>
          </w:tcPr>
          <w:p>
            <w:pPr>
              <w:jc w:val="right"/>
              <w:ind w:right="117"/>
              <w:spacing w:after="0"/>
              <w:rPr>
                <w:sz w:val="20"/>
                <w:szCs w:val="20"/>
                <w:color w:val="auto"/>
              </w:rPr>
            </w:pPr>
            <w:r>
              <w:rPr>
                <w:rFonts w:ascii="Courier New" w:cs="Courier New" w:eastAsia="Courier New" w:hAnsi="Courier New"/>
                <w:sz w:val="17"/>
                <w:szCs w:val="17"/>
                <w:color w:val="auto"/>
                <w:w w:val="98"/>
              </w:rPr>
              <w:t>DECEMBER 31, JUNE 30,</w:t>
            </w:r>
          </w:p>
        </w:tc>
      </w:tr>
      <w:tr>
        <w:trPr>
          <w:trHeight w:val="191"/>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3"/>
              </w:rPr>
              <w:t>1997</w:t>
            </w:r>
          </w:p>
        </w:tc>
        <w:tc>
          <w:tcPr>
            <w:tcW w:w="3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(UNAUDITED)</w:t>
            </w:r>
          </w:p>
        </w:tc>
      </w:tr>
      <w:tr>
        <w:trPr>
          <w:trHeight w:val="383"/>
        </w:trPr>
        <w:tc>
          <w:tcPr>
            <w:tcW w:w="6820" w:type="dxa"/>
            <w:vAlign w:val="bottom"/>
          </w:tcPr>
          <w:p>
            <w:pPr>
              <w:jc w:val="right"/>
              <w:ind w:right="4057"/>
              <w:spacing w:after="0"/>
              <w:rPr>
                <w:sz w:val="20"/>
                <w:szCs w:val="20"/>
                <w:color w:val="auto"/>
              </w:rPr>
            </w:pPr>
            <w:r>
              <w:rPr>
                <w:rFonts w:ascii="Courier New" w:cs="Courier New" w:eastAsia="Courier New" w:hAnsi="Courier New"/>
                <w:sz w:val="17"/>
                <w:szCs w:val="17"/>
                <w:color w:val="auto"/>
              </w:rPr>
              <w:t>ASSETS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and cash equivalents .......................................</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$ 14,533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6,319</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 less allowance of $1,034 and $2,358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72,792</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141,499</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receivables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884</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1,862</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6,214</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10,333</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Prepaid expenses and other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4,428</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6,126</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Costs and estimated earnings in excess of billings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12,050</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22,262</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assets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110,901</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188,401</w:t>
            </w:r>
          </w:p>
        </w:tc>
      </w:tr>
      <w:tr>
        <w:trPr>
          <w:trHeight w:val="383"/>
        </w:trPr>
        <w:tc>
          <w:tcPr>
            <w:tcW w:w="6820" w:type="dxa"/>
            <w:vAlign w:val="bottom"/>
          </w:tcPr>
          <w:p>
            <w:pPr>
              <w:jc w:val="right"/>
              <w:spacing w:after="0"/>
              <w:rPr>
                <w:sz w:val="20"/>
                <w:szCs w:val="20"/>
                <w:color w:val="auto"/>
              </w:rPr>
            </w:pPr>
            <w:r>
              <w:rPr>
                <w:rFonts w:ascii="Courier New" w:cs="Courier New" w:eastAsia="Courier New" w:hAnsi="Courier New"/>
                <w:sz w:val="17"/>
                <w:szCs w:val="17"/>
                <w:color w:val="auto"/>
                <w:w w:val="97"/>
              </w:rPr>
              <w:t>PROPERTY AND EQUIPMENT, net ........................................</w:t>
            </w:r>
          </w:p>
        </w:tc>
        <w:tc>
          <w:tcPr>
            <w:tcW w:w="340" w:type="dxa"/>
            <w:vAlign w:val="bottom"/>
          </w:tcPr>
          <w:p>
            <w:pPr>
              <w:spacing w:after="0"/>
              <w:rPr>
                <w:sz w:val="24"/>
                <w:szCs w:val="24"/>
                <w:color w:val="auto"/>
              </w:rPr>
            </w:pP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12,046</w:t>
            </w:r>
          </w:p>
        </w:tc>
        <w:tc>
          <w:tcPr>
            <w:tcW w:w="3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19,864</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GOODWILL, less accumulated amortization of $1,851 and $4,619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163,126</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273,098</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NONCURRENT ASSETS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1,707</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9,631</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assets ..............................................</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$287,780</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$490,994</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ind w:right="2557"/>
              <w:spacing w:after="0" w:line="191" w:lineRule="exact"/>
              <w:rPr>
                <w:sz w:val="20"/>
                <w:szCs w:val="20"/>
                <w:color w:val="auto"/>
              </w:rPr>
            </w:pPr>
            <w:r>
              <w:rPr>
                <w:rFonts w:ascii="Courier New" w:cs="Courier New" w:eastAsia="Courier New" w:hAnsi="Courier New"/>
                <w:sz w:val="17"/>
                <w:szCs w:val="17"/>
                <w:color w:val="auto"/>
              </w:rPr>
              <w:t>LIABILITIES AND STOCKHOLDERS' EQUITY</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Current maturities of long-term debt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869</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476</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22,805</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41,564</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compensation and benefits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5,622</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12,787</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Billings in excess of costs and estimated earnings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10,100</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23,406</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taxes payable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4,928</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4,129</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Other current liabilities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9,302</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16,150</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liabilities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53,626</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98,512</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960</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591</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LONG-TERM DEBT, NET OF CURRENT MATURITIES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20,326</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104,797</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LONG-TERM LIABILITIES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358</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liabilities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75,112</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204,258</w:t>
            </w: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COMMITMENTS AND CONTINGENCIES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spacing w:after="0" w:line="191" w:lineRule="exact"/>
              <w:rPr>
                <w:sz w:val="20"/>
                <w:szCs w:val="20"/>
                <w:color w:val="auto"/>
              </w:rPr>
            </w:pPr>
            <w:r>
              <w:rPr>
                <w:rFonts w:ascii="Courier New" w:cs="Courier New" w:eastAsia="Courier New" w:hAnsi="Courier New"/>
                <w:sz w:val="17"/>
                <w:szCs w:val="17"/>
                <w:color w:val="auto"/>
              </w:rPr>
              <w:t>STOCKHOLDERS' EQUITY:</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Preferred Stock $.01 per 5,000,000 shares authorized, none</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issued and outstanding ........................................</w:t>
            </w:r>
          </w:p>
        </w:tc>
        <w:tc>
          <w:tcPr>
            <w:tcW w:w="3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Common stock, $.01 par, 102,969,912 shares authorized, 26,575,669</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and 31,212,226 shares issued and outstanding, respectively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266</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312</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Additional paid-in capital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205,709</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268,012</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Retained earnings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6,693</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18,412</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stockholders' equity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212,668</w:t>
            </w:r>
          </w:p>
        </w:tc>
        <w:tc>
          <w:tcPr>
            <w:tcW w:w="300" w:type="dxa"/>
            <w:vAlign w:val="bottom"/>
          </w:tcPr>
          <w:p>
            <w:pPr>
              <w:spacing w:after="0"/>
              <w:rPr>
                <w:sz w:val="16"/>
                <w:szCs w:val="16"/>
                <w:color w:val="auto"/>
              </w:rPr>
            </w:pPr>
          </w:p>
        </w:tc>
        <w:tc>
          <w:tcPr>
            <w:tcW w:w="9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5"/>
              </w:rPr>
              <w:t>286,736</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8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liabilities and stockholders' equity ................</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$287,780</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$490,994</w:t>
            </w:r>
          </w:p>
        </w:tc>
      </w:tr>
      <w:tr>
        <w:trPr>
          <w:trHeight w:val="191"/>
        </w:trPr>
        <w:tc>
          <w:tcPr>
            <w:tcW w:w="6820" w:type="dxa"/>
            <w:vAlign w:val="bottom"/>
          </w:tcPr>
          <w:p>
            <w:pPr>
              <w:spacing w:after="0"/>
              <w:rPr>
                <w:sz w:val="16"/>
                <w:szCs w:val="16"/>
                <w:color w:val="auto"/>
              </w:rPr>
            </w:pP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Reflects a 121.1387-for-one stock split effective on March 19, 1997</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these</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492" w:right="1440" w:bottom="1440" w:gutter="0" w:footer="0" w:header="0"/>
        </w:sectPr>
      </w:pPr>
    </w:p>
    <w:bookmarkStart w:id="7" w:name="page8"/>
    <w:bookmarkEnd w:id="7"/>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CONDENSED CONSOLIDATED STATEMENTS OF OPERATIONS</w:t>
      </w:r>
    </w:p>
    <w:p>
      <w:pPr>
        <w:jc w:val="center"/>
        <w:ind w:right="2359"/>
        <w:spacing w:after="0" w:line="238" w:lineRule="auto"/>
        <w:rPr>
          <w:sz w:val="20"/>
          <w:szCs w:val="20"/>
          <w:color w:val="auto"/>
        </w:rPr>
      </w:pPr>
      <w:r>
        <w:rPr>
          <w:rFonts w:ascii="Courier New" w:cs="Courier New" w:eastAsia="Courier New" w:hAnsi="Courier New"/>
          <w:sz w:val="17"/>
          <w:szCs w:val="17"/>
          <w:color w:val="auto"/>
        </w:rPr>
        <w:t>(IN THOUSANDS, EXCEPT PER SHARE DATA)</w:t>
      </w:r>
    </w:p>
    <w:p>
      <w:pPr>
        <w:jc w:val="center"/>
        <w:ind w:right="2359"/>
        <w:spacing w:after="0"/>
        <w:rPr>
          <w:sz w:val="20"/>
          <w:szCs w:val="20"/>
          <w:color w:val="auto"/>
        </w:rPr>
      </w:pPr>
      <w:r>
        <w:rPr>
          <w:rFonts w:ascii="Courier New" w:cs="Courier New" w:eastAsia="Courier New" w:hAnsi="Courier New"/>
          <w:sz w:val="17"/>
          <w:szCs w:val="17"/>
          <w:color w:val="auto"/>
        </w:rPr>
        <w:t>(UNAUDITED)</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gridSpan w:val="3"/>
          </w:tcPr>
          <w:p>
            <w:pPr>
              <w:jc w:val="right"/>
              <w:ind w:right="277"/>
              <w:spacing w:after="0"/>
              <w:rPr>
                <w:sz w:val="20"/>
                <w:szCs w:val="20"/>
                <w:color w:val="auto"/>
              </w:rPr>
            </w:pPr>
            <w:r>
              <w:rPr>
                <w:rFonts w:ascii="Courier New" w:cs="Courier New" w:eastAsia="Courier New" w:hAnsi="Courier New"/>
                <w:sz w:val="17"/>
                <w:szCs w:val="17"/>
                <w:color w:val="auto"/>
                <w:w w:val="95"/>
              </w:rPr>
              <w:t>THREE MONTHS ENDED</w:t>
            </w:r>
          </w:p>
        </w:tc>
        <w:tc>
          <w:tcPr>
            <w:tcW w:w="240" w:type="dxa"/>
            <w:vAlign w:val="bottom"/>
          </w:tcPr>
          <w:p>
            <w:pPr>
              <w:spacing w:after="0"/>
              <w:rPr>
                <w:sz w:val="16"/>
                <w:szCs w:val="16"/>
                <w:color w:val="auto"/>
              </w:rPr>
            </w:pPr>
          </w:p>
        </w:tc>
        <w:tc>
          <w:tcPr>
            <w:tcW w:w="2100" w:type="dxa"/>
            <w:vAlign w:val="bottom"/>
            <w:gridSpan w:val="3"/>
          </w:tcPr>
          <w:p>
            <w:pPr>
              <w:jc w:val="right"/>
              <w:ind w:right="317"/>
              <w:spacing w:after="0"/>
              <w:rPr>
                <w:sz w:val="20"/>
                <w:szCs w:val="20"/>
                <w:color w:val="auto"/>
              </w:rPr>
            </w:pPr>
            <w:r>
              <w:rPr>
                <w:rFonts w:ascii="Courier New" w:cs="Courier New" w:eastAsia="Courier New" w:hAnsi="Courier New"/>
                <w:sz w:val="17"/>
                <w:szCs w:val="17"/>
                <w:color w:val="auto"/>
              </w:rPr>
              <w:t>SIX MONTHS ENDED</w:t>
            </w:r>
          </w:p>
        </w:tc>
      </w:tr>
      <w:tr>
        <w:trPr>
          <w:trHeight w:val="191"/>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JUNE</w:t>
            </w:r>
          </w:p>
        </w:tc>
        <w:tc>
          <w:tcPr>
            <w:tcW w:w="120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30,</w:t>
            </w:r>
          </w:p>
        </w:tc>
        <w:tc>
          <w:tcPr>
            <w:tcW w:w="240" w:type="dxa"/>
            <w:vAlign w:val="bottom"/>
          </w:tcPr>
          <w:p>
            <w:pPr>
              <w:spacing w:after="0"/>
              <w:rPr>
                <w:sz w:val="16"/>
                <w:szCs w:val="16"/>
                <w:color w:val="auto"/>
              </w:rPr>
            </w:pPr>
          </w:p>
        </w:tc>
        <w:tc>
          <w:tcPr>
            <w:tcW w:w="2100" w:type="dxa"/>
            <w:vAlign w:val="bottom"/>
            <w:gridSpan w:val="3"/>
          </w:tcPr>
          <w:p>
            <w:pPr>
              <w:jc w:val="right"/>
              <w:ind w:right="617"/>
              <w:spacing w:after="0" w:line="191" w:lineRule="exact"/>
              <w:rPr>
                <w:sz w:val="20"/>
                <w:szCs w:val="20"/>
                <w:color w:val="auto"/>
              </w:rPr>
            </w:pPr>
            <w:r>
              <w:rPr>
                <w:rFonts w:ascii="Courier New" w:cs="Courier New" w:eastAsia="Courier New" w:hAnsi="Courier New"/>
                <w:sz w:val="17"/>
                <w:szCs w:val="17"/>
                <w:color w:val="auto"/>
              </w:rPr>
              <w:t>JUNE 30,</w:t>
            </w:r>
          </w:p>
        </w:tc>
      </w:tr>
      <w:tr>
        <w:trPr>
          <w:trHeight w:val="191"/>
        </w:trPr>
        <w:tc>
          <w:tcPr>
            <w:tcW w:w="37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4"/>
              </w:rPr>
              <w:t>---------------------</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34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3"/>
              </w:rPr>
              <w:t>1997</w:t>
            </w:r>
          </w:p>
        </w:tc>
        <w:tc>
          <w:tcPr>
            <w:tcW w:w="200" w:type="dxa"/>
            <w:vAlign w:val="bottom"/>
          </w:tcPr>
          <w:p>
            <w:pPr>
              <w:spacing w:after="0"/>
              <w:rPr>
                <w:sz w:val="16"/>
                <w:szCs w:val="16"/>
                <w:color w:val="auto"/>
              </w:rPr>
            </w:pPr>
          </w:p>
        </w:tc>
        <w:tc>
          <w:tcPr>
            <w:tcW w:w="10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1998</w:t>
            </w:r>
          </w:p>
        </w:tc>
        <w:tc>
          <w:tcPr>
            <w:tcW w:w="24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1997</w:t>
            </w:r>
          </w:p>
        </w:tc>
        <w:tc>
          <w:tcPr>
            <w:tcW w:w="280" w:type="dxa"/>
            <w:vAlign w:val="bottom"/>
          </w:tcPr>
          <w:p>
            <w:pPr>
              <w:spacing w:after="0"/>
              <w:rPr>
                <w:sz w:val="16"/>
                <w:szCs w:val="16"/>
                <w:color w:val="auto"/>
              </w:rPr>
            </w:pPr>
          </w:p>
        </w:tc>
        <w:tc>
          <w:tcPr>
            <w:tcW w:w="8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740" w:type="dxa"/>
            <w:vAlign w:val="bottom"/>
          </w:tcPr>
          <w:p>
            <w:pPr>
              <w:spacing w:after="0"/>
              <w:rPr>
                <w:sz w:val="20"/>
                <w:szCs w:val="20"/>
                <w:color w:val="auto"/>
              </w:rPr>
            </w:pPr>
            <w:r>
              <w:rPr>
                <w:rFonts w:ascii="Courier New" w:cs="Courier New" w:eastAsia="Courier New" w:hAnsi="Courier New"/>
                <w:sz w:val="17"/>
                <w:szCs w:val="17"/>
                <w:color w:val="auto"/>
              </w:rPr>
              <w:t>REVENUES ...........................</w:t>
            </w:r>
          </w:p>
        </w:tc>
        <w:tc>
          <w:tcPr>
            <w:tcW w:w="128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rPr>
              <w:t>$ 29,111</w:t>
            </w:r>
          </w:p>
        </w:tc>
        <w:tc>
          <w:tcPr>
            <w:tcW w:w="120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$ 176,737</w:t>
            </w:r>
          </w:p>
        </w:tc>
        <w:tc>
          <w:tcPr>
            <w:tcW w:w="1200" w:type="dxa"/>
            <w:vAlign w:val="bottom"/>
            <w:gridSpan w:val="2"/>
          </w:tcPr>
          <w:p>
            <w:pPr>
              <w:jc w:val="right"/>
              <w:ind w:right="177"/>
              <w:spacing w:after="0"/>
              <w:rPr>
                <w:sz w:val="20"/>
                <w:szCs w:val="20"/>
                <w:color w:val="auto"/>
              </w:rPr>
            </w:pPr>
            <w:r>
              <w:rPr>
                <w:rFonts w:ascii="Courier New" w:cs="Courier New" w:eastAsia="Courier New" w:hAnsi="Courier New"/>
                <w:sz w:val="17"/>
                <w:szCs w:val="17"/>
                <w:color w:val="auto"/>
              </w:rPr>
              <w:t>$ 55,513</w:t>
            </w:r>
          </w:p>
        </w:tc>
        <w:tc>
          <w:tcPr>
            <w:tcW w:w="11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$ 294,575</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SERVICES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w w:val="94"/>
              </w:rPr>
              <w:t>20,410</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132,203</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40,220</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221,613</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Gross profit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8,701</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44,534</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15,293</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72,962</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SELLING, GENERAL AND ADMINISTRATIVE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EXPENSES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6,841</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26,712</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26,327</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47,407</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GOODWILL AMORTIZATION ..............</w:t>
            </w:r>
          </w:p>
        </w:tc>
        <w:tc>
          <w:tcPr>
            <w:tcW w:w="340" w:type="dxa"/>
            <w:vAlign w:val="bottom"/>
          </w:tcPr>
          <w:p>
            <w:pPr>
              <w:spacing w:after="0"/>
              <w:rPr>
                <w:sz w:val="16"/>
                <w:szCs w:val="16"/>
                <w:color w:val="auto"/>
              </w:rPr>
            </w:pPr>
          </w:p>
        </w:tc>
        <w:tc>
          <w:tcPr>
            <w:tcW w:w="9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1,598</w:t>
            </w:r>
          </w:p>
        </w:tc>
        <w:tc>
          <w:tcPr>
            <w:tcW w:w="24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2,768</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Operating income (expense)</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1,860</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16,224</w:t>
            </w:r>
          </w:p>
        </w:tc>
        <w:tc>
          <w:tcPr>
            <w:tcW w:w="2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(11,034)</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22,787</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INCOME (EXPENSE):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Interest income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97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184</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182</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378</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Interest expense .............</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(103)</w:t>
            </w:r>
          </w:p>
        </w:tc>
        <w:tc>
          <w:tcPr>
            <w:tcW w:w="2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(1,576)</w:t>
            </w:r>
          </w:p>
        </w:tc>
        <w:tc>
          <w:tcPr>
            <w:tcW w:w="2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(170)</w:t>
            </w:r>
          </w:p>
        </w:tc>
        <w:tc>
          <w:tcPr>
            <w:tcW w:w="2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(2,353)</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Other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42</w:t>
            </w:r>
          </w:p>
        </w:tc>
        <w:tc>
          <w:tcPr>
            <w:tcW w:w="2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94</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Other income (expense)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w:t>
            </w:r>
          </w:p>
        </w:tc>
        <w:tc>
          <w:tcPr>
            <w:tcW w:w="200" w:type="dxa"/>
            <w:vAlign w:val="bottom"/>
          </w:tcPr>
          <w:p>
            <w:pPr>
              <w:spacing w:after="0"/>
              <w:rPr>
                <w:sz w:val="16"/>
                <w:szCs w:val="16"/>
                <w:color w:val="auto"/>
              </w:rPr>
            </w:pPr>
          </w:p>
        </w:tc>
        <w:tc>
          <w:tcPr>
            <w:tcW w:w="10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(1,350)</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w:t>
            </w:r>
          </w:p>
        </w:tc>
        <w:tc>
          <w:tcPr>
            <w:tcW w:w="2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(1,881)</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(LOSS) BEFORE INCOME TAXES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1,861</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14,874</w:t>
            </w:r>
          </w:p>
        </w:tc>
        <w:tc>
          <w:tcPr>
            <w:tcW w:w="2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(11,029)</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20,906</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PROVISION (BENEFIT) FOR INCOME TAXES</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604</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6,533</w:t>
            </w:r>
          </w:p>
        </w:tc>
        <w:tc>
          <w:tcPr>
            <w:tcW w:w="240" w:type="dxa"/>
            <w:vAlign w:val="bottom"/>
          </w:tcPr>
          <w:p>
            <w:pPr>
              <w:spacing w:after="0"/>
              <w:rPr>
                <w:sz w:val="16"/>
                <w:szCs w:val="16"/>
                <w:color w:val="auto"/>
              </w:rPr>
            </w:pP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(145)</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9,187</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NET INCOME (LOSS) ..................</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1,257</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8,341</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$(10,884)</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11,719</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(LOSS) PER SHARE: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Basic ........................</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.28</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(1.24)</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Diluted ......................</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.14</w:t>
            </w:r>
          </w:p>
        </w:tc>
        <w:tc>
          <w:tcPr>
            <w:tcW w:w="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.27</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(1.24)</w:t>
            </w:r>
          </w:p>
        </w:tc>
        <w:tc>
          <w:tcPr>
            <w:tcW w:w="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USED IN COMPUTING NET INCOME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740" w:type="dxa"/>
            <w:vAlign w:val="bottom"/>
          </w:tcPr>
          <w:p>
            <w:pPr>
              <w:jc w:val="right"/>
              <w:ind w:right="1657"/>
              <w:spacing w:after="0" w:line="191" w:lineRule="exact"/>
              <w:rPr>
                <w:sz w:val="20"/>
                <w:szCs w:val="20"/>
                <w:color w:val="auto"/>
              </w:rPr>
            </w:pPr>
            <w:r>
              <w:rPr>
                <w:rFonts w:ascii="Courier New" w:cs="Courier New" w:eastAsia="Courier New" w:hAnsi="Courier New"/>
                <w:sz w:val="17"/>
                <w:szCs w:val="17"/>
                <w:color w:val="auto"/>
              </w:rPr>
              <w:t>(LOSS) PER SHARE:</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Basic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8,747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30,258</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8,747</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29,095</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Diluted ......................</w:t>
            </w:r>
          </w:p>
        </w:tc>
        <w:tc>
          <w:tcPr>
            <w:tcW w:w="34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8,747</w:t>
            </w:r>
          </w:p>
        </w:tc>
        <w:tc>
          <w:tcPr>
            <w:tcW w:w="200" w:type="dxa"/>
            <w:vAlign w:val="bottom"/>
          </w:tcPr>
          <w:p>
            <w:pPr>
              <w:spacing w:after="0"/>
              <w:rPr>
                <w:sz w:val="16"/>
                <w:szCs w:val="16"/>
                <w:color w:val="auto"/>
              </w:rPr>
            </w:pPr>
          </w:p>
        </w:tc>
        <w:tc>
          <w:tcPr>
            <w:tcW w:w="10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30,842</w:t>
            </w:r>
          </w:p>
        </w:tc>
        <w:tc>
          <w:tcPr>
            <w:tcW w:w="240" w:type="dxa"/>
            <w:vAlign w:val="bottom"/>
          </w:tcPr>
          <w:p>
            <w:pPr>
              <w:spacing w:after="0"/>
              <w:rPr>
                <w:sz w:val="16"/>
                <w:szCs w:val="16"/>
                <w:color w:val="auto"/>
              </w:rPr>
            </w:pPr>
          </w:p>
        </w:tc>
        <w:tc>
          <w:tcPr>
            <w:tcW w:w="9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8,747</w:t>
            </w:r>
          </w:p>
        </w:tc>
        <w:tc>
          <w:tcPr>
            <w:tcW w:w="280" w:type="dxa"/>
            <w:vAlign w:val="bottom"/>
          </w:tcPr>
          <w:p>
            <w:pPr>
              <w:spacing w:after="0"/>
              <w:rPr>
                <w:sz w:val="16"/>
                <w:szCs w:val="16"/>
                <w:color w:val="auto"/>
              </w:rPr>
            </w:pPr>
          </w:p>
        </w:tc>
        <w:tc>
          <w:tcPr>
            <w:tcW w:w="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29,598</w:t>
            </w:r>
          </w:p>
        </w:tc>
      </w:tr>
      <w:tr>
        <w:trPr>
          <w:trHeight w:val="191"/>
        </w:trPr>
        <w:tc>
          <w:tcPr>
            <w:tcW w:w="3740" w:type="dxa"/>
            <w:vAlign w:val="bottom"/>
          </w:tcPr>
          <w:p>
            <w:pPr>
              <w:spacing w:after="0"/>
              <w:rPr>
                <w:sz w:val="16"/>
                <w:szCs w:val="16"/>
                <w:color w:val="auto"/>
              </w:rPr>
            </w:pPr>
          </w:p>
        </w:tc>
        <w:tc>
          <w:tcPr>
            <w:tcW w:w="12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Reflects a 121.1387-for-one stock split effective on March 19,1997</w:t>
      </w:r>
    </w:p>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these</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492" w:right="1440" w:bottom="1440" w:gutter="0" w:footer="0" w:header="0"/>
        </w:sectPr>
      </w:pPr>
    </w:p>
    <w:bookmarkStart w:id="8" w:name="page9"/>
    <w:bookmarkEnd w:id="8"/>
    <w:p>
      <w:pPr>
        <w:jc w:val="center"/>
        <w:ind w:right="3080"/>
        <w:spacing w:after="0"/>
        <w:rPr>
          <w:sz w:val="20"/>
          <w:szCs w:val="20"/>
          <w:color w:val="auto"/>
        </w:rPr>
      </w:pPr>
      <w:r>
        <w:rPr>
          <w:rFonts w:ascii="Courier New" w:cs="Courier New" w:eastAsia="Courier New" w:hAnsi="Courier New"/>
          <w:sz w:val="17"/>
          <w:szCs w:val="17"/>
          <w:color w:val="auto"/>
        </w:rPr>
        <w:t>COMFORT SYSTEMS USA, INC.</w:t>
      </w:r>
    </w:p>
    <w:p>
      <w:pPr>
        <w:jc w:val="center"/>
        <w:ind w:right="3080"/>
        <w:spacing w:after="0" w:line="238" w:lineRule="auto"/>
        <w:rPr>
          <w:sz w:val="20"/>
          <w:szCs w:val="20"/>
          <w:color w:val="auto"/>
        </w:rPr>
      </w:pPr>
      <w:r>
        <w:rPr>
          <w:rFonts w:ascii="Courier New" w:cs="Courier New" w:eastAsia="Courier New" w:hAnsi="Courier New"/>
          <w:sz w:val="17"/>
          <w:szCs w:val="17"/>
          <w:color w:val="auto"/>
        </w:rPr>
        <w:t>CONDENSED CONSOLIDATED STATEMENTS OF STOCKHOLDERS' EQUITY</w:t>
      </w:r>
    </w:p>
    <w:p>
      <w:pPr>
        <w:jc w:val="center"/>
        <w:ind w:right="2980"/>
        <w:spacing w:after="0" w:line="238" w:lineRule="auto"/>
        <w:rPr>
          <w:sz w:val="20"/>
          <w:szCs w:val="20"/>
          <w:color w:val="auto"/>
        </w:rPr>
      </w:pPr>
      <w:r>
        <w:rPr>
          <w:rFonts w:ascii="Courier New" w:cs="Courier New" w:eastAsia="Courier New" w:hAnsi="Courier New"/>
          <w:sz w:val="17"/>
          <w:szCs w:val="17"/>
          <w:color w:val="auto"/>
        </w:rPr>
        <w:t>(IN THOUSANDS, EXCEPT SHARE AMOUNTS)</w:t>
      </w:r>
    </w:p>
    <w:tbl>
      <w:tblPr>
        <w:tblLayout w:type="fixed"/>
        <w:tblInd w:w="0" w:type="dxa"/>
        <w:tblCellMar>
          <w:top w:w="0" w:type="dxa"/>
          <w:left w:w="0" w:type="dxa"/>
          <w:bottom w:w="0" w:type="dxa"/>
          <w:right w:w="0" w:type="dxa"/>
        </w:tblCellMar>
      </w:tblPr>
      <w:tr>
        <w:trPr>
          <w:trHeight w:val="192"/>
        </w:trPr>
        <w:tc>
          <w:tcPr>
            <w:tcW w:w="472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(UNAUDITED)</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74"/>
        </w:trPr>
        <w:tc>
          <w:tcPr>
            <w:tcW w:w="4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gridSpan w:val="2"/>
          </w:tcPr>
          <w:p>
            <w:pPr>
              <w:jc w:val="right"/>
              <w:ind w:right="57"/>
              <w:spacing w:after="0"/>
              <w:rPr>
                <w:sz w:val="20"/>
                <w:szCs w:val="20"/>
                <w:color w:val="auto"/>
              </w:rPr>
            </w:pPr>
            <w:r>
              <w:rPr>
                <w:rFonts w:ascii="Courier New" w:cs="Courier New" w:eastAsia="Courier New" w:hAnsi="Courier New"/>
                <w:sz w:val="17"/>
                <w:szCs w:val="17"/>
                <w:color w:val="auto"/>
              </w:rPr>
              <w:t>ADDITIONAL</w:t>
            </w:r>
          </w:p>
        </w:tc>
        <w:tc>
          <w:tcPr>
            <w:tcW w:w="130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RETAINED</w:t>
            </w:r>
          </w:p>
        </w:tc>
        <w:tc>
          <w:tcPr>
            <w:tcW w:w="300" w:type="dxa"/>
            <w:vAlign w:val="bottom"/>
          </w:tcPr>
          <w:p>
            <w:pPr>
              <w:spacing w:after="0"/>
              <w:rPr>
                <w:sz w:val="24"/>
                <w:szCs w:val="24"/>
                <w:color w:val="auto"/>
              </w:rPr>
            </w:pPr>
          </w:p>
        </w:tc>
        <w:tc>
          <w:tcPr>
            <w:tcW w:w="12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TOTAL</w:t>
            </w:r>
          </w:p>
        </w:tc>
      </w:tr>
      <w:tr>
        <w:trPr>
          <w:trHeight w:val="191"/>
        </w:trPr>
        <w:tc>
          <w:tcPr>
            <w:tcW w:w="4720" w:type="dxa"/>
            <w:vAlign w:val="bottom"/>
          </w:tcPr>
          <w:p>
            <w:pPr>
              <w:spacing w:after="0"/>
              <w:rPr>
                <w:sz w:val="16"/>
                <w:szCs w:val="16"/>
                <w:color w:val="auto"/>
              </w:rPr>
            </w:pPr>
          </w:p>
        </w:tc>
        <w:tc>
          <w:tcPr>
            <w:tcW w:w="2140" w:type="dxa"/>
            <w:vAlign w:val="bottom"/>
            <w:gridSpan w:val="3"/>
          </w:tcPr>
          <w:p>
            <w:pPr>
              <w:jc w:val="right"/>
              <w:ind w:right="317"/>
              <w:spacing w:after="0" w:line="191" w:lineRule="exact"/>
              <w:rPr>
                <w:sz w:val="20"/>
                <w:szCs w:val="20"/>
                <w:color w:val="auto"/>
              </w:rPr>
            </w:pPr>
            <w:r>
              <w:rPr>
                <w:rFonts w:ascii="Courier New" w:cs="Courier New" w:eastAsia="Courier New" w:hAnsi="Courier New"/>
                <w:sz w:val="17"/>
                <w:szCs w:val="17"/>
                <w:color w:val="auto"/>
              </w:rPr>
              <w:t>COMMON STOCK</w:t>
            </w:r>
          </w:p>
        </w:tc>
        <w:tc>
          <w:tcPr>
            <w:tcW w:w="12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PAID-IN</w:t>
            </w:r>
          </w:p>
        </w:tc>
        <w:tc>
          <w:tcPr>
            <w:tcW w:w="13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EARNINGS</w:t>
            </w:r>
          </w:p>
        </w:tc>
        <w:tc>
          <w:tcPr>
            <w:tcW w:w="15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STOCKHOLDERS'</w:t>
            </w:r>
          </w:p>
        </w:tc>
      </w:tr>
      <w:tr>
        <w:trPr>
          <w:trHeight w:val="191"/>
        </w:trPr>
        <w:tc>
          <w:tcPr>
            <w:tcW w:w="4720" w:type="dxa"/>
            <w:vAlign w:val="bottom"/>
          </w:tcPr>
          <w:p>
            <w:pPr>
              <w:spacing w:after="0"/>
              <w:rPr>
                <w:sz w:val="16"/>
                <w:szCs w:val="16"/>
                <w:color w:val="auto"/>
              </w:rPr>
            </w:pP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SHARES</w:t>
            </w:r>
          </w:p>
        </w:tc>
        <w:tc>
          <w:tcPr>
            <w:tcW w:w="8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AMOUNT</w:t>
            </w:r>
          </w:p>
        </w:tc>
        <w:tc>
          <w:tcPr>
            <w:tcW w:w="30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CAPITAL</w:t>
            </w:r>
          </w:p>
        </w:tc>
        <w:tc>
          <w:tcPr>
            <w:tcW w:w="13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(DEFICIT)</w:t>
            </w:r>
          </w:p>
        </w:tc>
        <w:tc>
          <w:tcPr>
            <w:tcW w:w="300" w:type="dxa"/>
            <w:vAlign w:val="bottom"/>
          </w:tcPr>
          <w:p>
            <w:pPr>
              <w:spacing w:after="0"/>
              <w:rPr>
                <w:sz w:val="16"/>
                <w:szCs w:val="16"/>
                <w:color w:val="auto"/>
              </w:rPr>
            </w:pPr>
          </w:p>
        </w:tc>
        <w:tc>
          <w:tcPr>
            <w:tcW w:w="12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EQUITY</w:t>
            </w:r>
          </w:p>
        </w:tc>
      </w:tr>
      <w:tr>
        <w:trPr>
          <w:trHeight w:val="191"/>
        </w:trPr>
        <w:tc>
          <w:tcPr>
            <w:tcW w:w="472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72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7"/>
              </w:rPr>
              <w:t>BALANCE AT DECEMBER 31, 1996 .................</w:t>
            </w:r>
          </w:p>
        </w:tc>
        <w:tc>
          <w:tcPr>
            <w:tcW w:w="13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4,628,545</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46</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96</w:t>
            </w:r>
          </w:p>
        </w:tc>
        <w:tc>
          <w:tcPr>
            <w:tcW w:w="36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11,215</w:t>
            </w:r>
          </w:p>
        </w:tc>
        <w:tc>
          <w:tcPr>
            <w:tcW w:w="3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11,357</w:t>
            </w:r>
          </w:p>
        </w:tc>
      </w:tr>
      <w:tr>
        <w:trPr>
          <w:trHeight w:val="191"/>
        </w:trPr>
        <w:tc>
          <w:tcPr>
            <w:tcW w:w="4720" w:type="dxa"/>
            <w:vAlign w:val="bottom"/>
          </w:tcPr>
          <w:p>
            <w:pPr>
              <w:jc w:val="right"/>
              <w:ind w:right="1857"/>
              <w:spacing w:after="0" w:line="191" w:lineRule="exact"/>
              <w:rPr>
                <w:sz w:val="20"/>
                <w:szCs w:val="20"/>
                <w:color w:val="auto"/>
              </w:rPr>
            </w:pPr>
            <w:r>
              <w:rPr>
                <w:rFonts w:ascii="Courier New" w:cs="Courier New" w:eastAsia="Courier New" w:hAnsi="Courier New"/>
                <w:sz w:val="17"/>
                <w:szCs w:val="17"/>
                <w:color w:val="auto"/>
              </w:rPr>
              <w:t>Issuance of Common Stock:</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Initial Public Offering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7,015,000</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79,805</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79,875</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Acquisition of Founding Companies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9,720,927</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98</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100,999</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101,097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Issuance of management shares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4,118,708</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11,556</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11,597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Acquisition of Purchased Companies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1,092,489</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13,253</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13,264</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S Corporation distributions made by certain</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Pooled Companies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(1,692)</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(1,692)</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Net loss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(2,830)</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(2,830)</w:t>
            </w:r>
          </w:p>
        </w:tc>
      </w:tr>
      <w:tr>
        <w:trPr>
          <w:trHeight w:val="191"/>
        </w:trPr>
        <w:tc>
          <w:tcPr>
            <w:tcW w:w="472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BALANCE AT DECEMBER 31, 1997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26,575,669</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266</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205,709</w:t>
            </w:r>
          </w:p>
        </w:tc>
        <w:tc>
          <w:tcPr>
            <w:tcW w:w="36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6,693</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212,668</w:t>
            </w:r>
          </w:p>
        </w:tc>
      </w:tr>
      <w:tr>
        <w:trPr>
          <w:trHeight w:val="191"/>
        </w:trPr>
        <w:tc>
          <w:tcPr>
            <w:tcW w:w="4720" w:type="dxa"/>
            <w:vAlign w:val="bottom"/>
          </w:tcPr>
          <w:p>
            <w:pPr>
              <w:jc w:val="right"/>
              <w:ind w:right="1857"/>
              <w:spacing w:after="0" w:line="191" w:lineRule="exact"/>
              <w:rPr>
                <w:sz w:val="20"/>
                <w:szCs w:val="20"/>
                <w:color w:val="auto"/>
              </w:rPr>
            </w:pPr>
            <w:r>
              <w:rPr>
                <w:rFonts w:ascii="Courier New" w:cs="Courier New" w:eastAsia="Courier New" w:hAnsi="Courier New"/>
                <w:sz w:val="17"/>
                <w:szCs w:val="17"/>
                <w:color w:val="auto"/>
              </w:rPr>
              <w:t>Issuance of Common Stock:</w:t>
            </w: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Second Public Offering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400,000</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7,608</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7,612</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Acquisition of Purchased Companies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4,236,557</w:t>
            </w:r>
          </w:p>
        </w:tc>
        <w:tc>
          <w:tcPr>
            <w:tcW w:w="300" w:type="dxa"/>
            <w:vAlign w:val="bottom"/>
          </w:tcPr>
          <w:p>
            <w:pPr>
              <w:spacing w:after="0"/>
              <w:rPr>
                <w:sz w:val="16"/>
                <w:szCs w:val="16"/>
                <w:color w:val="auto"/>
              </w:rPr>
            </w:pP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42</w:t>
            </w:r>
          </w:p>
        </w:tc>
        <w:tc>
          <w:tcPr>
            <w:tcW w:w="30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54,695</w:t>
            </w:r>
          </w:p>
        </w:tc>
        <w:tc>
          <w:tcPr>
            <w:tcW w:w="36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54,737</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Net income ................................</w:t>
            </w:r>
          </w:p>
        </w:tc>
        <w:tc>
          <w:tcPr>
            <w:tcW w:w="13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11,719</w:t>
            </w:r>
          </w:p>
        </w:tc>
        <w:tc>
          <w:tcPr>
            <w:tcW w:w="300" w:type="dxa"/>
            <w:vAlign w:val="bottom"/>
          </w:tcPr>
          <w:p>
            <w:pPr>
              <w:spacing w:after="0"/>
              <w:rPr>
                <w:sz w:val="16"/>
                <w:szCs w:val="16"/>
                <w:color w:val="auto"/>
              </w:rPr>
            </w:pP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11,719</w:t>
            </w:r>
          </w:p>
        </w:tc>
      </w:tr>
      <w:tr>
        <w:trPr>
          <w:trHeight w:val="191"/>
        </w:trPr>
        <w:tc>
          <w:tcPr>
            <w:tcW w:w="472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7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BALANCE AT JUNE 30, 1998 .....................</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31,212,226</w:t>
            </w:r>
          </w:p>
        </w:tc>
        <w:tc>
          <w:tcPr>
            <w:tcW w:w="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312</w:t>
            </w:r>
          </w:p>
        </w:tc>
        <w:tc>
          <w:tcPr>
            <w:tcW w:w="1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$ 268,012</w:t>
            </w:r>
          </w:p>
        </w:tc>
        <w:tc>
          <w:tcPr>
            <w:tcW w:w="3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18,412</w:t>
            </w:r>
          </w:p>
        </w:tc>
        <w:tc>
          <w:tcPr>
            <w:tcW w:w="3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286,736</w:t>
            </w:r>
          </w:p>
        </w:tc>
      </w:tr>
      <w:tr>
        <w:trPr>
          <w:trHeight w:val="191"/>
        </w:trPr>
        <w:tc>
          <w:tcPr>
            <w:tcW w:w="472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Reflects a 121.1387-for-one stock split effective on March 19, 1997</w:t>
      </w:r>
    </w:p>
    <w:p>
      <w:pPr>
        <w:spacing w:after="0" w:line="190"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7"/>
          <w:szCs w:val="17"/>
          <w:color w:val="auto"/>
        </w:rPr>
        <w:t>The accompanying notes are an integral part of these</w:t>
      </w:r>
    </w:p>
    <w:p>
      <w:pPr>
        <w:jc w:val="center"/>
        <w:ind w:right="2980"/>
        <w:spacing w:after="0" w:line="238" w:lineRule="auto"/>
        <w:rPr>
          <w:sz w:val="20"/>
          <w:szCs w:val="20"/>
          <w:color w:val="auto"/>
        </w:rPr>
      </w:pPr>
      <w:r>
        <w:rPr>
          <w:rFonts w:ascii="Courier New" w:cs="Courier New" w:eastAsia="Courier New" w:hAnsi="Courier New"/>
          <w:sz w:val="17"/>
          <w:szCs w:val="17"/>
          <w:color w:val="auto"/>
        </w:rPr>
        <w:t>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940"/>
          </w:cols>
          <w:pgMar w:left="240" w:top="492" w:right="719" w:bottom="1440" w:gutter="0" w:footer="0" w:header="0"/>
        </w:sectPr>
      </w:pPr>
    </w:p>
    <w:bookmarkStart w:id="9" w:name="page10"/>
    <w:bookmarkEnd w:id="9"/>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jc w:val="center"/>
        <w:ind w:right="2359"/>
        <w:spacing w:after="0" w:line="238" w:lineRule="auto"/>
        <w:rPr>
          <w:sz w:val="20"/>
          <w:szCs w:val="20"/>
          <w:color w:val="auto"/>
        </w:rPr>
      </w:pPr>
      <w:r>
        <w:rPr>
          <w:rFonts w:ascii="Courier New" w:cs="Courier New" w:eastAsia="Courier New" w:hAnsi="Courier New"/>
          <w:sz w:val="17"/>
          <w:szCs w:val="17"/>
          <w:color w:val="auto"/>
        </w:rPr>
        <w:t>CONDENSED CONSOLIDATED STATEMENTS OF CASH FLOWS</w:t>
      </w:r>
    </w:p>
    <w:p>
      <w:pPr>
        <w:jc w:val="center"/>
        <w:ind w:right="2259"/>
        <w:spacing w:after="0" w:line="238" w:lineRule="auto"/>
        <w:rPr>
          <w:sz w:val="20"/>
          <w:szCs w:val="20"/>
          <w:color w:val="auto"/>
        </w:rPr>
      </w:pPr>
      <w:r>
        <w:rPr>
          <w:rFonts w:ascii="Courier New" w:cs="Courier New" w:eastAsia="Courier New" w:hAnsi="Courier New"/>
          <w:sz w:val="17"/>
          <w:szCs w:val="17"/>
          <w:color w:val="auto"/>
        </w:rPr>
        <w:t>(IN THOUSANDS)</w:t>
      </w:r>
    </w:p>
    <w:tbl>
      <w:tblPr>
        <w:tblLayout w:type="fixed"/>
        <w:tblInd w:w="0" w:type="dxa"/>
        <w:tblCellMar>
          <w:top w:w="0" w:type="dxa"/>
          <w:left w:w="0" w:type="dxa"/>
          <w:bottom w:w="0" w:type="dxa"/>
          <w:right w:w="0" w:type="dxa"/>
        </w:tblCellMar>
      </w:tblPr>
      <w:tr>
        <w:trPr>
          <w:trHeight w:val="192"/>
        </w:trPr>
        <w:tc>
          <w:tcPr>
            <w:tcW w:w="6720" w:type="dxa"/>
            <w:vAlign w:val="bottom"/>
          </w:tcPr>
          <w:p>
            <w:pPr>
              <w:jc w:val="right"/>
              <w:ind w:right="2157"/>
              <w:spacing w:after="0"/>
              <w:rPr>
                <w:sz w:val="20"/>
                <w:szCs w:val="20"/>
                <w:color w:val="auto"/>
              </w:rPr>
            </w:pPr>
            <w:r>
              <w:rPr>
                <w:rFonts w:ascii="Courier New" w:cs="Courier New" w:eastAsia="Courier New" w:hAnsi="Courier New"/>
                <w:sz w:val="17"/>
                <w:szCs w:val="17"/>
                <w:color w:val="auto"/>
              </w:rPr>
              <w:t>(UNAUDITED)</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574"/>
        </w:trPr>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w w:val="96"/>
              </w:rPr>
              <w:t>SIX MONTHS ENDED</w:t>
            </w:r>
          </w:p>
        </w:tc>
      </w:tr>
      <w:tr>
        <w:trPr>
          <w:trHeight w:val="191"/>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2"/>
          </w:tcPr>
          <w:p>
            <w:pPr>
              <w:jc w:val="right"/>
              <w:ind w:right="717"/>
              <w:spacing w:after="0" w:line="191" w:lineRule="exact"/>
              <w:rPr>
                <w:sz w:val="20"/>
                <w:szCs w:val="20"/>
                <w:color w:val="auto"/>
              </w:rPr>
            </w:pPr>
            <w:r>
              <w:rPr>
                <w:rFonts w:ascii="Courier New" w:cs="Courier New" w:eastAsia="Courier New" w:hAnsi="Courier New"/>
                <w:sz w:val="17"/>
                <w:szCs w:val="17"/>
                <w:color w:val="auto"/>
              </w:rPr>
              <w:t>JUNE 30,</w:t>
            </w:r>
          </w:p>
        </w:tc>
      </w:tr>
      <w:tr>
        <w:trPr>
          <w:trHeight w:val="191"/>
        </w:trPr>
        <w:tc>
          <w:tcPr>
            <w:tcW w:w="6720" w:type="dxa"/>
            <w:vAlign w:val="bottom"/>
          </w:tcPr>
          <w:p>
            <w:pPr>
              <w:spacing w:after="0"/>
              <w:rPr>
                <w:sz w:val="16"/>
                <w:szCs w:val="16"/>
                <w:color w:val="auto"/>
              </w:rPr>
            </w:pPr>
          </w:p>
        </w:tc>
        <w:tc>
          <w:tcPr>
            <w:tcW w:w="224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1997</w:t>
            </w:r>
          </w:p>
        </w:tc>
        <w:tc>
          <w:tcPr>
            <w:tcW w:w="10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7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1"/>
        </w:trPr>
        <w:tc>
          <w:tcPr>
            <w:tcW w:w="67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Net income (loss)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5"/>
              </w:rPr>
              <w:t>(10,884)</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$ 11,719</w:t>
            </w:r>
          </w:p>
        </w:tc>
      </w:tr>
      <w:tr>
        <w:trPr>
          <w:trHeight w:val="191"/>
        </w:trPr>
        <w:tc>
          <w:tcPr>
            <w:tcW w:w="6720" w:type="dxa"/>
            <w:vAlign w:val="bottom"/>
          </w:tcPr>
          <w:p>
            <w:pPr>
              <w:spacing w:after="0" w:line="191" w:lineRule="exact"/>
              <w:rPr>
                <w:sz w:val="20"/>
                <w:szCs w:val="20"/>
                <w:color w:val="auto"/>
              </w:rPr>
            </w:pPr>
            <w:r>
              <w:rPr>
                <w:rFonts w:ascii="Courier New" w:cs="Courier New" w:eastAsia="Courier New" w:hAnsi="Courier New"/>
                <w:sz w:val="17"/>
                <w:szCs w:val="17"/>
                <w:color w:val="auto"/>
                <w:w w:val="99"/>
              </w:rPr>
              <w:t>Adjustments to reconcile net income (loss) to net cash provided by</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(used in) operating activities --</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Depreciation and amortization expense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562</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5,193</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Bad debt expense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45</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Compensation expense related to issuance of management shares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11,556</w:t>
            </w:r>
          </w:p>
        </w:tc>
        <w:tc>
          <w:tcPr>
            <w:tcW w:w="10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Deferred tax expense (benefit)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(691)</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Loss (gain) on sale of property and equipment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w:t>
            </w:r>
          </w:p>
        </w:tc>
      </w:tr>
      <w:tr>
        <w:trPr>
          <w:trHeight w:val="191"/>
        </w:trPr>
        <w:tc>
          <w:tcPr>
            <w:tcW w:w="67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Changes in operating assets and liabilities, net of effects of</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rPr>
              <w:t>acquisitions of Founding and Purchased Companies--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3557"/>
              <w:spacing w:after="0" w:line="191" w:lineRule="exact"/>
              <w:rPr>
                <w:sz w:val="20"/>
                <w:szCs w:val="20"/>
                <w:color w:val="auto"/>
              </w:rPr>
            </w:pPr>
            <w:r>
              <w:rPr>
                <w:rFonts w:ascii="Courier New" w:cs="Courier New" w:eastAsia="Courier New" w:hAnsi="Courier New"/>
                <w:sz w:val="17"/>
                <w:szCs w:val="17"/>
                <w:color w:val="auto"/>
              </w:rPr>
              <w:t>(Increase) decrease in --</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Receivables, net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(3,010)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(17,368)</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Inventories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111</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(1,091)</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Prepaid expenses and other current assets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961</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3,993</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Cost and estimated earnings in excess of billings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(589)</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(4,092)</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Other noncurrent assets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(4,956)</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(675)</w:t>
            </w:r>
          </w:p>
        </w:tc>
      </w:tr>
      <w:tr>
        <w:trPr>
          <w:trHeight w:val="191"/>
        </w:trPr>
        <w:tc>
          <w:tcPr>
            <w:tcW w:w="6720" w:type="dxa"/>
            <w:vAlign w:val="bottom"/>
          </w:tcPr>
          <w:p>
            <w:pPr>
              <w:jc w:val="right"/>
              <w:ind w:right="3557"/>
              <w:spacing w:after="0" w:line="191" w:lineRule="exact"/>
              <w:rPr>
                <w:sz w:val="20"/>
                <w:szCs w:val="20"/>
                <w:color w:val="auto"/>
              </w:rPr>
            </w:pPr>
            <w:r>
              <w:rPr>
                <w:rFonts w:ascii="Courier New" w:cs="Courier New" w:eastAsia="Courier New" w:hAnsi="Courier New"/>
                <w:sz w:val="17"/>
                <w:szCs w:val="17"/>
                <w:color w:val="auto"/>
              </w:rPr>
              <w:t>Increase (decrease) in --</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Accounts payable and accrued liabilities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9,470</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(10,106)</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Billings in excess of costs and estimated earnings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444</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147</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Other, net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(663)</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395</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Net cash provided by (used in) operating activities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2,363</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(12,187)</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FLOWS FROM INVESTING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Purchases of property and equipment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(803)</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(3,509)</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Proceeds from sales of property and equipment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58</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284</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Cash paid for Purchased Companies, net of cash acquired .......</w:t>
            </w:r>
          </w:p>
        </w:tc>
        <w:tc>
          <w:tcPr>
            <w:tcW w:w="2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(44,746)</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Net cash used in investing activities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(745)</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(47,971)</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FLOWS FROM FINANCING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Payments on long-term debt ....................................</w:t>
            </w:r>
          </w:p>
        </w:tc>
        <w:tc>
          <w:tcPr>
            <w:tcW w:w="240" w:type="dxa"/>
            <w:vAlign w:val="bottom"/>
          </w:tcPr>
          <w:p>
            <w:pPr>
              <w:spacing w:after="0"/>
              <w:rPr>
                <w:sz w:val="16"/>
                <w:szCs w:val="16"/>
                <w:color w:val="auto"/>
              </w:rPr>
            </w:pP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(1,607)</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(35,071)</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Borrowings of long-term debt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2,853</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79,403</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Proceeds from issuance of Common Stock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41</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7,612</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Net cash provided by financing activities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1,287</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$ 51,944</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NET INCREASE (DECREASE) IN CASH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2,905</w:t>
            </w:r>
          </w:p>
        </w:tc>
        <w:tc>
          <w:tcPr>
            <w:tcW w:w="10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(8,214)</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CASH AND CASH EQUIVALENTS, beginning of year .....................</w:t>
            </w:r>
          </w:p>
        </w:tc>
        <w:tc>
          <w:tcPr>
            <w:tcW w:w="2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6,141</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14,533</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7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CASH AND CASH EQUIVALENTS, end of year ...........................</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9,046</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6,319</w:t>
            </w:r>
          </w:p>
        </w:tc>
      </w:tr>
      <w:tr>
        <w:trPr>
          <w:trHeight w:val="191"/>
        </w:trPr>
        <w:tc>
          <w:tcPr>
            <w:tcW w:w="6720" w:type="dxa"/>
            <w:vAlign w:val="bottom"/>
          </w:tcPr>
          <w:p>
            <w:pPr>
              <w:spacing w:after="0"/>
              <w:rPr>
                <w:sz w:val="16"/>
                <w:szCs w:val="16"/>
                <w:color w:val="auto"/>
              </w:rPr>
            </w:pPr>
          </w:p>
        </w:tc>
        <w:tc>
          <w:tcPr>
            <w:tcW w:w="11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The accompanying notes are an integral part of these</w:t>
      </w:r>
    </w:p>
    <w:p>
      <w:pPr>
        <w:jc w:val="center"/>
        <w:ind w:right="2259"/>
        <w:spacing w:after="0" w:line="238" w:lineRule="auto"/>
        <w:rPr>
          <w:sz w:val="20"/>
          <w:szCs w:val="20"/>
          <w:color w:val="auto"/>
        </w:rPr>
      </w:pPr>
      <w:r>
        <w:rPr>
          <w:rFonts w:ascii="Courier New" w:cs="Courier New" w:eastAsia="Courier New" w:hAnsi="Courier New"/>
          <w:sz w:val="17"/>
          <w:szCs w:val="17"/>
          <w:color w:val="auto"/>
        </w:rPr>
        <w:t>condensed consolidated financial statements.</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492" w:right="1440" w:bottom="1440" w:gutter="0" w:footer="0" w:header="0"/>
        </w:sectPr>
      </w:pPr>
    </w:p>
    <w:bookmarkStart w:id="10" w:name="page11"/>
    <w:bookmarkEnd w:id="10"/>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jc w:val="center"/>
        <w:ind w:right="2259"/>
        <w:spacing w:after="0" w:line="238" w:lineRule="auto"/>
        <w:rPr>
          <w:sz w:val="20"/>
          <w:szCs w:val="20"/>
          <w:color w:val="auto"/>
        </w:rPr>
      </w:pPr>
      <w:r>
        <w:rPr>
          <w:rFonts w:ascii="Courier New" w:cs="Courier New" w:eastAsia="Courier New" w:hAnsi="Courier New"/>
          <w:sz w:val="17"/>
          <w:szCs w:val="17"/>
          <w:color w:val="auto"/>
        </w:rPr>
        <w:t>NOTES TO CONDENSED CONSOLIDATED FINANCIAL STATEMENTS</w:t>
      </w:r>
    </w:p>
    <w:p>
      <w:pPr>
        <w:jc w:val="center"/>
        <w:ind w:right="2359"/>
        <w:spacing w:after="0" w:line="238" w:lineRule="auto"/>
        <w:rPr>
          <w:sz w:val="20"/>
          <w:szCs w:val="20"/>
          <w:color w:val="auto"/>
        </w:rPr>
      </w:pPr>
      <w:r>
        <w:rPr>
          <w:rFonts w:ascii="Courier New" w:cs="Courier New" w:eastAsia="Courier New" w:hAnsi="Courier New"/>
          <w:sz w:val="17"/>
          <w:szCs w:val="17"/>
          <w:color w:val="auto"/>
        </w:rPr>
        <w:t>JUNE 30, 1998</w:t>
      </w:r>
    </w:p>
    <w:p>
      <w:pPr>
        <w:jc w:val="center"/>
        <w:ind w:right="2359"/>
        <w:spacing w:after="0"/>
        <w:rPr>
          <w:sz w:val="20"/>
          <w:szCs w:val="20"/>
          <w:color w:val="auto"/>
        </w:rPr>
      </w:pPr>
      <w:r>
        <w:rPr>
          <w:rFonts w:ascii="Courier New" w:cs="Courier New" w:eastAsia="Courier New" w:hAnsi="Courier New"/>
          <w:sz w:val="17"/>
          <w:szCs w:val="17"/>
          <w:color w:val="auto"/>
        </w:rPr>
        <w:t>(UNAUDITED)</w:t>
      </w:r>
    </w:p>
    <w:p>
      <w:pPr>
        <w:spacing w:after="0" w:line="189" w:lineRule="exact"/>
        <w:rPr>
          <w:sz w:val="20"/>
          <w:szCs w:val="20"/>
          <w:color w:val="auto"/>
        </w:rPr>
      </w:pPr>
    </w:p>
    <w:p>
      <w:pPr>
        <w:ind w:left="400" w:hanging="398"/>
        <w:spacing w:after="0"/>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AND ORGANIZATION:</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The Company is a national provider of comprehensive HVAC installation and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201"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On July 2, 1997, Comfort Systems completed the IPO and simultaneously acquired the 12 Founding Companies. Subsequent to the IPO and through June 30, 1998, the Company has acquired 55 HVAC and complementary businesses.</w:t>
      </w:r>
    </w:p>
    <w:p>
      <w:pPr>
        <w:spacing w:after="0" w:line="197" w:lineRule="exact"/>
        <w:rPr>
          <w:sz w:val="20"/>
          <w:szCs w:val="20"/>
          <w:color w:val="auto"/>
        </w:rPr>
      </w:pPr>
    </w:p>
    <w:p>
      <w:pPr>
        <w:ind w:right="5539" w:firstLine="2"/>
        <w:spacing w:after="0" w:line="468" w:lineRule="auto"/>
        <w:tabs>
          <w:tab w:leader="none" w:pos="39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SUMMARY OF SIGNIFICANT ACCOUNTING POLICIES: BASIS OF PRESENTATION</w:t>
      </w:r>
    </w:p>
    <w:p>
      <w:pPr>
        <w:spacing w:after="0" w:line="14" w:lineRule="exact"/>
        <w:rPr>
          <w:sz w:val="20"/>
          <w:szCs w:val="20"/>
          <w:color w:val="auto"/>
        </w:rPr>
      </w:pPr>
    </w:p>
    <w:p>
      <w:pPr>
        <w:jc w:val="both"/>
        <w:ind w:right="2559" w:firstLine="298"/>
        <w:spacing w:after="0" w:line="256" w:lineRule="auto"/>
        <w:rPr>
          <w:sz w:val="20"/>
          <w:szCs w:val="20"/>
          <w:color w:val="auto"/>
        </w:rPr>
      </w:pPr>
      <w:r>
        <w:rPr>
          <w:rFonts w:ascii="Courier New" w:cs="Courier New" w:eastAsia="Courier New" w:hAnsi="Courier New"/>
          <w:sz w:val="16"/>
          <w:szCs w:val="16"/>
          <w:color w:val="auto"/>
        </w:rPr>
        <w:t>These interim statements should be read in conjunction with the historical Consolidated Financial Statements and related notes included in the Company's Annual Report on Form 10-K for the year ended December 31, 1997.</w:t>
      </w:r>
    </w:p>
    <w:p>
      <w:pPr>
        <w:spacing w:after="0" w:line="185" w:lineRule="exact"/>
        <w:rPr>
          <w:sz w:val="20"/>
          <w:szCs w:val="20"/>
          <w:color w:val="auto"/>
        </w:rPr>
      </w:pPr>
    </w:p>
    <w:p>
      <w:pPr>
        <w:ind w:right="2459" w:firstLine="298"/>
        <w:spacing w:after="0" w:line="237" w:lineRule="auto"/>
        <w:rPr>
          <w:sz w:val="20"/>
          <w:szCs w:val="20"/>
          <w:color w:val="auto"/>
        </w:rPr>
      </w:pPr>
      <w:r>
        <w:rPr>
          <w:rFonts w:ascii="Courier New" w:cs="Courier New" w:eastAsia="Courier New" w:hAnsi="Courier New"/>
          <w:sz w:val="17"/>
          <w:szCs w:val="17"/>
          <w:color w:val="auto"/>
        </w:rPr>
        <w:t>There were no significant changes in the accounting policies of the Company during the periods presented. For a description of the significant accounting policies of the Company, refer to Note 2 of Notes to Consolidated Financial Statements of Comfort Systems included in the Company's Annual Report on Form 10-K for the year ended December 31, 1997.</w:t>
      </w:r>
    </w:p>
    <w:p>
      <w:pPr>
        <w:spacing w:after="0" w:line="197" w:lineRule="exact"/>
        <w:rPr>
          <w:sz w:val="20"/>
          <w:szCs w:val="20"/>
          <w:color w:val="auto"/>
        </w:rPr>
      </w:pPr>
    </w:p>
    <w:p>
      <w:pPr>
        <w:ind w:right="2259" w:firstLine="298"/>
        <w:spacing w:after="0" w:line="256" w:lineRule="auto"/>
        <w:rPr>
          <w:sz w:val="20"/>
          <w:szCs w:val="20"/>
          <w:color w:val="auto"/>
        </w:rPr>
      </w:pPr>
      <w:r>
        <w:rPr>
          <w:rFonts w:ascii="Courier New" w:cs="Courier New" w:eastAsia="Courier New" w:hAnsi="Courier New"/>
          <w:sz w:val="16"/>
          <w:szCs w:val="16"/>
          <w:color w:val="auto"/>
        </w:rPr>
        <w:t>The regulations for unaudited interim financial statements such as those in this report allow certain information and footnotes required by generally accepted accounting principles for year end financial statements to be excluded.</w:t>
      </w:r>
    </w:p>
    <w:p>
      <w:pPr>
        <w:spacing w:after="0" w:line="185" w:lineRule="exact"/>
        <w:rPr>
          <w:sz w:val="20"/>
          <w:szCs w:val="20"/>
          <w:color w:val="auto"/>
        </w:rPr>
      </w:pPr>
    </w:p>
    <w:p>
      <w:pPr>
        <w:jc w:val="both"/>
        <w:ind w:right="2559" w:firstLine="298"/>
        <w:spacing w:after="0" w:line="236" w:lineRule="auto"/>
        <w:rPr>
          <w:sz w:val="20"/>
          <w:szCs w:val="20"/>
          <w:color w:val="auto"/>
        </w:rPr>
      </w:pPr>
      <w:r>
        <w:rPr>
          <w:rFonts w:ascii="Courier New" w:cs="Courier New" w:eastAsia="Courier New" w:hAnsi="Courier New"/>
          <w:sz w:val="17"/>
          <w:szCs w:val="17"/>
          <w:color w:val="auto"/>
        </w:rPr>
        <w:t>The Company believes all adjustments necessary for a fair presentation of these interim statements have been included and are of a normal and recurring nature.</w:t>
      </w:r>
    </w:p>
    <w:p>
      <w:pPr>
        <w:spacing w:after="0" w:line="197"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The results of operations for interim periods are not necessarily indicative of the results for the fiscal year.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FLOW INFORMATION</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Cash paid for interest for the six months ended June 30, 1997 and 1998 was approximately $0.2 million and $0.1 million, respectively. Cash paid for income taxes for the six months ended June 30, 1997 and 1998 was approximately $0.5 million and $3.6 million, respectively.</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492" w:right="1440" w:bottom="1440" w:gutter="0" w:footer="0" w:header="0"/>
        </w:sectPr>
      </w:pPr>
    </w:p>
    <w:bookmarkStart w:id="11" w:name="page12"/>
    <w:bookmarkEnd w:id="11"/>
    <w:p>
      <w:pPr>
        <w:ind w:right="7639" w:firstLine="2"/>
        <w:spacing w:after="0" w:line="468" w:lineRule="auto"/>
        <w:tabs>
          <w:tab w:leader="none" w:pos="398"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 POOLINGS</w:t>
      </w:r>
    </w:p>
    <w:p>
      <w:pPr>
        <w:spacing w:after="0" w:line="14"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During the second half of 1997, the Company acquired all of the outstanding stock of the 14 Pooled Companies in exchange for 4,507,406 shares of Common Stock. These acquisitions have been accounted for as poolings-of-interests as described in Note 2 of Notes to Consolidated Financial Statements of Comfort Systems included in the Company's Annual Report on Form 10-K for the year ended December 31, 1997. These companies provide HVAC and complementary services.</w:t>
      </w:r>
    </w:p>
    <w:p>
      <w:pPr>
        <w:spacing w:after="0" w:line="188" w:lineRule="exact"/>
        <w:rPr>
          <w:sz w:val="20"/>
          <w:szCs w:val="20"/>
          <w:color w:val="auto"/>
        </w:rPr>
      </w:pPr>
    </w:p>
    <w:p>
      <w:pPr>
        <w:ind w:right="2359" w:firstLine="298"/>
        <w:spacing w:after="0" w:line="235" w:lineRule="auto"/>
        <w:rPr>
          <w:sz w:val="20"/>
          <w:szCs w:val="20"/>
          <w:color w:val="auto"/>
        </w:rPr>
      </w:pPr>
      <w:r>
        <w:rPr>
          <w:rFonts w:ascii="Courier New" w:cs="Courier New" w:eastAsia="Courier New" w:hAnsi="Courier New"/>
          <w:sz w:val="17"/>
          <w:szCs w:val="17"/>
          <w:color w:val="auto"/>
        </w:rPr>
        <w:t>There were no acquisitions for the six months ended June 30, 1998 which were accounted for as poolings-of-interests.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PURCHASES</w:t>
      </w:r>
    </w:p>
    <w:p>
      <w:pPr>
        <w:spacing w:after="0" w:line="196"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Simultaneous with the IPO, Comfort Systems acquired the 12 Founding Companies for $45.3 million in cash and 9,720,927 shares of Common Stock. The Founding Companies provide HVAC and complementary services.</w:t>
      </w:r>
    </w:p>
    <w:p>
      <w:pPr>
        <w:spacing w:after="0" w:line="197"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Subsequent to the IPO and through December 31, 1997, Comfort Systems acquired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of the Purchased Companies. These companies provide HVAC and complementary</w:t>
      </w:r>
    </w:p>
    <w:p>
      <w:pPr>
        <w:spacing w:after="0" w:line="238" w:lineRule="auto"/>
        <w:rPr>
          <w:sz w:val="20"/>
          <w:szCs w:val="20"/>
          <w:color w:val="auto"/>
        </w:rPr>
      </w:pPr>
      <w:r>
        <w:rPr>
          <w:rFonts w:ascii="Courier New" w:cs="Courier New" w:eastAsia="Courier New" w:hAnsi="Courier New"/>
          <w:sz w:val="17"/>
          <w:szCs w:val="17"/>
          <w:color w:val="auto"/>
        </w:rPr>
        <w:t>services. The aggregate consideration paid in these transactions was $14.5</w:t>
      </w:r>
    </w:p>
    <w:p>
      <w:pPr>
        <w:spacing w:after="0" w:line="238" w:lineRule="auto"/>
        <w:rPr>
          <w:sz w:val="20"/>
          <w:szCs w:val="20"/>
          <w:color w:val="auto"/>
        </w:rPr>
      </w:pPr>
      <w:r>
        <w:rPr>
          <w:rFonts w:ascii="Courier New" w:cs="Courier New" w:eastAsia="Courier New" w:hAnsi="Courier New"/>
          <w:sz w:val="17"/>
          <w:szCs w:val="17"/>
          <w:color w:val="auto"/>
        </w:rPr>
        <w:t>million in cash, 1,092,489 shares of Common Stock valued at $13.3 million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 million in the form of convertible subordinated notes (the "Notes"). These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are convertible at various dates in the fourth quarter of 1998 or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thereafter into 225,473 or 220,449 shares of Common Stock, respectively.</w:t>
      </w:r>
    </w:p>
    <w:p>
      <w:pPr>
        <w:spacing w:after="0" w:line="196"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For the three months ended March 31, 1998, Comfort Systems acquired 11 additional companies, which were accounted for as purchase transactions. These companies also provide HVAC and complementary services. The aggregate consideration in these transactions was $16.6 million in cash, 2,220,416 shares of Common Stock valued at $25.8 million, and $1.9 million in Notes. Approximately $1.3 million of these Notes are convertible at various dates in 2000, 2001 and 2002 into 77,800 shares of Common Stock, respectively. The allocation of the respective purchase prices to the assets assumed and liabilities acquired resulted in $43.7 million of goodwill related to the companies acquired during the first three months of 1998.</w:t>
      </w:r>
    </w:p>
    <w:p>
      <w:pPr>
        <w:spacing w:after="0" w:line="202"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For the three months ended June 30, 1998, Comfort Systems acquired 17 additional companies, which were accounted for as purchase transactions. These companies also provide HVAC and complementary services. The aggregate consideration in these transactions was $36.8 million in cash, 2,016,141 shares of Common Stock valued at $29.1 million, and $17.7 million in Notes. Approximately all of these Notes are convertible at various dates in 1999, 2000 and 2001 into 603,430 shares of Common Stock. The allocation of the respective purchase prices to the assets assumed and liabilities acquired resulted in $69.0 million of goodwill related to the companies acquired during the second quarter of 1998.</w:t>
      </w:r>
    </w:p>
    <w:p>
      <w:pPr>
        <w:spacing w:after="0" w:line="202" w:lineRule="exact"/>
        <w:rPr>
          <w:sz w:val="20"/>
          <w:szCs w:val="20"/>
          <w:color w:val="auto"/>
        </w:rPr>
      </w:pPr>
    </w:p>
    <w:p>
      <w:pPr>
        <w:jc w:val="both"/>
        <w:ind w:right="3059" w:firstLine="298"/>
        <w:spacing w:after="0" w:line="256" w:lineRule="auto"/>
        <w:rPr>
          <w:sz w:val="20"/>
          <w:szCs w:val="20"/>
          <w:color w:val="auto"/>
        </w:rPr>
      </w:pPr>
      <w:r>
        <w:rPr>
          <w:rFonts w:ascii="Courier New" w:cs="Courier New" w:eastAsia="Courier New" w:hAnsi="Courier New"/>
          <w:sz w:val="16"/>
          <w:szCs w:val="16"/>
          <w:color w:val="auto"/>
        </w:rPr>
        <w:t>The accompanying balance sheets include allocations of the respective purchase prices to the assets acquired and liabilities assumed based on preliminary estimates of fair value and is subject to final adjustment.</w:t>
      </w:r>
    </w:p>
    <w:p>
      <w:pPr>
        <w:spacing w:after="0" w:line="185"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The unaudited pro forma data presented below consists of the income statement data presented in these consolidated financial statements plus income statement data for the Founding Companies and Purchased Companies as if those companies had been acquired on January 1, 1997 through the respective dates of acquisitions (in thousands, except per share data):</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499" w:right="1440" w:bottom="1440" w:gutter="0" w:footer="0" w:header="0"/>
        </w:sectPr>
      </w:pPr>
    </w:p>
    <w:bookmarkStart w:id="12" w:name="page13"/>
    <w:bookmarkEnd w:id="12"/>
    <w:tbl>
      <w:tblPr>
        <w:tblLayout w:type="fixed"/>
        <w:tblInd w:w="60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SIX MONTHS</w:t>
            </w:r>
          </w:p>
        </w:tc>
        <w:tc>
          <w:tcPr>
            <w:tcW w:w="8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ENDED</w:t>
            </w:r>
          </w:p>
        </w:tc>
      </w:tr>
      <w:tr>
        <w:trPr>
          <w:trHeight w:val="191"/>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3"/>
          </w:tcPr>
          <w:p>
            <w:pPr>
              <w:jc w:val="right"/>
              <w:ind w:right="517"/>
              <w:spacing w:after="0" w:line="191" w:lineRule="exact"/>
              <w:rPr>
                <w:sz w:val="20"/>
                <w:szCs w:val="20"/>
                <w:color w:val="auto"/>
              </w:rPr>
            </w:pPr>
            <w:r>
              <w:rPr>
                <w:rFonts w:ascii="Courier New" w:cs="Courier New" w:eastAsia="Courier New" w:hAnsi="Courier New"/>
                <w:sz w:val="17"/>
                <w:szCs w:val="17"/>
                <w:color w:val="auto"/>
              </w:rPr>
              <w:t>JUNE 30,</w:t>
            </w:r>
          </w:p>
        </w:tc>
      </w:tr>
      <w:tr>
        <w:trPr>
          <w:trHeight w:val="191"/>
        </w:trPr>
        <w:tc>
          <w:tcPr>
            <w:tcW w:w="5020" w:type="dxa"/>
            <w:vAlign w:val="bottom"/>
          </w:tcPr>
          <w:p>
            <w:pPr>
              <w:spacing w:after="0"/>
              <w:rPr>
                <w:sz w:val="16"/>
                <w:szCs w:val="16"/>
                <w:color w:val="auto"/>
              </w:rPr>
            </w:pPr>
          </w:p>
        </w:tc>
        <w:tc>
          <w:tcPr>
            <w:tcW w:w="234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1997</w:t>
            </w:r>
          </w:p>
        </w:tc>
        <w:tc>
          <w:tcPr>
            <w:tcW w:w="1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5020" w:type="dxa"/>
            <w:vAlign w:val="bottom"/>
          </w:tcPr>
          <w:p>
            <w:pPr>
              <w:spacing w:after="0"/>
              <w:rPr>
                <w:sz w:val="16"/>
                <w:szCs w:val="16"/>
                <w:color w:val="auto"/>
              </w:rPr>
            </w:pPr>
          </w:p>
        </w:tc>
        <w:tc>
          <w:tcPr>
            <w:tcW w:w="15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(UNAUDITED)</w:t>
            </w:r>
          </w:p>
        </w:tc>
        <w:tc>
          <w:tcPr>
            <w:tcW w:w="700" w:type="dxa"/>
            <w:vAlign w:val="bottom"/>
          </w:tcPr>
          <w:p>
            <w:pPr>
              <w:spacing w:after="0"/>
              <w:rPr>
                <w:sz w:val="16"/>
                <w:szCs w:val="16"/>
                <w:color w:val="auto"/>
              </w:rPr>
            </w:pP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Revenues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w w:val="95"/>
              </w:rPr>
              <w:t>300,719</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356,886</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11,557</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10,995</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 per share - Diluted .................</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w:t>
            </w:r>
          </w:p>
        </w:tc>
        <w:tc>
          <w:tcPr>
            <w:tcW w:w="1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w:t>
            </w:r>
          </w:p>
        </w:tc>
      </w:tr>
      <w:tr>
        <w:trPr>
          <w:trHeight w:val="191"/>
        </w:trPr>
        <w:tc>
          <w:tcPr>
            <w:tcW w:w="502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used in computing net income - Diluted ..</w:t>
            </w:r>
          </w:p>
        </w:tc>
        <w:tc>
          <w:tcPr>
            <w:tcW w:w="340" w:type="dxa"/>
            <w:vAlign w:val="bottom"/>
          </w:tcPr>
          <w:p>
            <w:pPr>
              <w:spacing w:after="0"/>
              <w:rPr>
                <w:sz w:val="16"/>
                <w:szCs w:val="16"/>
                <w:color w:val="auto"/>
              </w:rPr>
            </w:pPr>
          </w:p>
        </w:tc>
        <w:tc>
          <w:tcPr>
            <w:tcW w:w="11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28,591</w:t>
            </w:r>
          </w:p>
        </w:tc>
        <w:tc>
          <w:tcPr>
            <w:tcW w:w="1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31,341</w:t>
            </w:r>
          </w:p>
        </w:tc>
      </w:tr>
    </w:tbl>
    <w:p>
      <w:pPr>
        <w:spacing w:after="0" w:line="196" w:lineRule="exact"/>
        <w:rPr>
          <w:sz w:val="20"/>
          <w:szCs w:val="20"/>
          <w:color w:val="auto"/>
        </w:rPr>
      </w:pPr>
    </w:p>
    <w:p>
      <w:pPr>
        <w:ind w:right="2259" w:firstLine="298"/>
        <w:spacing w:after="0" w:line="253" w:lineRule="auto"/>
        <w:rPr>
          <w:sz w:val="20"/>
          <w:szCs w:val="20"/>
          <w:color w:val="auto"/>
        </w:rPr>
      </w:pPr>
      <w:r>
        <w:rPr>
          <w:rFonts w:ascii="Courier New" w:cs="Courier New" w:eastAsia="Courier New" w:hAnsi="Courier New"/>
          <w:sz w:val="16"/>
          <w:szCs w:val="16"/>
          <w:color w:val="auto"/>
        </w:rPr>
        <w:t>Pro forma adjustments included in the preceding tables regarding the Acquired Companies primarily relate to (a) the Compensation Differential relating to the former owners of the Acquired Companies which they agreed would take effect as of the acquisition date, (b) pro forma compensation expense of $430,000 for the six months ended June 30, 1997, to reflect the ongoing salaries received by corporate management as though those salaries were being paid prior to the IPO,</w:t>
      </w:r>
    </w:p>
    <w:p>
      <w:pPr>
        <w:ind w:left="400" w:hanging="398"/>
        <w:spacing w:after="0" w:line="233" w:lineRule="auto"/>
        <w:tabs>
          <w:tab w:leader="none" w:pos="4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 of goodwill related to the Purchased and Founding Companies,</w:t>
      </w:r>
    </w:p>
    <w:p>
      <w:pPr>
        <w:spacing w:after="0" w:line="5" w:lineRule="exact"/>
        <w:rPr>
          <w:rFonts w:ascii="Courier New" w:cs="Courier New" w:eastAsia="Courier New" w:hAnsi="Courier New"/>
          <w:sz w:val="17"/>
          <w:szCs w:val="17"/>
          <w:color w:val="auto"/>
        </w:rPr>
      </w:pPr>
    </w:p>
    <w:p>
      <w:pPr>
        <w:ind w:right="2459" w:firstLine="2"/>
        <w:spacing w:after="0" w:line="253" w:lineRule="auto"/>
        <w:tabs>
          <w:tab w:leader="none" w:pos="39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elimination of the non-recurring, non-cash Compensation Charge of $11.6 million recorded by Comfort Systems in the first quarter of 1997 related to Common Stock issued to management of and consultants to the Company, (e) interest expense on borrowings of $22.8 million that would have been necessary to fund certain S Corporation Distributions of the Acquired Companies as if those distributions had occurred on January 1, 1997, (f) interest expense on borrowings of $53.3 million related to the purchase price of the Purchased Companies acquired during the first half of 1998, and (g) interest expense related to the subordinated convertible notes issued in connection with the acquisition of certain Acquired Companies. In addition, an incremental tax provision has been recorded as if all applicable Purchased and Founding Companies, and Pooled Companies which were C Corporations had been subject to federal and state corporate income taxes for the applicable periods presented.</w:t>
      </w:r>
    </w:p>
    <w:p>
      <w:pPr>
        <w:spacing w:after="0" w:line="194"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The pro forma combined results presented above are not necessarily indicative of actual results which might have occurred had the operations and management teams of the Company and the Acquired Companies been combined at the beginning of the periods presented.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ACQUISITIONS</w:t>
      </w:r>
    </w:p>
    <w:p>
      <w:pPr>
        <w:spacing w:after="0" w:line="196" w:lineRule="exact"/>
        <w:rPr>
          <w:sz w:val="20"/>
          <w:szCs w:val="20"/>
          <w:color w:val="auto"/>
        </w:rPr>
      </w:pPr>
    </w:p>
    <w:p>
      <w:pPr>
        <w:jc w:val="both"/>
        <w:ind w:right="3159" w:firstLine="298"/>
        <w:spacing w:after="0" w:line="253" w:lineRule="auto"/>
        <w:rPr>
          <w:sz w:val="20"/>
          <w:szCs w:val="20"/>
          <w:color w:val="auto"/>
        </w:rPr>
      </w:pPr>
      <w:r>
        <w:rPr>
          <w:rFonts w:ascii="Courier New" w:cs="Courier New" w:eastAsia="Courier New" w:hAnsi="Courier New"/>
          <w:sz w:val="16"/>
          <w:szCs w:val="16"/>
          <w:color w:val="auto"/>
        </w:rPr>
        <w:t>Subsequent to June 30, 1998, and through August 8, 1998, the Company completed 6 additional acquisitions (the "Additional Acquisitions") for approximately $8.8 million in cash and 768,664 shares of Common Stock.</w:t>
      </w:r>
    </w:p>
    <w:p>
      <w:pPr>
        <w:spacing w:after="0" w:line="1"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Annualized revenues from the businesses acquired in the Additional Acquisitions were approximately $35 million. One of these acquisitions will be accounted for as a pooling-of-interest and the remainder will be accounted for as purchase transactions.</w:t>
      </w:r>
    </w:p>
    <w:p>
      <w:pPr>
        <w:spacing w:after="0" w:line="192" w:lineRule="exact"/>
        <w:rPr>
          <w:sz w:val="20"/>
          <w:szCs w:val="20"/>
          <w:color w:val="auto"/>
        </w:rPr>
      </w:pPr>
    </w:p>
    <w:p>
      <w:pPr>
        <w:ind w:left="400" w:hanging="398"/>
        <w:spacing w:after="0"/>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OBLIGATIONS: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Long-term debt obligations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16"/>
                <w:szCs w:val="16"/>
                <w:color w:val="auto"/>
              </w:rPr>
            </w:pPr>
          </w:p>
        </w:tc>
        <w:tc>
          <w:tcPr>
            <w:tcW w:w="20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DECEMBER 31,</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JUNE 30,</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1997</w:t>
            </w:r>
          </w:p>
        </w:tc>
        <w:tc>
          <w:tcPr>
            <w:tcW w:w="1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Revolving credit facility ..................</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$ 15,300</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$ 78,100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Notes ......................................</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4,978</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24,639</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917</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2,534</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Total long-term ............................</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21,195</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105,273</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current maturities ..................</w:t>
            </w: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869</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476</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$ 20,326</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$104,797</w:t>
            </w:r>
          </w:p>
        </w:tc>
      </w:tr>
      <w:tr>
        <w:trPr>
          <w:trHeight w:val="191"/>
        </w:trPr>
        <w:tc>
          <w:tcPr>
            <w:tcW w:w="4820" w:type="dxa"/>
            <w:vAlign w:val="bottom"/>
          </w:tcPr>
          <w:p>
            <w:pPr>
              <w:spacing w:after="0"/>
              <w:rPr>
                <w:sz w:val="16"/>
                <w:szCs w:val="16"/>
                <w:color w:val="auto"/>
              </w:rPr>
            </w:pPr>
          </w:p>
        </w:tc>
        <w:tc>
          <w:tcPr>
            <w:tcW w:w="20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In July 1997, the Company entered into a credit agreement with Bank One, Texas, N.A. (the "Credit Facility"). The Credit Facility was amended and restated in September 1997 primarily to provide for additional banks to lend to the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492" w:right="1440" w:bottom="1440" w:gutter="0" w:footer="0" w:header="0"/>
        </w:sectPr>
      </w:pPr>
    </w:p>
    <w:bookmarkStart w:id="13" w:name="page14"/>
    <w:bookmarkEnd w:id="13"/>
    <w:p>
      <w:pPr>
        <w:ind w:right="2259"/>
        <w:spacing w:after="0" w:line="253" w:lineRule="auto"/>
        <w:rPr>
          <w:sz w:val="20"/>
          <w:szCs w:val="20"/>
          <w:color w:val="auto"/>
        </w:rPr>
      </w:pPr>
      <w:r>
        <w:rPr>
          <w:rFonts w:ascii="Courier New" w:cs="Courier New" w:eastAsia="Courier New" w:hAnsi="Courier New"/>
          <w:sz w:val="16"/>
          <w:szCs w:val="16"/>
          <w:color w:val="auto"/>
        </w:rPr>
        <w:t>Company under the Credit Facility. The Credit Facility was further amended in April 1998 in order to increase borrowing capacity and to provide for additional banks to lend to the Company under the Credit Facility. The Credit Facility provides the Company with an unsecured revolving line of credit of $175 million. The Company has a choice of two interest rate options when borrowing under the Credit Facility. Under one option, the interest rate is determined based on the higher of the Federal Funds Rate plus one-half percentage point or the bank's prime rate. Under the other interest rate option, borrowings bear interest based on designated short-term Eurodollar rates (which generally approximate the London Interbank Offered Rates or LIBOR, as published in major financial media) plus 0.75 to 1.5 percentage points. The amount of percentage points added depends on the ratio of the Company's debt to earnings before interest, taxes, depreciation and amortization for the preceding twelve months ("EBITDA"). For purposes of this ratio, EBITDA may include the preceding twelve months' results for any companies acquired during the last year. In addition, commitment fees of 0.125% to 0.375% per annum, also depending on the ratio of debt to EBITDA, are payable on the unused portion of the facility. The Credit Facility prohibits the payment of dividends by the Company without lender's approval and requires the Company to comply with certain financial covenants. The Credit Facility expires on April 14, 2001, at which time all amounts outstanding under the facility are due.</w:t>
      </w:r>
    </w:p>
    <w:p>
      <w:pPr>
        <w:spacing w:after="0" w:line="38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As of June 30, 1998, the Company had borrowed $78.1 million under the Credit Facility at an average interest rate of approximately 6.5% per annum for the first half of 1998. As of August 8, 1998, $78.3 million was outstanding under this facility.</w:t>
      </w:r>
    </w:p>
    <w:p>
      <w:pPr>
        <w:spacing w:after="0" w:line="19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Notes in the amount of $24.6 million referred to above were issued to former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owners of certain Purchased Companies as partial consideration for the</w:t>
      </w:r>
    </w:p>
    <w:p>
      <w:pPr>
        <w:spacing w:after="0" w:line="238" w:lineRule="auto"/>
        <w:rPr>
          <w:sz w:val="20"/>
          <w:szCs w:val="20"/>
          <w:color w:val="auto"/>
        </w:rPr>
      </w:pPr>
      <w:r>
        <w:rPr>
          <w:rFonts w:ascii="Courier New" w:cs="Courier New" w:eastAsia="Courier New" w:hAnsi="Courier New"/>
          <w:sz w:val="17"/>
          <w:szCs w:val="17"/>
          <w:color w:val="auto"/>
        </w:rPr>
        <w:t>acquisition of their companies. Of these Notes, $24.0 million bear interest,</w:t>
      </w:r>
    </w:p>
    <w:p>
      <w:pPr>
        <w:spacing w:after="0" w:line="238" w:lineRule="auto"/>
        <w:rPr>
          <w:sz w:val="20"/>
          <w:szCs w:val="20"/>
          <w:color w:val="auto"/>
        </w:rPr>
      </w:pPr>
      <w:r>
        <w:rPr>
          <w:rFonts w:ascii="Courier New" w:cs="Courier New" w:eastAsia="Courier New" w:hAnsi="Courier New"/>
          <w:sz w:val="17"/>
          <w:szCs w:val="17"/>
          <w:color w:val="auto"/>
        </w:rPr>
        <w:t>payable quarterly, at a weighted average interest rate of 6.0% and are</w:t>
      </w:r>
    </w:p>
    <w:p>
      <w:pPr>
        <w:spacing w:after="0"/>
        <w:rPr>
          <w:sz w:val="20"/>
          <w:szCs w:val="20"/>
          <w:color w:val="auto"/>
        </w:rPr>
      </w:pPr>
      <w:r>
        <w:rPr>
          <w:rFonts w:ascii="Courier New" w:cs="Courier New" w:eastAsia="Courier New" w:hAnsi="Courier New"/>
          <w:sz w:val="17"/>
          <w:szCs w:val="17"/>
          <w:color w:val="auto"/>
        </w:rPr>
        <w:t>convertible by the holder into shares of the Company's Common Stock at a</w:t>
      </w:r>
    </w:p>
    <w:p>
      <w:pPr>
        <w:spacing w:after="0" w:line="237" w:lineRule="auto"/>
        <w:rPr>
          <w:sz w:val="20"/>
          <w:szCs w:val="20"/>
          <w:color w:val="auto"/>
        </w:rPr>
      </w:pPr>
      <w:r>
        <w:rPr>
          <w:rFonts w:ascii="Courier New" w:cs="Courier New" w:eastAsia="Courier New" w:hAnsi="Courier New"/>
          <w:sz w:val="17"/>
          <w:szCs w:val="17"/>
          <w:color w:val="auto"/>
        </w:rPr>
        <w:t>weighted average price of $27.59 per share. The terms of these Notes require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$6.3 million of principal payments in 1999, $10.7 million of principal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2000, $6.1 million of principal payments in 2001 and $0.4 million of</w:t>
      </w:r>
    </w:p>
    <w:p>
      <w:pPr>
        <w:spacing w:after="0" w:line="238" w:lineRule="auto"/>
        <w:rPr>
          <w:sz w:val="20"/>
          <w:szCs w:val="20"/>
          <w:color w:val="auto"/>
        </w:rPr>
      </w:pPr>
      <w:r>
        <w:rPr>
          <w:rFonts w:ascii="Courier New" w:cs="Courier New" w:eastAsia="Courier New" w:hAnsi="Courier New"/>
          <w:sz w:val="17"/>
          <w:szCs w:val="17"/>
          <w:color w:val="auto"/>
        </w:rPr>
        <w:t>principal payments in 2002 and 2003. The remaining Notes of $0.6 million 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non-interest bearing and $0.2 million of principal payments are due in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remainder is due in four equal installments beginning in 2000.</w:t>
      </w:r>
    </w:p>
    <w:p>
      <w:pPr>
        <w:spacing w:after="0" w:line="196" w:lineRule="exact"/>
        <w:rPr>
          <w:sz w:val="20"/>
          <w:szCs w:val="20"/>
          <w:color w:val="auto"/>
        </w:rPr>
      </w:pPr>
    </w:p>
    <w:p>
      <w:pPr>
        <w:ind w:right="2259" w:firstLine="298"/>
        <w:spacing w:after="0" w:line="235" w:lineRule="auto"/>
        <w:rPr>
          <w:sz w:val="20"/>
          <w:szCs w:val="20"/>
          <w:color w:val="auto"/>
        </w:rPr>
      </w:pPr>
      <w:r>
        <w:rPr>
          <w:rFonts w:ascii="Courier New" w:cs="Courier New" w:eastAsia="Courier New" w:hAnsi="Courier New"/>
          <w:sz w:val="17"/>
          <w:szCs w:val="17"/>
          <w:color w:val="auto"/>
        </w:rPr>
        <w:t>Other long-term debt of $2.5 million referred to above includes secured debt, unsecured debt and capitalized lease obligations of the Company.</w:t>
      </w:r>
    </w:p>
    <w:p>
      <w:pPr>
        <w:spacing w:after="0" w:line="197" w:lineRule="exact"/>
        <w:rPr>
          <w:sz w:val="20"/>
          <w:szCs w:val="20"/>
          <w:color w:val="auto"/>
        </w:rPr>
      </w:pPr>
    </w:p>
    <w:p>
      <w:pPr>
        <w:ind w:right="6839" w:firstLine="2"/>
        <w:spacing w:after="0" w:line="506" w:lineRule="auto"/>
        <w:tabs>
          <w:tab w:leader="none" w:pos="39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CLAIMS AND LAWSUITS</w:t>
      </w:r>
    </w:p>
    <w:p>
      <w:pPr>
        <w:spacing w:after="0" w:line="1"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The Company is from time to time party to litigation in the ordinary course of business. There are currently no pending legal proceedings that, in management's opinion, would have a material adverse effect on the Company's operating results or financial condition. The Company maintains various insurance coverages in order to minimize financial risk associated with certain claims. The Company has provided accruals for probable losses and legal fees associated with certain of these actions in the accompanying consolidated financial statements.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STOCKHOLDERS' EQUITY: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AND PREFERRED STOCK</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Comfort Systems effected a 121.1387-for-one stock split on March 19, 1997 for each share of Common Stock of the Company then outstanding. In addition, the Company increased the number of authorized shares of Common Stock to 102,969,912 and authorized 5,000,000 shares of $.01 par value preferred stock. The effects of the Common Stock split and the increase in the number of shares of authorized Common Stock have been retroactively reflected on the balance sheet and in the accompanying notes as applicable.</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499" w:right="1440" w:bottom="1440" w:gutter="0" w:footer="0" w:header="0"/>
        </w:sectPr>
      </w:pPr>
    </w:p>
    <w:bookmarkStart w:id="14" w:name="page15"/>
    <w:bookmarkEnd w:id="14"/>
    <w:p>
      <w:pPr>
        <w:ind w:right="2359" w:firstLine="298"/>
        <w:spacing w:after="0" w:line="236" w:lineRule="auto"/>
        <w:rPr>
          <w:sz w:val="20"/>
          <w:szCs w:val="20"/>
          <w:color w:val="auto"/>
        </w:rPr>
      </w:pPr>
      <w:r>
        <w:rPr>
          <w:rFonts w:ascii="Courier New" w:cs="Courier New" w:eastAsia="Courier New" w:hAnsi="Courier New"/>
          <w:sz w:val="17"/>
          <w:szCs w:val="17"/>
          <w:color w:val="auto"/>
        </w:rPr>
        <w:t>In connection with the organization and initial capitalization of Comfort Systems, the Company issued 121,139 shares of Common Stock at $.01 per share to Notre. In January 1997, the Company issued 2,848,773 additional shares to Notre for $.01 per share.</w:t>
      </w:r>
    </w:p>
    <w:p>
      <w:pPr>
        <w:spacing w:after="0" w:line="199"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In January and February 1997, the Company issued a total of 1,269,935 shares of Common Stock to management of and consultants to the Company at a price of $.01 per share. As a result, the Company recorded a non-recurring, non-cash compensation charge of $11.6 million in the first quarter of 1997, representing the difference between the amount paid for the shares and the estimated fair value of the shares on the date of sale.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COMMON STOCK</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In March 1997, Notre exchanged 2,742,912 of its shares of Common Stock for an equal number of shares of restricted voting common stock ("Restricted Voting Common Stock"). The holder of Restricted Voting Common Stock is entitled to elect one member of the Company's Board of Directors and to 0.55 of one vote for each share on all other matters on which they are entitled to vote. Holders of Restricted Voting Common Stock are not entitled to vote on the election of any other directors.</w:t>
      </w:r>
    </w:p>
    <w:p>
      <w:pPr>
        <w:spacing w:after="0" w:line="199" w:lineRule="exact"/>
        <w:rPr>
          <w:sz w:val="20"/>
          <w:szCs w:val="20"/>
          <w:color w:val="auto"/>
        </w:rPr>
      </w:pPr>
    </w:p>
    <w:p>
      <w:pPr>
        <w:ind w:right="2259" w:firstLine="298"/>
        <w:spacing w:after="0" w:line="253" w:lineRule="auto"/>
        <w:rPr>
          <w:sz w:val="20"/>
          <w:szCs w:val="20"/>
          <w:color w:val="auto"/>
        </w:rPr>
      </w:pPr>
      <w:r>
        <w:rPr>
          <w:rFonts w:ascii="Courier New" w:cs="Courier New" w:eastAsia="Courier New" w:hAnsi="Courier New"/>
          <w:sz w:val="16"/>
          <w:szCs w:val="16"/>
          <w:color w:val="auto"/>
        </w:rPr>
        <w:t>Each share of Restricted Voting Common Stock will automatically convert to Common Stock on a share-for-share basis (i) in the event of a disposition of such share of Restricted Voting Common Stock by the holder thereof (other than a distribution which is a distribution by a holder to its partners or beneficial owners, or a transfer to a related party of such holders (as defined in Sections 267, 707, 318 and/or 4946 of the Internal Revenue Code of 1986, as amended)),</w:t>
      </w:r>
    </w:p>
    <w:p>
      <w:pPr>
        <w:spacing w:after="0" w:line="1" w:lineRule="exact"/>
        <w:rPr>
          <w:sz w:val="20"/>
          <w:szCs w:val="20"/>
          <w:color w:val="auto"/>
        </w:rPr>
      </w:pPr>
    </w:p>
    <w:p>
      <w:pPr>
        <w:ind w:right="2259" w:firstLine="2"/>
        <w:spacing w:after="0" w:line="237" w:lineRule="auto"/>
        <w:tabs>
          <w:tab w:leader="none" w:pos="49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any person acquires beneficial ownership of 15% or more of the total number of outstanding shares of Common Stock of the Company, or (iii) in the event any person offers to acquire 15% or more of the total number of outstanding shares of Common Stock of the Company. After July 1,1998, the Board of Directors may elect to convert any remaining shares of Restricted Voting Common Stock into shares of Common Stock in the event 80% or more of the originally outstanding shares of Restricted Voting Common Stock have been previously converted into shares of Common Stock.</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SHARE</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In February 1997, the Financial Accounting Standards Board issued Statement of Financial Accounting Standards ("SFAS") No. 128, "Earnings Per Share." SFAS No. 128 revises the methodology to be used in computing earnings per share (EPS) such that the computations previously required for primary and fully diluted EPS are to be replaced with "basic" and "diluted" EPS. Basic EPS is computed by dividing net income by the weighted average number of shares of common stock outstanding during the year. Diluted EPS is computed in the same manner as fully diluted EPS, except that, among other changes, the average share price for the period is used in all cases when applying the treasury stock method to potentially dilutive outstanding options. The Company has adopted SFAS No. 128 and restated EPS for all periods presented.</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499" w:right="1440" w:bottom="1440" w:gutter="0" w:footer="0" w:header="0"/>
        </w:sectPr>
      </w:pPr>
    </w:p>
    <w:bookmarkStart w:id="15" w:name="page16"/>
    <w:bookmarkEnd w:id="15"/>
    <w:p>
      <w:pPr>
        <w:ind w:right="2459" w:firstLine="298"/>
        <w:spacing w:after="0" w:line="235" w:lineRule="auto"/>
        <w:rPr>
          <w:sz w:val="20"/>
          <w:szCs w:val="20"/>
          <w:color w:val="auto"/>
        </w:rPr>
      </w:pPr>
      <w:r>
        <w:rPr>
          <w:rFonts w:ascii="Courier New" w:cs="Courier New" w:eastAsia="Courier New" w:hAnsi="Courier New"/>
          <w:sz w:val="17"/>
          <w:szCs w:val="17"/>
          <w:color w:val="auto"/>
        </w:rPr>
        <w:t>The following table summarizes weighted average shares outstanding for each of the periods presented (in thousands):</w:t>
      </w:r>
    </w:p>
    <w:p>
      <w:pPr>
        <w:spacing w:after="0" w:line="381" w:lineRule="exact"/>
        <w:rPr>
          <w:sz w:val="20"/>
          <w:szCs w:val="20"/>
          <w:color w:val="auto"/>
        </w:rPr>
      </w:pPr>
    </w:p>
    <w:tbl>
      <w:tblPr>
        <w:tblLayout w:type="fixed"/>
        <w:tblInd w:w="30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1540" w:type="dxa"/>
            <w:vAlign w:val="bottom"/>
            <w:gridSpan w:val="2"/>
          </w:tcPr>
          <w:p>
            <w:pPr>
              <w:jc w:val="right"/>
              <w:ind w:right="277"/>
              <w:spacing w:after="0"/>
              <w:rPr>
                <w:sz w:val="20"/>
                <w:szCs w:val="20"/>
                <w:color w:val="auto"/>
              </w:rPr>
            </w:pPr>
            <w:r>
              <w:rPr>
                <w:rFonts w:ascii="Courier New" w:cs="Courier New" w:eastAsia="Courier New" w:hAnsi="Courier New"/>
                <w:sz w:val="17"/>
                <w:szCs w:val="17"/>
                <w:color w:val="auto"/>
                <w:w w:val="94"/>
              </w:rPr>
              <w:t>THREE MONTHS</w:t>
            </w:r>
          </w:p>
        </w:tc>
        <w:tc>
          <w:tcPr>
            <w:tcW w:w="1540" w:type="dxa"/>
            <w:vAlign w:val="bottom"/>
            <w:gridSpan w:val="2"/>
          </w:tcPr>
          <w:p>
            <w:pPr>
              <w:ind w:left="240"/>
              <w:spacing w:after="0"/>
              <w:rPr>
                <w:sz w:val="20"/>
                <w:szCs w:val="20"/>
                <w:color w:val="auto"/>
              </w:rPr>
            </w:pPr>
            <w:r>
              <w:rPr>
                <w:rFonts w:ascii="Courier New" w:cs="Courier New" w:eastAsia="Courier New" w:hAnsi="Courier New"/>
                <w:sz w:val="17"/>
                <w:szCs w:val="17"/>
                <w:color w:val="auto"/>
              </w:rPr>
              <w:t>SIX MONTHS</w:t>
            </w:r>
          </w:p>
        </w:tc>
      </w:tr>
      <w:tr>
        <w:trPr>
          <w:trHeight w:val="191"/>
        </w:trPr>
        <w:tc>
          <w:tcPr>
            <w:tcW w:w="5080" w:type="dxa"/>
            <w:vAlign w:val="bottom"/>
          </w:tcPr>
          <w:p>
            <w:pPr>
              <w:spacing w:after="0"/>
              <w:rPr>
                <w:sz w:val="16"/>
                <w:szCs w:val="16"/>
                <w:color w:val="auto"/>
              </w:rPr>
            </w:pPr>
          </w:p>
        </w:tc>
        <w:tc>
          <w:tcPr>
            <w:tcW w:w="1540" w:type="dxa"/>
            <w:vAlign w:val="bottom"/>
            <w:gridSpan w:val="2"/>
          </w:tcPr>
          <w:p>
            <w:pPr>
              <w:jc w:val="right"/>
              <w:ind w:right="577"/>
              <w:spacing w:after="0" w:line="191" w:lineRule="exact"/>
              <w:rPr>
                <w:sz w:val="20"/>
                <w:szCs w:val="20"/>
                <w:color w:val="auto"/>
              </w:rPr>
            </w:pPr>
            <w:r>
              <w:rPr>
                <w:rFonts w:ascii="Courier New" w:cs="Courier New" w:eastAsia="Courier New" w:hAnsi="Courier New"/>
                <w:sz w:val="17"/>
                <w:szCs w:val="17"/>
                <w:color w:val="auto"/>
              </w:rPr>
              <w:t>ENDED</w:t>
            </w:r>
          </w:p>
        </w:tc>
        <w:tc>
          <w:tcPr>
            <w:tcW w:w="15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ENDED</w:t>
            </w:r>
          </w:p>
        </w:tc>
      </w:tr>
      <w:tr>
        <w:trPr>
          <w:trHeight w:val="191"/>
        </w:trPr>
        <w:tc>
          <w:tcPr>
            <w:tcW w:w="5080" w:type="dxa"/>
            <w:vAlign w:val="bottom"/>
          </w:tcPr>
          <w:p>
            <w:pPr>
              <w:spacing w:after="0"/>
              <w:rPr>
                <w:sz w:val="16"/>
                <w:szCs w:val="16"/>
                <w:color w:val="auto"/>
              </w:rPr>
            </w:pPr>
          </w:p>
        </w:tc>
        <w:tc>
          <w:tcPr>
            <w:tcW w:w="15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JUNE 30,</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JUNE 30,</w:t>
            </w:r>
          </w:p>
        </w:tc>
      </w:tr>
      <w:tr>
        <w:trPr>
          <w:trHeight w:val="191"/>
        </w:trPr>
        <w:tc>
          <w:tcPr>
            <w:tcW w:w="5080" w:type="dxa"/>
            <w:vAlign w:val="bottom"/>
          </w:tcPr>
          <w:p>
            <w:pPr>
              <w:spacing w:after="0"/>
              <w:rPr>
                <w:sz w:val="16"/>
                <w:szCs w:val="16"/>
                <w:color w:val="auto"/>
              </w:rPr>
            </w:pPr>
          </w:p>
        </w:tc>
        <w:tc>
          <w:tcPr>
            <w:tcW w:w="15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1997</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1998</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1997</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r>
      <w:tr>
        <w:trPr>
          <w:trHeight w:val="191"/>
        </w:trPr>
        <w:tc>
          <w:tcPr>
            <w:tcW w:w="508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Shares issued in connection with the acquisitions</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of the Founding Companies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9,721</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9,721</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Shares sold pursuant to the IPO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6,100</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6,100</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held by Notre, Comfort Systems'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management and consultants ...................</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4,240</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4,240</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4,240</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4,240</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Shares issued in connection with the acquisitions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of Pooled Companies ..........................</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4,507</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4,507</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4,507</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4,507</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Shares sold in connection with the underwriter's</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overallotment for the IPO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915</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915</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portion of shares issued in</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connection with the acquisition of the</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Purchased Companies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4,722</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3,586</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rPr>
              <w:t>Weighted average portion of shares sold in the</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Second Public Offering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w:t>
            </w:r>
          </w:p>
        </w:tc>
      </w:tr>
      <w:tr>
        <w:trPr>
          <w:trHeight w:val="191"/>
        </w:trPr>
        <w:tc>
          <w:tcPr>
            <w:tcW w:w="508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Weighted average shares outstanding - Basic ....</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8,747</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30,258</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8,747</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29,095</w:t>
            </w:r>
          </w:p>
        </w:tc>
      </w:tr>
      <w:tr>
        <w:trPr>
          <w:trHeight w:val="191"/>
        </w:trPr>
        <w:tc>
          <w:tcPr>
            <w:tcW w:w="50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Weighted average portion of shares related to stock</w:t>
            </w: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options under the treasury stock method ......</w:t>
            </w:r>
          </w:p>
        </w:tc>
        <w:tc>
          <w:tcPr>
            <w:tcW w:w="7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584</w:t>
            </w:r>
          </w:p>
        </w:tc>
        <w:tc>
          <w:tcPr>
            <w:tcW w:w="78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503</w:t>
            </w:r>
          </w:p>
        </w:tc>
      </w:tr>
      <w:tr>
        <w:trPr>
          <w:trHeight w:val="191"/>
        </w:trPr>
        <w:tc>
          <w:tcPr>
            <w:tcW w:w="508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Weighted average shares outstanding - Diluted ..</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8,747</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30,842</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8,747</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29,598</w:t>
            </w:r>
          </w:p>
        </w:tc>
      </w:tr>
      <w:tr>
        <w:trPr>
          <w:trHeight w:val="191"/>
        </w:trPr>
        <w:tc>
          <w:tcPr>
            <w:tcW w:w="508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0"/>
              </w:rPr>
              <w:t>=====</w:t>
            </w:r>
          </w:p>
        </w:tc>
        <w:tc>
          <w:tcPr>
            <w:tcW w:w="7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4"/>
              </w:rPr>
              <w:t>======</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7"/>
          <w:szCs w:val="17"/>
          <w:color w:val="auto"/>
        </w:rPr>
        <w:t>7.</w:t>
        <w:tab/>
        <w:t>SUBSEQUENT EVENTS:</w:t>
      </w:r>
    </w:p>
    <w:p>
      <w:pPr>
        <w:spacing w:after="0" w:line="196" w:lineRule="exact"/>
        <w:rPr>
          <w:sz w:val="20"/>
          <w:szCs w:val="20"/>
          <w:color w:val="auto"/>
        </w:rPr>
      </w:pPr>
    </w:p>
    <w:p>
      <w:pPr>
        <w:jc w:val="both"/>
        <w:ind w:right="3159" w:firstLine="298"/>
        <w:spacing w:after="0" w:line="253" w:lineRule="auto"/>
        <w:rPr>
          <w:sz w:val="20"/>
          <w:szCs w:val="20"/>
          <w:color w:val="auto"/>
        </w:rPr>
      </w:pPr>
      <w:r>
        <w:rPr>
          <w:rFonts w:ascii="Courier New" w:cs="Courier New" w:eastAsia="Courier New" w:hAnsi="Courier New"/>
          <w:sz w:val="16"/>
          <w:szCs w:val="16"/>
          <w:color w:val="auto"/>
        </w:rPr>
        <w:t>Subsequent to June 30, 1998, and through August 8, 1998, the Company completed 6 additional acquisitions (the "Additional Acquisitions") for approximately $8.8 million in cash and 768,664 shares of Common Stock.</w:t>
      </w:r>
    </w:p>
    <w:p>
      <w:pPr>
        <w:spacing w:after="0" w:line="1"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Annualized revenues from the businesses acquired in the Additional Acquisitions were approximately $35 million. One of these acquisitions will be accounted for as a pooling-of-interest and the remainder will be accounted for as purchase transactions.</w:t>
      </w:r>
    </w:p>
    <w:p>
      <w:pPr>
        <w:spacing w:after="0" w:line="199"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On July 21, 1998, the underwriters exercised their overallotment option in connection with the Second Public Offering which was completed in June 1998. An additional 461,479 shares of Common Stock was sold and the net proceeds of $8.8 million were used to repay debt.</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499" w:right="1440" w:bottom="1440" w:gutter="0" w:footer="0" w:header="0"/>
        </w:sectPr>
      </w:pPr>
    </w:p>
    <w:bookmarkStart w:id="16" w:name="page17"/>
    <w:bookmarkEnd w:id="16"/>
    <w:p>
      <w:pPr>
        <w:jc w:val="center"/>
        <w:ind w:right="2359"/>
        <w:spacing w:after="0"/>
        <w:rPr>
          <w:sz w:val="20"/>
          <w:szCs w:val="20"/>
          <w:color w:val="auto"/>
        </w:rPr>
      </w:pPr>
      <w:r>
        <w:rPr>
          <w:rFonts w:ascii="Courier New" w:cs="Courier New" w:eastAsia="Courier New" w:hAnsi="Courier New"/>
          <w:sz w:val="17"/>
          <w:szCs w:val="17"/>
          <w:color w:val="auto"/>
        </w:rPr>
        <w:t>COMFORT SYSTEMS USA, INC.</w:t>
      </w:r>
    </w:p>
    <w:p>
      <w:pPr>
        <w:spacing w:after="0" w:line="196"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INTRODUCTION</w:t>
      </w:r>
    </w:p>
    <w:p>
      <w:pPr>
        <w:spacing w:after="0" w:line="196" w:lineRule="exact"/>
        <w:rPr>
          <w:sz w:val="20"/>
          <w:szCs w:val="20"/>
          <w:color w:val="auto"/>
        </w:rPr>
      </w:pPr>
    </w:p>
    <w:p>
      <w:pPr>
        <w:ind w:right="2259" w:firstLine="298"/>
        <w:spacing w:after="0" w:line="253" w:lineRule="auto"/>
        <w:rPr>
          <w:sz w:val="20"/>
          <w:szCs w:val="20"/>
          <w:color w:val="auto"/>
        </w:rPr>
      </w:pPr>
      <w:r>
        <w:rPr>
          <w:rFonts w:ascii="Courier New" w:cs="Courier New" w:eastAsia="Courier New" w:hAnsi="Courier New"/>
          <w:sz w:val="16"/>
          <w:szCs w:val="16"/>
          <w:color w:val="auto"/>
        </w:rPr>
        <w:t>The following discussion should be read in conjunction with the consolidated historical and pro forma combined financial statements of the Company and related notes thereto included elsewhere in this Form 10-Q and the Annual Report on Form 10-K for the year ended December 31, 1997 (the "Form 10-K"). This discussion contains forward-looking statements regarding the business and industry of the Company within the meaning of the Private Securities Litigation Reform Act of 1995. These statements are based on the current plans and expectations of the Company and involve risks and uncertainties that could cause actual future activities and results of operations to be materially different from those set forth in the forward-looking statements. Important factors that could cause actual results to differ include risks set forth in "Factors Which May Affect Future Results," included in the Form 10-K.</w:t>
      </w:r>
    </w:p>
    <w:p>
      <w:pPr>
        <w:spacing w:after="0" w:line="193" w:lineRule="exact"/>
        <w:rPr>
          <w:sz w:val="20"/>
          <w:szCs w:val="20"/>
          <w:color w:val="auto"/>
        </w:rPr>
      </w:pPr>
    </w:p>
    <w:p>
      <w:pPr>
        <w:ind w:right="2359" w:firstLine="298"/>
        <w:spacing w:after="0" w:line="254" w:lineRule="auto"/>
        <w:rPr>
          <w:sz w:val="20"/>
          <w:szCs w:val="20"/>
          <w:color w:val="auto"/>
        </w:rPr>
      </w:pPr>
      <w:r>
        <w:rPr>
          <w:rFonts w:ascii="Courier New" w:cs="Courier New" w:eastAsia="Courier New" w:hAnsi="Courier New"/>
          <w:sz w:val="16"/>
          <w:szCs w:val="16"/>
          <w:color w:val="auto"/>
        </w:rPr>
        <w:t>The Company is a leading national provider of comprehensive HVAC installation, as well as maintenance, repair and replacement services. Founded in December 1996, the Company is consolidating the fragmented commercial and industrial HVAC markets and performs most of its services within manufacturing plants, office buildings, retail centers, apartment complexes, and healthcare, education and government facilities. In addition to standard HVAC services, the Company also provides specialized applications such as process cooling, control systems, electronic monitoring and process piping. Certain locations also perform related services such as electrical and plumbing.</w:t>
      </w:r>
    </w:p>
    <w:p>
      <w:pPr>
        <w:spacing w:after="0" w:line="18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On July 2, 1997, the Company completed its IPO and simultaneously acquired the 12 Founding Companies. Subsequent to the IPO, and through December 31, 1997, the Company acquired 27 additional HVAC and complementary businesses. Of these additional acquisitions, 14 are the Pooled Companies and the remaining 13 acquisitions have been accounted for as purchases. The historical financial statements of the Company have not been retroactively restated to give effect to the operations of one of the Pooled Companies which is considered immaterial. Subsequent to December 31, 1997 and through June 30, 1998, the Company acquired 28 additional HVAC businesses, all of which have been accounted for as purchases.</w:t>
      </w:r>
    </w:p>
    <w:p>
      <w:pPr>
        <w:spacing w:after="0" w:line="202"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Pro forma combined and historical results are not necessarily indicative of future results of the Company because, among other things, the Acquired Companies were not under common control or management prior to their acquisition. The Company's results of operations historically have been subject to seasonal fluctuations.</w:t>
      </w:r>
    </w:p>
    <w:p>
      <w:pPr>
        <w:spacing w:after="0" w:line="197"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The timing and magnitude of acquisitions, assimilation costs, and the seasonal nature of the HVAC industry may materially affect operating results. Accordingly, the operating results for any period are not necessarily indicative of the results that may be achieved for any subsequent period.</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 FORMA COMBINED RESULTS OF OPERATIONS</w:t>
      </w:r>
    </w:p>
    <w:p>
      <w:pPr>
        <w:spacing w:after="0" w:line="196" w:lineRule="exact"/>
        <w:rPr>
          <w:sz w:val="20"/>
          <w:szCs w:val="20"/>
          <w:color w:val="auto"/>
        </w:rPr>
      </w:pPr>
    </w:p>
    <w:p>
      <w:pPr>
        <w:ind w:right="2259" w:firstLine="298"/>
        <w:spacing w:after="0" w:line="253" w:lineRule="auto"/>
        <w:rPr>
          <w:sz w:val="20"/>
          <w:szCs w:val="20"/>
          <w:color w:val="auto"/>
        </w:rPr>
      </w:pPr>
      <w:r>
        <w:rPr>
          <w:rFonts w:ascii="Courier New" w:cs="Courier New" w:eastAsia="Courier New" w:hAnsi="Courier New"/>
          <w:sz w:val="16"/>
          <w:szCs w:val="16"/>
          <w:color w:val="auto"/>
        </w:rPr>
        <w:t>The following unaudited pro forma combined information is presented supplementally to reflect the pro forma results of operations as if the acquisition of the Founding Companies occurred on January 1, 1997, as reflected in the Company's publicly disclosed earnings announcements. Therefore, the accompanying unaudited pro forma combined statements of operations and the related management's discussion and analysis of the Company for the three and six months ended June 30, 1998 and 1997, respectively, include the combined operations of the Pooled Companies and the Founding Companies from January 1, 1997, and the Purchased Companies acquired through date of presentation from the dates of their acquisitions. One of the Pooled Companies is considered immaterial and has not been restated for all periods presented.</w:t>
      </w:r>
    </w:p>
    <w:p>
      <w:pPr>
        <w:spacing w:after="0" w:line="18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492" w:right="1440" w:bottom="1440" w:gutter="0" w:footer="0" w:header="0"/>
        </w:sectPr>
      </w:pPr>
    </w:p>
    <w:bookmarkStart w:id="17" w:name="page18"/>
    <w:bookmarkEnd w:id="17"/>
    <w:p>
      <w:pPr>
        <w:ind w:right="3580" w:firstLine="298"/>
        <w:spacing w:after="0" w:line="253" w:lineRule="auto"/>
        <w:rPr>
          <w:sz w:val="20"/>
          <w:szCs w:val="20"/>
          <w:color w:val="auto"/>
        </w:rPr>
      </w:pPr>
      <w:r>
        <w:rPr>
          <w:rFonts w:ascii="Courier New" w:cs="Courier New" w:eastAsia="Courier New" w:hAnsi="Courier New"/>
          <w:sz w:val="16"/>
          <w:szCs w:val="16"/>
          <w:color w:val="auto"/>
        </w:rPr>
        <w:t>The Acquired Companies were managed prior to their acquisitions as independent private companies. Therefore, historical selling, general and administrative expenses for the periods presented in the condensed consolidated financial statements of the Company reflect compensation and related benefits the owners of those businesses received prior to acquisition. Historical selling, general and administrative expenses also include the Compensation Charge recorded by the Company in the first quarter of 1997 related to Common Stock issued to management of and consultants to the Company prior to the IPO. The pro forma combined results of operations reflect: (i) the Compensation Differential of the Founding and Pooled Companies which the former owners of those companies agreed would take effect as of the date of acquisitions, (ii) pro forma combined compensation expense of $215,000 and $430,000 for the three months and six months ended June 30, 1997, respectively, to reflect the ongoing salaries received by the corporate management as though those salaries were being paid prior to the IPO, (iii) interest expense on borrowings of $11.0 million that would have been necessary to fund various S Corporation Distributions of the Founding Companies as if they had occurred on January 1, 1997, (iv) amortization of goodwill related to the Founding Companies, and (v) the elimination of the Compensation Charge referred to above. In addition, an incremental tax provision has been recorded as if all applicable Purchased and Founding Companies and the Pooled Companies that were C Corporations, had been subject to federal and state income taxes.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 FORMA COMBINED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40" w:type="dxa"/>
            <w:vAlign w:val="bottom"/>
            <w:gridSpan w:val="2"/>
          </w:tcPr>
          <w:p>
            <w:pPr>
              <w:jc w:val="right"/>
              <w:ind w:right="457"/>
              <w:spacing w:after="0"/>
              <w:rPr>
                <w:sz w:val="20"/>
                <w:szCs w:val="20"/>
                <w:color w:val="auto"/>
              </w:rPr>
            </w:pPr>
            <w:r>
              <w:rPr>
                <w:rFonts w:ascii="Courier New" w:cs="Courier New" w:eastAsia="Courier New" w:hAnsi="Courier New"/>
                <w:sz w:val="17"/>
                <w:szCs w:val="17"/>
                <w:color w:val="auto"/>
              </w:rPr>
              <w:t>THREE MONTHS ENDED</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40" w:type="dxa"/>
            <w:vAlign w:val="bottom"/>
            <w:gridSpan w:val="2"/>
          </w:tcPr>
          <w:p>
            <w:pPr>
              <w:jc w:val="right"/>
              <w:ind w:right="777"/>
              <w:spacing w:after="0"/>
              <w:rPr>
                <w:sz w:val="20"/>
                <w:szCs w:val="20"/>
                <w:color w:val="auto"/>
              </w:rPr>
            </w:pPr>
            <w:r>
              <w:rPr>
                <w:rFonts w:ascii="Courier New" w:cs="Courier New" w:eastAsia="Courier New" w:hAnsi="Courier New"/>
                <w:sz w:val="17"/>
                <w:szCs w:val="17"/>
                <w:color w:val="auto"/>
                <w:w w:val="95"/>
              </w:rPr>
              <w:t>SIX MONTHS ENDED</w:t>
            </w:r>
          </w:p>
        </w:tc>
        <w:tc>
          <w:tcPr>
            <w:tcW w:w="64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JUNE</w:t>
            </w:r>
          </w:p>
        </w:tc>
        <w:tc>
          <w:tcPr>
            <w:tcW w:w="130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30,</w:t>
            </w: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40" w:type="dxa"/>
            <w:vAlign w:val="bottom"/>
            <w:gridSpan w:val="2"/>
          </w:tcPr>
          <w:p>
            <w:pPr>
              <w:jc w:val="right"/>
              <w:ind w:right="977"/>
              <w:spacing w:after="0" w:line="191" w:lineRule="exact"/>
              <w:rPr>
                <w:sz w:val="20"/>
                <w:szCs w:val="20"/>
                <w:color w:val="auto"/>
              </w:rPr>
            </w:pPr>
            <w:r>
              <w:rPr>
                <w:rFonts w:ascii="Courier New" w:cs="Courier New" w:eastAsia="Courier New" w:hAnsi="Courier New"/>
                <w:sz w:val="17"/>
                <w:szCs w:val="17"/>
                <w:color w:val="auto"/>
              </w:rPr>
              <w:t>JUNE 30,</w:t>
            </w:r>
          </w:p>
        </w:tc>
        <w:tc>
          <w:tcPr>
            <w:tcW w:w="64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5"/>
                <w:szCs w:val="5"/>
                <w:color w:val="auto"/>
                <w:w w:val="81"/>
              </w:rPr>
              <w:t>----------------------------------------</w:t>
            </w: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80" w:type="dxa"/>
            <w:vAlign w:val="bottom"/>
            <w:gridSpan w:val="4"/>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40" w:type="dxa"/>
            <w:vAlign w:val="bottom"/>
            <w:gridSpan w:val="2"/>
          </w:tcPr>
          <w:p>
            <w:pPr>
              <w:jc w:val="right"/>
              <w:ind w:right="857"/>
              <w:spacing w:after="0" w:line="191" w:lineRule="exact"/>
              <w:rPr>
                <w:sz w:val="20"/>
                <w:szCs w:val="20"/>
                <w:color w:val="auto"/>
              </w:rPr>
            </w:pPr>
            <w:r>
              <w:rPr>
                <w:rFonts w:ascii="Courier New" w:cs="Courier New" w:eastAsia="Courier New" w:hAnsi="Courier New"/>
                <w:sz w:val="17"/>
                <w:szCs w:val="17"/>
                <w:color w:val="auto"/>
              </w:rPr>
              <w:t>1997</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840" w:type="dxa"/>
            <w:vAlign w:val="bottom"/>
          </w:tcPr>
          <w:p>
            <w:pPr>
              <w:spacing w:after="0"/>
              <w:rPr>
                <w:sz w:val="16"/>
                <w:szCs w:val="16"/>
                <w:color w:val="auto"/>
              </w:rPr>
            </w:pPr>
          </w:p>
        </w:tc>
        <w:tc>
          <w:tcPr>
            <w:tcW w:w="2240" w:type="dxa"/>
            <w:vAlign w:val="bottom"/>
            <w:gridSpan w:val="2"/>
          </w:tcPr>
          <w:p>
            <w:pPr>
              <w:jc w:val="right"/>
              <w:ind w:right="857"/>
              <w:spacing w:after="0" w:line="191" w:lineRule="exact"/>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640" w:type="dxa"/>
            <w:vAlign w:val="bottom"/>
          </w:tcPr>
          <w:p>
            <w:pPr>
              <w:spacing w:after="0"/>
              <w:rPr>
                <w:sz w:val="16"/>
                <w:szCs w:val="16"/>
                <w:color w:val="auto"/>
              </w:rPr>
            </w:pPr>
          </w:p>
        </w:tc>
      </w:tr>
      <w:tr>
        <w:trPr>
          <w:trHeight w:val="191"/>
        </w:trPr>
        <w:tc>
          <w:tcPr>
            <w:tcW w:w="27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Courier New" w:cs="Courier New" w:eastAsia="Courier New" w:hAnsi="Courier New"/>
                <w:sz w:val="13"/>
                <w:szCs w:val="13"/>
                <w:color w:val="auto"/>
                <w:w w:val="73"/>
              </w:rPr>
              <w:t>-----------------</w:t>
            </w:r>
          </w:p>
        </w:tc>
        <w:tc>
          <w:tcPr>
            <w:tcW w:w="1140" w:type="dxa"/>
            <w:vAlign w:val="bottom"/>
          </w:tcPr>
          <w:p>
            <w:pPr>
              <w:spacing w:after="0"/>
              <w:rPr>
                <w:sz w:val="16"/>
                <w:szCs w:val="16"/>
                <w:color w:val="auto"/>
              </w:rPr>
            </w:pPr>
          </w:p>
        </w:tc>
        <w:tc>
          <w:tcPr>
            <w:tcW w:w="21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w:t>
            </w:r>
          </w:p>
        </w:tc>
        <w:tc>
          <w:tcPr>
            <w:tcW w:w="2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274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6"/>
              </w:rPr>
              <w:t>Revenues .................</w:t>
            </w:r>
          </w:p>
        </w:tc>
        <w:tc>
          <w:tcPr>
            <w:tcW w:w="34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4"/>
              </w:rPr>
              <w:t>76,256</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100.0%</w:t>
            </w:r>
          </w:p>
        </w:tc>
        <w:tc>
          <w:tcPr>
            <w:tcW w:w="13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$ 176,737</w:t>
            </w:r>
          </w:p>
        </w:tc>
        <w:tc>
          <w:tcPr>
            <w:tcW w:w="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100.0%</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$ 142,162</w:t>
            </w:r>
          </w:p>
        </w:tc>
        <w:tc>
          <w:tcPr>
            <w:tcW w:w="10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100.0%</w:t>
            </w:r>
          </w:p>
        </w:tc>
        <w:tc>
          <w:tcPr>
            <w:tcW w:w="14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$ 294,575</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Cost of Services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53,957</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70.8</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132,203</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74.8</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102,566</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72.1</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221,613</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75.2</w:t>
            </w:r>
          </w:p>
        </w:tc>
      </w:tr>
      <w:tr>
        <w:trPr>
          <w:trHeight w:val="191"/>
        </w:trPr>
        <w:tc>
          <w:tcPr>
            <w:tcW w:w="274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Gross Profit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22,299</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29.2</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44,534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39,596</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27.9</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72,962</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24.8</w:t>
            </w:r>
          </w:p>
        </w:tc>
      </w:tr>
      <w:tr>
        <w:trPr>
          <w:trHeight w:val="191"/>
        </w:trPr>
        <w:tc>
          <w:tcPr>
            <w:tcW w:w="27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w w:val="97"/>
              </w:rPr>
              <w:t>Selling, general and</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administrative expenses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13,137</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17.2</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26,712</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15.1</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25,897</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18.2</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47,407</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16.1</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Goodwill amortization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874</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1.1</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1,598</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0.9</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1,748</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1.2</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2,768</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274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Operating income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8,288</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10.9</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16,224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9.2</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11,951</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8.4</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22,787</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7.7</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Other income (expense)  ..</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(277)</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(0.4)</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(1,350)</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(0.8)</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(523)</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0.4</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(1,881)</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(0.6)</w:t>
            </w:r>
          </w:p>
        </w:tc>
      </w:tr>
      <w:tr>
        <w:trPr>
          <w:trHeight w:val="191"/>
        </w:trPr>
        <w:tc>
          <w:tcPr>
            <w:tcW w:w="274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before taxes ......</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8,011</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10.5</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14,874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11,428</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8.0</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20,906</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7.1</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Provision for income taxes</w:t>
            </w:r>
          </w:p>
        </w:tc>
        <w:tc>
          <w:tcPr>
            <w:tcW w:w="34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3,351</w:t>
            </w: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6,533</w:t>
            </w:r>
          </w:p>
        </w:tc>
        <w:tc>
          <w:tcPr>
            <w:tcW w:w="8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4,771</w:t>
            </w:r>
          </w:p>
        </w:tc>
        <w:tc>
          <w:tcPr>
            <w:tcW w:w="10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9,187</w:t>
            </w:r>
          </w:p>
        </w:tc>
        <w:tc>
          <w:tcPr>
            <w:tcW w:w="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Net income ...............</w:t>
            </w:r>
          </w:p>
        </w:tc>
        <w:tc>
          <w:tcPr>
            <w:tcW w:w="3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4,660</w:t>
            </w: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6.1%</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8,341</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6,657</w:t>
            </w:r>
          </w:p>
        </w:tc>
        <w:tc>
          <w:tcPr>
            <w:tcW w:w="10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4.7%</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11,719</w:t>
            </w:r>
          </w:p>
        </w:tc>
        <w:tc>
          <w:tcPr>
            <w:tcW w:w="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2740" w:type="dxa"/>
            <w:vAlign w:val="bottom"/>
          </w:tcPr>
          <w:p>
            <w:pPr>
              <w:spacing w:after="0"/>
              <w:rPr>
                <w:sz w:val="16"/>
                <w:szCs w:val="16"/>
                <w:color w:val="auto"/>
              </w:rPr>
            </w:pPr>
          </w:p>
        </w:tc>
        <w:tc>
          <w:tcPr>
            <w:tcW w:w="11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3480" w:firstLine="298"/>
        <w:spacing w:after="0" w:line="253" w:lineRule="auto"/>
        <w:rPr>
          <w:sz w:val="20"/>
          <w:szCs w:val="20"/>
          <w:color w:val="auto"/>
        </w:rPr>
      </w:pPr>
      <w:r>
        <w:rPr>
          <w:rFonts w:ascii="Courier New" w:cs="Courier New" w:eastAsia="Courier New" w:hAnsi="Courier New"/>
          <w:sz w:val="16"/>
          <w:szCs w:val="16"/>
          <w:color w:val="auto"/>
        </w:rPr>
        <w:t>PRO FORMA COMBINED REVENUES - Pro forma combined revenues increased $100.5 million, or 131.8%, to $176.7 million for the three months ended June 30, 1998 and increased $152.4 million, or 107.2%, to $294.6 million for the first half of 1998, compared to the same periods of the prior year. Revenues from the Founding Companies and Pooled Companies increased approximately 14% and 16% for the three months and six months ended June 30, 1998, respectively, primarily due to greater demand for specialized multi-unit installation services in Texas and the Northeast, strong general activity in the Houston, Grand Rapids and Memphis markets and higher demand for commercial and industrial design and build services in the Company's Tennessee-based operations. The acquisition of the Purchased Companies acquired subsequent to the IPO through the end of the second quarter of 1998 contributed approximately $87.0 million and $130.3 million of revenue for the three months and six months ended June 30, 1998, respectively.</w:t>
      </w:r>
    </w:p>
    <w:p>
      <w:pPr>
        <w:spacing w:after="0" w:line="194" w:lineRule="exact"/>
        <w:rPr>
          <w:sz w:val="20"/>
          <w:szCs w:val="20"/>
          <w:color w:val="auto"/>
        </w:rPr>
      </w:pPr>
    </w:p>
    <w:p>
      <w:pPr>
        <w:ind w:right="3580" w:firstLine="298"/>
        <w:spacing w:after="0" w:line="237" w:lineRule="auto"/>
        <w:rPr>
          <w:sz w:val="20"/>
          <w:szCs w:val="20"/>
          <w:color w:val="auto"/>
        </w:rPr>
      </w:pPr>
      <w:r>
        <w:rPr>
          <w:rFonts w:ascii="Courier New" w:cs="Courier New" w:eastAsia="Courier New" w:hAnsi="Courier New"/>
          <w:sz w:val="17"/>
          <w:szCs w:val="17"/>
          <w:color w:val="auto"/>
        </w:rPr>
        <w:t>PRO FORMA COMBINED GROSS PROFIT - Pro forma combined gross profit increased $22.2 million, or 100.0%, to $44.5 million for the three months ended June 30, 1998 and increased $33.4 million, or 84.3%, to $73.0 million for the first half of 1998, primarily due to increased revenues at the Founding Companies, the addition of the Purchased Companies and incremental increases at some of the Pooled Companies. As a percentage of revenues, pro forma combined gross profit decreased from 29.2% in the second quarter of 1997 to 25.2% in the second quarter of 1998 and from 27.9% in the first half of 1997 to 24.8% in the first half of 1998. These declines resulted primarily form the acquisition of the Purchased Companies whose gross margins are lower than the Company's historical average.</w:t>
      </w: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1440"/>
          </w:cols>
          <w:pgMar w:left="240" w:top="499" w:right="219" w:bottom="1440" w:gutter="0" w:footer="0" w:header="0"/>
        </w:sectPr>
      </w:pPr>
    </w:p>
    <w:bookmarkStart w:id="18" w:name="page19"/>
    <w:bookmarkEnd w:id="18"/>
    <w:p>
      <w:pPr>
        <w:ind w:right="3560" w:firstLine="298"/>
        <w:spacing w:after="0" w:line="237" w:lineRule="auto"/>
        <w:rPr>
          <w:sz w:val="20"/>
          <w:szCs w:val="20"/>
          <w:color w:val="auto"/>
        </w:rPr>
      </w:pPr>
      <w:r>
        <w:rPr>
          <w:rFonts w:ascii="Courier New" w:cs="Courier New" w:eastAsia="Courier New" w:hAnsi="Courier New"/>
          <w:sz w:val="17"/>
          <w:szCs w:val="17"/>
          <w:color w:val="auto"/>
        </w:rPr>
        <w:t>PRO FORMA COMBINED SELLING, GENERAL AND ADMINISTRATIVE EXPENSES (SG&amp;A) Pro forma combined SG&amp;A, excluding goodwill amortization, increased $13.6 million, or 103.3%, to $26.7 million for the second quarter of 1998 and increased $21.5 million or 83.1% to $47.4 million for the first half of 1998. These increases were due principally to the addition of the Purchased Companies along with corporate office and management expenses associated with the Company's establishment as a public company. As a percentage of revenues, pro forma combined SG&amp;A, excluding goodwill amortization, decreased from 17.2% to 15.1% in the second quarter of 1998, and from 18.2% to 16.1% in the first half of 1998, compared to the same period of the prior year. This decrease is due to the Company's acquisition of the Purchased Companies whose SG&amp;A as a percentage of revenues is lower than the Company's historical average.</w:t>
      </w:r>
    </w:p>
    <w:p>
      <w:pPr>
        <w:spacing w:after="0" w:line="204" w:lineRule="exact"/>
        <w:rPr>
          <w:sz w:val="20"/>
          <w:szCs w:val="20"/>
          <w:color w:val="auto"/>
        </w:rPr>
      </w:pPr>
    </w:p>
    <w:p>
      <w:pPr>
        <w:ind w:right="3560" w:firstLine="298"/>
        <w:spacing w:after="0" w:line="237" w:lineRule="auto"/>
        <w:rPr>
          <w:sz w:val="20"/>
          <w:szCs w:val="20"/>
          <w:color w:val="auto"/>
        </w:rPr>
      </w:pPr>
      <w:r>
        <w:rPr>
          <w:rFonts w:ascii="Courier New" w:cs="Courier New" w:eastAsia="Courier New" w:hAnsi="Courier New"/>
          <w:sz w:val="17"/>
          <w:szCs w:val="17"/>
          <w:color w:val="auto"/>
        </w:rPr>
        <w:t>PRO FORMA COMBINED OTHER INCOME (EXPENSE) - Pro forma combined other expense, net increased to $1.4 million for the second quarter of 1998 and to $1.9 million for the first half of 1998 primarily due to the increase in interest expense related to the acquisition of the Purchased Companies acquired subsequent to the IPO through the end of the second quarter of 1998.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HISTORICAL RESULTS OF OPERATIONS (IN THOUSANDS)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gridSpan w:val="2"/>
          </w:tcPr>
          <w:p>
            <w:pPr>
              <w:jc w:val="right"/>
              <w:ind w:right="377"/>
              <w:spacing w:after="0"/>
              <w:rPr>
                <w:sz w:val="20"/>
                <w:szCs w:val="20"/>
                <w:color w:val="auto"/>
              </w:rPr>
            </w:pPr>
            <w:r>
              <w:rPr>
                <w:rFonts w:ascii="Courier New" w:cs="Courier New" w:eastAsia="Courier New" w:hAnsi="Courier New"/>
                <w:sz w:val="17"/>
                <w:szCs w:val="17"/>
                <w:color w:val="auto"/>
              </w:rPr>
              <w:t>THREE MONTHS ENDED</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540" w:type="dxa"/>
            <w:vAlign w:val="bottom"/>
            <w:gridSpan w:val="2"/>
          </w:tcPr>
          <w:p>
            <w:pPr>
              <w:jc w:val="right"/>
              <w:ind w:right="877"/>
              <w:spacing w:after="0"/>
              <w:rPr>
                <w:sz w:val="20"/>
                <w:szCs w:val="20"/>
                <w:color w:val="auto"/>
              </w:rPr>
            </w:pPr>
            <w:r>
              <w:rPr>
                <w:rFonts w:ascii="Courier New" w:cs="Courier New" w:eastAsia="Courier New" w:hAnsi="Courier New"/>
                <w:sz w:val="17"/>
                <w:szCs w:val="17"/>
                <w:color w:val="auto"/>
                <w:w w:val="95"/>
              </w:rPr>
              <w:t>SIX MONTHS ENDED</w:t>
            </w:r>
          </w:p>
        </w:tc>
        <w:tc>
          <w:tcPr>
            <w:tcW w:w="620" w:type="dxa"/>
            <w:vAlign w:val="bottom"/>
          </w:tcPr>
          <w:p>
            <w:pPr>
              <w:spacing w:after="0"/>
              <w:rPr>
                <w:sz w:val="16"/>
                <w:szCs w:val="16"/>
                <w:color w:val="auto"/>
              </w:rPr>
            </w:pPr>
          </w:p>
        </w:tc>
      </w:tr>
      <w:tr>
        <w:trPr>
          <w:trHeight w:val="191"/>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40" w:type="dxa"/>
            <w:vAlign w:val="bottom"/>
            <w:gridSpan w:val="2"/>
          </w:tcPr>
          <w:p>
            <w:pPr>
              <w:jc w:val="right"/>
              <w:ind w:right="757"/>
              <w:spacing w:after="0" w:line="191" w:lineRule="exact"/>
              <w:rPr>
                <w:sz w:val="20"/>
                <w:szCs w:val="20"/>
                <w:color w:val="auto"/>
              </w:rPr>
            </w:pPr>
            <w:r>
              <w:rPr>
                <w:rFonts w:ascii="Courier New" w:cs="Courier New" w:eastAsia="Courier New" w:hAnsi="Courier New"/>
                <w:sz w:val="17"/>
                <w:szCs w:val="17"/>
                <w:color w:val="auto"/>
              </w:rPr>
              <w:t>JUNE 30,</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JUNE 30,</w:t>
            </w: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31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0"/>
              </w:rPr>
              <w:t>-------------------------------------</w:t>
            </w: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60" w:type="dxa"/>
            <w:vAlign w:val="bottom"/>
            <w:gridSpan w:val="4"/>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1997</w:t>
            </w:r>
          </w:p>
        </w:tc>
        <w:tc>
          <w:tcPr>
            <w:tcW w:w="1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840" w:type="dxa"/>
            <w:vAlign w:val="bottom"/>
          </w:tcPr>
          <w:p>
            <w:pPr>
              <w:spacing w:after="0"/>
              <w:rPr>
                <w:sz w:val="16"/>
                <w:szCs w:val="16"/>
                <w:color w:val="auto"/>
              </w:rPr>
            </w:pPr>
          </w:p>
        </w:tc>
        <w:tc>
          <w:tcPr>
            <w:tcW w:w="2380" w:type="dxa"/>
            <w:vAlign w:val="bottom"/>
            <w:gridSpan w:val="2"/>
          </w:tcPr>
          <w:p>
            <w:pPr>
              <w:jc w:val="right"/>
              <w:ind w:right="997"/>
              <w:spacing w:after="0" w:line="191" w:lineRule="exact"/>
              <w:rPr>
                <w:sz w:val="20"/>
                <w:szCs w:val="20"/>
                <w:color w:val="auto"/>
              </w:rPr>
            </w:pPr>
            <w:r>
              <w:rPr>
                <w:rFonts w:ascii="Courier New" w:cs="Courier New" w:eastAsia="Courier New" w:hAnsi="Courier New"/>
                <w:sz w:val="17"/>
                <w:szCs w:val="17"/>
                <w:color w:val="auto"/>
              </w:rPr>
              <w:t>1997</w:t>
            </w:r>
          </w:p>
        </w:tc>
        <w:tc>
          <w:tcPr>
            <w:tcW w:w="1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1998</w:t>
            </w:r>
          </w:p>
        </w:tc>
        <w:tc>
          <w:tcPr>
            <w:tcW w:w="620" w:type="dxa"/>
            <w:vAlign w:val="bottom"/>
          </w:tcPr>
          <w:p>
            <w:pPr>
              <w:spacing w:after="0"/>
              <w:rPr>
                <w:sz w:val="16"/>
                <w:szCs w:val="16"/>
                <w:color w:val="auto"/>
              </w:rPr>
            </w:pPr>
          </w:p>
        </w:tc>
      </w:tr>
      <w:tr>
        <w:trPr>
          <w:trHeight w:val="191"/>
        </w:trPr>
        <w:tc>
          <w:tcPr>
            <w:tcW w:w="314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Courier New" w:cs="Courier New" w:eastAsia="Courier New" w:hAnsi="Courier New"/>
                <w:sz w:val="12"/>
                <w:szCs w:val="12"/>
                <w:color w:val="auto"/>
                <w:w w:val="72"/>
              </w:rPr>
              <w:t>---------------</w:t>
            </w:r>
          </w:p>
        </w:tc>
        <w:tc>
          <w:tcPr>
            <w:tcW w:w="940" w:type="dxa"/>
            <w:vAlign w:val="bottom"/>
          </w:tcPr>
          <w:p>
            <w:pPr>
              <w:spacing w:after="0"/>
              <w:rPr>
                <w:sz w:val="16"/>
                <w:szCs w:val="16"/>
                <w:color w:val="auto"/>
              </w:rPr>
            </w:pPr>
          </w:p>
        </w:tc>
        <w:tc>
          <w:tcPr>
            <w:tcW w:w="22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gridSpan w:val="2"/>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314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6"/>
              </w:rPr>
              <w:t>Revenues .....................</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4"/>
              </w:rPr>
              <w:t>29,111</w:t>
            </w:r>
          </w:p>
        </w:tc>
        <w:tc>
          <w:tcPr>
            <w:tcW w:w="9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100.0%</w:t>
            </w:r>
          </w:p>
        </w:tc>
        <w:tc>
          <w:tcPr>
            <w:tcW w:w="14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$ 176,737</w:t>
            </w:r>
          </w:p>
        </w:tc>
        <w:tc>
          <w:tcPr>
            <w:tcW w:w="8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100.0%</w:t>
            </w:r>
          </w:p>
        </w:tc>
        <w:tc>
          <w:tcPr>
            <w:tcW w:w="11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$ 55,513</w:t>
            </w:r>
          </w:p>
        </w:tc>
        <w:tc>
          <w:tcPr>
            <w:tcW w:w="1280" w:type="dxa"/>
            <w:vAlign w:val="bottom"/>
          </w:tcPr>
          <w:p>
            <w:pPr>
              <w:jc w:val="right"/>
              <w:ind w:right="297"/>
              <w:spacing w:after="0"/>
              <w:rPr>
                <w:sz w:val="20"/>
                <w:szCs w:val="20"/>
                <w:color w:val="auto"/>
              </w:rPr>
            </w:pPr>
            <w:r>
              <w:rPr>
                <w:rFonts w:ascii="Courier New" w:cs="Courier New" w:eastAsia="Courier New" w:hAnsi="Courier New"/>
                <w:sz w:val="17"/>
                <w:szCs w:val="17"/>
                <w:color w:val="auto"/>
              </w:rPr>
              <w:t>100.0%</w:t>
            </w:r>
          </w:p>
        </w:tc>
        <w:tc>
          <w:tcPr>
            <w:tcW w:w="126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5"/>
              </w:rPr>
              <w:t>$ 294,575</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100.0%</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Cost of Services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20,410</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70.1</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132,203</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74.8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40,220</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72.5</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221,613</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75.2</w:t>
            </w:r>
          </w:p>
        </w:tc>
      </w:tr>
      <w:tr>
        <w:trPr>
          <w:trHeight w:val="191"/>
        </w:trPr>
        <w:tc>
          <w:tcPr>
            <w:tcW w:w="31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5"/>
              </w:rPr>
              <w:t>---------</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Gross Profit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8,701</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29.9</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44,534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25.2</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15,293</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27.5</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72,962</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w:t>
            </w:r>
          </w:p>
        </w:tc>
      </w:tr>
      <w:tr>
        <w:trPr>
          <w:trHeight w:val="191"/>
        </w:trPr>
        <w:tc>
          <w:tcPr>
            <w:tcW w:w="314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w w:val="97"/>
              </w:rPr>
              <w:t>Selling, general and</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administrative expenses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6,841</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23.5</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26,712</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15.1</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26,327</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47.4</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47,407</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16.1</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Goodwill amortization ........</w:t>
            </w:r>
          </w:p>
        </w:tc>
        <w:tc>
          <w:tcPr>
            <w:tcW w:w="240" w:type="dxa"/>
            <w:vAlign w:val="bottom"/>
          </w:tcPr>
          <w:p>
            <w:pPr>
              <w:spacing w:after="0"/>
              <w:rPr>
                <w:sz w:val="16"/>
                <w:szCs w:val="16"/>
                <w:color w:val="auto"/>
              </w:rPr>
            </w:pPr>
          </w:p>
        </w:tc>
        <w:tc>
          <w:tcPr>
            <w:tcW w:w="7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1,598</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0.9</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2,768</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0.9</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Operating income (loss)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1,860</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16,224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9.2</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(11,034)</w:t>
            </w:r>
          </w:p>
        </w:tc>
        <w:tc>
          <w:tcPr>
            <w:tcW w:w="12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(19.9)</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22,787</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Other income (expense)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(1,350)</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(0.8)</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w:t>
            </w:r>
          </w:p>
        </w:tc>
        <w:tc>
          <w:tcPr>
            <w:tcW w:w="12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(1,881)</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(0.6)</w:t>
            </w:r>
          </w:p>
        </w:tc>
      </w:tr>
      <w:tr>
        <w:trPr>
          <w:trHeight w:val="191"/>
        </w:trPr>
        <w:tc>
          <w:tcPr>
            <w:tcW w:w="31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5"/>
              </w:rPr>
              <w:t>---------</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Income (loss) before taxes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1,861</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6.4</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14,874</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8.4</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(11,029)</w:t>
            </w:r>
          </w:p>
        </w:tc>
        <w:tc>
          <w:tcPr>
            <w:tcW w:w="12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(19.9)</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20,906</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Provision (benefit) for income</w:t>
            </w: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taxes .......................</w:t>
            </w:r>
          </w:p>
        </w:tc>
        <w:tc>
          <w:tcPr>
            <w:tcW w:w="2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604</w:t>
            </w: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6,533</w:t>
            </w:r>
          </w:p>
        </w:tc>
        <w:tc>
          <w:tcPr>
            <w:tcW w:w="8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(145)</w:t>
            </w:r>
          </w:p>
        </w:tc>
        <w:tc>
          <w:tcPr>
            <w:tcW w:w="12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9,187</w:t>
            </w:r>
          </w:p>
        </w:tc>
        <w:tc>
          <w:tcPr>
            <w:tcW w:w="6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5"/>
              </w:rPr>
              <w:t>---------</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1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6"/>
              </w:rPr>
              <w:t>Net income (loss) ............</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1,257</w:t>
            </w:r>
          </w:p>
        </w:tc>
        <w:tc>
          <w:tcPr>
            <w:tcW w:w="9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   8,341</w:t>
            </w:r>
          </w:p>
        </w:tc>
        <w:tc>
          <w:tcPr>
            <w:tcW w:w="8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$(10,884)</w:t>
            </w:r>
          </w:p>
        </w:tc>
        <w:tc>
          <w:tcPr>
            <w:tcW w:w="128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(19.6)%</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5"/>
              </w:rPr>
              <w:t>$  11,719</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w:t>
            </w:r>
          </w:p>
        </w:tc>
      </w:tr>
      <w:tr>
        <w:trPr>
          <w:trHeight w:val="191"/>
        </w:trPr>
        <w:tc>
          <w:tcPr>
            <w:tcW w:w="3140" w:type="dxa"/>
            <w:vAlign w:val="bottom"/>
          </w:tcPr>
          <w:p>
            <w:pPr>
              <w:spacing w:after="0"/>
              <w:rPr>
                <w:sz w:val="16"/>
                <w:szCs w:val="16"/>
                <w:color w:val="auto"/>
              </w:rPr>
            </w:pPr>
          </w:p>
        </w:tc>
        <w:tc>
          <w:tcPr>
            <w:tcW w:w="9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5"/>
              </w:rPr>
              <w:t>=========</w:t>
            </w:r>
          </w:p>
        </w:tc>
        <w:tc>
          <w:tcPr>
            <w:tcW w:w="6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right="3860" w:firstLine="298"/>
        <w:spacing w:after="0" w:line="253" w:lineRule="auto"/>
        <w:rPr>
          <w:sz w:val="20"/>
          <w:szCs w:val="20"/>
          <w:color w:val="auto"/>
        </w:rPr>
      </w:pPr>
      <w:r>
        <w:rPr>
          <w:rFonts w:ascii="Courier New" w:cs="Courier New" w:eastAsia="Courier New" w:hAnsi="Courier New"/>
          <w:sz w:val="16"/>
          <w:szCs w:val="16"/>
          <w:color w:val="auto"/>
        </w:rPr>
        <w:t>REVENUES - Revenues increased $147.6 million, or 507.1%, to $176.7 million for the three months ended June 30, 1998 and increased $239.1 million, or</w:t>
      </w:r>
    </w:p>
    <w:p>
      <w:pPr>
        <w:ind w:right="3960"/>
        <w:spacing w:after="0" w:line="236" w:lineRule="auto"/>
        <w:rPr>
          <w:sz w:val="20"/>
          <w:szCs w:val="20"/>
          <w:color w:val="auto"/>
        </w:rPr>
      </w:pPr>
      <w:r>
        <w:rPr>
          <w:rFonts w:ascii="Courier New" w:cs="Courier New" w:eastAsia="Courier New" w:hAnsi="Courier New"/>
          <w:sz w:val="17"/>
          <w:szCs w:val="17"/>
          <w:color w:val="auto"/>
        </w:rPr>
        <w:t>430.6%, to $294.6 million for the first half of 1998, compared to the same periods of the prior year. The increase in revenues was primarily due to the acquisition of the Founding Companies and Purchased Companies.</w:t>
      </w:r>
    </w:p>
    <w:p>
      <w:pPr>
        <w:spacing w:after="0" w:line="197" w:lineRule="exact"/>
        <w:rPr>
          <w:sz w:val="20"/>
          <w:szCs w:val="20"/>
          <w:color w:val="auto"/>
        </w:rPr>
      </w:pPr>
    </w:p>
    <w:p>
      <w:pPr>
        <w:ind w:right="3660" w:firstLine="298"/>
        <w:spacing w:after="0" w:line="237" w:lineRule="auto"/>
        <w:rPr>
          <w:sz w:val="20"/>
          <w:szCs w:val="20"/>
          <w:color w:val="auto"/>
        </w:rPr>
      </w:pPr>
      <w:r>
        <w:rPr>
          <w:rFonts w:ascii="Courier New" w:cs="Courier New" w:eastAsia="Courier New" w:hAnsi="Courier New"/>
          <w:sz w:val="17"/>
          <w:szCs w:val="17"/>
          <w:color w:val="auto"/>
        </w:rPr>
        <w:t>GROSS PROFIT - Gross profit increased $35.8 million, or 411.8%, to $44.5 for the three months ended June 30, 1998 and increased $57.7 million, or 377.1%, to $73.0 million for the first six months of 1998, compared to the same periods of the prior year. The increase in gross profit was primarily due to the acquisitions described above. As a percentage of revenues, gross profit decreased from 29.9% in the second quarter of 1997 to 25.2% in the second quarter of 1998 and from 27.5% in the first half of 1997 to 24.8% in the first half of 1998. These declines resulted primarily form the acquisition of the Purchased Companies whose gross margins are lower than the Company's historical average.</w:t>
      </w:r>
    </w:p>
    <w:p>
      <w:pPr>
        <w:spacing w:after="0" w:line="202" w:lineRule="exact"/>
        <w:rPr>
          <w:sz w:val="20"/>
          <w:szCs w:val="20"/>
          <w:color w:val="auto"/>
        </w:rPr>
      </w:pPr>
    </w:p>
    <w:p>
      <w:pPr>
        <w:ind w:right="3660" w:firstLine="298"/>
        <w:spacing w:after="0" w:line="237" w:lineRule="auto"/>
        <w:rPr>
          <w:sz w:val="20"/>
          <w:szCs w:val="20"/>
          <w:color w:val="auto"/>
        </w:rPr>
      </w:pPr>
      <w:r>
        <w:rPr>
          <w:rFonts w:ascii="Courier New" w:cs="Courier New" w:eastAsia="Courier New" w:hAnsi="Courier New"/>
          <w:sz w:val="17"/>
          <w:szCs w:val="17"/>
          <w:color w:val="auto"/>
        </w:rPr>
        <w:t>SELLING, GENERAL AND ADMINISTRATIVE EXPENSES - SG&amp;A, excluding goodwill amortization, for the three months and six months ended June 30, 1997 includes $1.2 million and $4.2 million, respectively, of Compensation Differential which will be eliminated prospectively. Additionally, the Company recorded the non-recurring, non-cash Compensation Charge of $11.6 million in the first quarter of 1997. Excluding the Compensation Differential, the Compensation Charge, and goodwill amortization, SG&amp;A increased $21.1 million, to $26.7 million for the three months ended June 30, 1998 and increased $36.8 million to $47.4 million for the six months ended June 30, 1998. Most of this increase was related to the Founding</w:t>
      </w:r>
    </w:p>
    <w:p>
      <w:pPr>
        <w:spacing w:after="0" w:line="1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1520"/>
          </w:cols>
          <w:pgMar w:left="240" w:top="499" w:right="139" w:bottom="1440" w:gutter="0" w:footer="0" w:header="0"/>
        </w:sectPr>
      </w:pPr>
    </w:p>
    <w:bookmarkStart w:id="19" w:name="page20"/>
    <w:bookmarkEnd w:id="19"/>
    <w:p>
      <w:pPr>
        <w:ind w:right="2359"/>
        <w:spacing w:after="0" w:line="236" w:lineRule="auto"/>
        <w:rPr>
          <w:sz w:val="20"/>
          <w:szCs w:val="20"/>
          <w:color w:val="auto"/>
        </w:rPr>
      </w:pPr>
      <w:r>
        <w:rPr>
          <w:rFonts w:ascii="Courier New" w:cs="Courier New" w:eastAsia="Courier New" w:hAnsi="Courier New"/>
          <w:sz w:val="17"/>
          <w:szCs w:val="17"/>
          <w:color w:val="auto"/>
        </w:rPr>
        <w:t>Companies and Purchased Companies acquired since the IPO along with corporate office and management expenses associated with the Company's establishment as a public company.</w:t>
      </w:r>
    </w:p>
    <w:p>
      <w:pPr>
        <w:spacing w:after="0" w:line="197" w:lineRule="exact"/>
        <w:rPr>
          <w:sz w:val="20"/>
          <w:szCs w:val="20"/>
          <w:color w:val="auto"/>
        </w:rPr>
      </w:pPr>
    </w:p>
    <w:p>
      <w:pPr>
        <w:ind w:right="2459" w:firstLine="298"/>
        <w:spacing w:after="0" w:line="236" w:lineRule="auto"/>
        <w:rPr>
          <w:sz w:val="20"/>
          <w:szCs w:val="20"/>
          <w:color w:val="auto"/>
        </w:rPr>
      </w:pPr>
      <w:r>
        <w:rPr>
          <w:rFonts w:ascii="Courier New" w:cs="Courier New" w:eastAsia="Courier New" w:hAnsi="Courier New"/>
          <w:sz w:val="17"/>
          <w:szCs w:val="17"/>
          <w:color w:val="auto"/>
        </w:rPr>
        <w:t>OTHER INCOME (EXPENSE) - Other expense, net increased to $1.4 million and $1.9 million for the three months and six months ended June 30, 1998 primarily due to the increase in interest expense related to the acquisition of the Purchased Companies.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 - HISTORICAL</w:t>
      </w:r>
    </w:p>
    <w:p>
      <w:pPr>
        <w:spacing w:after="0" w:line="196" w:lineRule="exact"/>
        <w:rPr>
          <w:sz w:val="20"/>
          <w:szCs w:val="20"/>
          <w:color w:val="auto"/>
        </w:rPr>
      </w:pPr>
    </w:p>
    <w:p>
      <w:pPr>
        <w:jc w:val="both"/>
        <w:ind w:right="2259" w:firstLine="298"/>
        <w:spacing w:after="0" w:line="253" w:lineRule="auto"/>
        <w:rPr>
          <w:sz w:val="20"/>
          <w:szCs w:val="20"/>
          <w:color w:val="auto"/>
        </w:rPr>
      </w:pPr>
      <w:r>
        <w:rPr>
          <w:rFonts w:ascii="Courier New" w:cs="Courier New" w:eastAsia="Courier New" w:hAnsi="Courier New"/>
          <w:sz w:val="16"/>
          <w:szCs w:val="16"/>
          <w:color w:val="auto"/>
        </w:rPr>
        <w:t>For the six months ended June 30, 1998, net cash used in operating activities was $12.2 million due to a decrease in accounts payable and accrued liabilities of $10.1 million and an increase in accounts receivables of $17.4 million.</w:t>
      </w:r>
    </w:p>
    <w:p>
      <w:pPr>
        <w:spacing w:after="0" w:line="1"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Accounts payable balances decreased from the date of acquisition at various locations as certain companies took advantage of the consolidated cash management system to receive cash discounts for early payments.</w:t>
      </w:r>
    </w:p>
    <w:p>
      <w:pPr>
        <w:spacing w:after="0" w:line="197" w:lineRule="exact"/>
        <w:rPr>
          <w:sz w:val="20"/>
          <w:szCs w:val="20"/>
          <w:color w:val="auto"/>
        </w:rPr>
      </w:pPr>
    </w:p>
    <w:p>
      <w:pPr>
        <w:ind w:right="2259" w:firstLine="298"/>
        <w:spacing w:after="0" w:line="236" w:lineRule="auto"/>
        <w:rPr>
          <w:sz w:val="20"/>
          <w:szCs w:val="20"/>
          <w:color w:val="auto"/>
        </w:rPr>
      </w:pPr>
      <w:r>
        <w:rPr>
          <w:rFonts w:ascii="Courier New" w:cs="Courier New" w:eastAsia="Courier New" w:hAnsi="Courier New"/>
          <w:sz w:val="17"/>
          <w:szCs w:val="17"/>
          <w:color w:val="auto"/>
        </w:rPr>
        <w:t>Cash used in investing activities was $48.0 million for the six months ended June 30, 1998, primarily in connection with the acquisition of the Acquired Companies for $44.7 million, net of cash acquired. The remainder of cash used in the investing activities was for additions to equipment.</w:t>
      </w:r>
    </w:p>
    <w:p>
      <w:pPr>
        <w:spacing w:after="0" w:line="199"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Cash provided by financing activities for the six months ended June 30, 1998 was $51.9 million and was primarily attributable to the net borrowings of long-term debt.</w:t>
      </w:r>
    </w:p>
    <w:p>
      <w:pPr>
        <w:spacing w:after="0" w:line="197" w:lineRule="exact"/>
        <w:rPr>
          <w:sz w:val="20"/>
          <w:szCs w:val="20"/>
          <w:color w:val="auto"/>
        </w:rPr>
      </w:pPr>
    </w:p>
    <w:p>
      <w:pPr>
        <w:ind w:right="3359" w:firstLine="298"/>
        <w:spacing w:after="0" w:line="235" w:lineRule="auto"/>
        <w:rPr>
          <w:sz w:val="20"/>
          <w:szCs w:val="20"/>
          <w:color w:val="auto"/>
        </w:rPr>
      </w:pPr>
      <w:r>
        <w:rPr>
          <w:rFonts w:ascii="Courier New" w:cs="Courier New" w:eastAsia="Courier New" w:hAnsi="Courier New"/>
          <w:sz w:val="17"/>
          <w:szCs w:val="17"/>
          <w:color w:val="auto"/>
        </w:rPr>
        <w:t>At June 30, 1998, working capital was $89.9 million and total debt outstanding was $105.3 million.</w:t>
      </w:r>
    </w:p>
    <w:p>
      <w:pPr>
        <w:spacing w:after="0" w:line="197" w:lineRule="exact"/>
        <w:rPr>
          <w:sz w:val="20"/>
          <w:szCs w:val="20"/>
          <w:color w:val="auto"/>
        </w:rPr>
      </w:pPr>
    </w:p>
    <w:p>
      <w:pPr>
        <w:ind w:right="2359" w:firstLine="298"/>
        <w:spacing w:after="0" w:line="237" w:lineRule="auto"/>
        <w:rPr>
          <w:sz w:val="20"/>
          <w:szCs w:val="20"/>
          <w:color w:val="auto"/>
        </w:rPr>
      </w:pPr>
      <w:r>
        <w:rPr>
          <w:rFonts w:ascii="Courier New" w:cs="Courier New" w:eastAsia="Courier New" w:hAnsi="Courier New"/>
          <w:sz w:val="17"/>
          <w:szCs w:val="17"/>
          <w:color w:val="auto"/>
        </w:rPr>
        <w:t>Subsequent to June 30, 1998, and through August 8, 1998, the Company completed the acquisition of 6 companies for approximately $8.8 million in cash and 768,664 shares of Common Stock. One of these acquisitions will be accounted for as a pooling-of-interests and the remainder will be accounted for as purchase transactions.</w:t>
      </w:r>
    </w:p>
    <w:p>
      <w:pPr>
        <w:spacing w:after="0" w:line="197" w:lineRule="exact"/>
        <w:rPr>
          <w:sz w:val="20"/>
          <w:szCs w:val="20"/>
          <w:color w:val="auto"/>
        </w:rPr>
      </w:pPr>
    </w:p>
    <w:p>
      <w:pPr>
        <w:ind w:right="2259" w:firstLine="298"/>
        <w:spacing w:after="0" w:line="238" w:lineRule="auto"/>
        <w:rPr>
          <w:sz w:val="20"/>
          <w:szCs w:val="20"/>
          <w:color w:val="auto"/>
        </w:rPr>
      </w:pPr>
      <w:r>
        <w:rPr>
          <w:rFonts w:ascii="Courier New" w:cs="Courier New" w:eastAsia="Courier New" w:hAnsi="Courier New"/>
          <w:sz w:val="17"/>
          <w:szCs w:val="17"/>
          <w:color w:val="auto"/>
        </w:rPr>
        <w:t>In July 1997, the Company entered into the Credit Facility with Bank One, Texas, N.A. which was amended and restated in September 1997 primarily to provide for additional banks to lend to the Company. The Credit Facility was further amended in April 1998 to increase borrowing capacity and to provide for additional banks to lend to the Company. The Credit Facility provides the Company with an unsecured revolving line of credit of $175 million. The Company has a choice of two interest rate options when borrowing under the Credit Facility. Under one option, the interest rate is determined based on the higher of the Federal Funds Rate plus one-half percentage point or the bank's prime rate. Under the other interest rate option, borrowings bear interest based on designated short-term Eurodollar rates (which generally approximate LIBOR) plus 0.75 to 1.5 percentage points. The amount of percentage points added depends on the ratio of the Company's debt to EBITDA for the preceding twelve months. For purposes of this ratio, EBITDA may include the preceding twelve months' results for any companies acquired during the last year. In addition, commitment fees of 0.125% to 0.325% per annum, also depending on the ratio of debt to EBITDA, are payable on the unused portion of the Credit Facility. The Credit Facility prohibits the payment of dividends by the Company without lender's approval and requires the Company to comply with certain financial covenants. The Credit Facility expires on April 14, 2001, at which time, all amounts outstanding under the facility are due. As of June 30, 1998, $78.1 million was outstanding under the Credit Facility. As of August 8, 1998, $78.3 million was outstanding under the Credit Facility.</w:t>
      </w:r>
    </w:p>
    <w:p>
      <w:pPr>
        <w:spacing w:after="0" w:line="198" w:lineRule="exact"/>
        <w:rPr>
          <w:sz w:val="20"/>
          <w:szCs w:val="20"/>
          <w:color w:val="auto"/>
        </w:rPr>
      </w:pPr>
    </w:p>
    <w:p>
      <w:pPr>
        <w:ind w:right="2259" w:firstLine="298"/>
        <w:spacing w:after="0" w:line="254" w:lineRule="auto"/>
        <w:rPr>
          <w:sz w:val="20"/>
          <w:szCs w:val="20"/>
          <w:color w:val="auto"/>
        </w:rPr>
      </w:pPr>
      <w:r>
        <w:rPr>
          <w:rFonts w:ascii="Courier New" w:cs="Courier New" w:eastAsia="Courier New" w:hAnsi="Courier New"/>
          <w:sz w:val="16"/>
          <w:szCs w:val="16"/>
          <w:color w:val="auto"/>
        </w:rPr>
        <w:t>The Company intends to pursue additional acquisition opportunities, the cash portion of which will be financed with borrowings under the Credit Facility as well as cash flow from operations. The Company anticipates that cash flow from operations will provide cash in excess of the Company's normal working capital needs, debt service requirements and planned capital expenditures for equipment. Should the Company accelerate or revise its acquisition program, the Company may need to seek financing in addition to the Credit Facility through the public or private sale of equity or debt securities. There can be no</w:t>
      </w:r>
    </w:p>
    <w:p>
      <w:pPr>
        <w:spacing w:after="0" w:line="18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499" w:right="1440" w:bottom="1440" w:gutter="0" w:footer="0" w:header="0"/>
        </w:sectPr>
      </w:pPr>
    </w:p>
    <w:bookmarkStart w:id="20" w:name="page21"/>
    <w:bookmarkEnd w:id="20"/>
    <w:p>
      <w:pPr>
        <w:ind w:right="2259"/>
        <w:spacing w:after="0" w:line="235" w:lineRule="auto"/>
        <w:rPr>
          <w:sz w:val="20"/>
          <w:szCs w:val="20"/>
          <w:color w:val="auto"/>
        </w:rPr>
      </w:pPr>
      <w:r>
        <w:rPr>
          <w:rFonts w:ascii="Courier New" w:cs="Courier New" w:eastAsia="Courier New" w:hAnsi="Courier New"/>
          <w:sz w:val="17"/>
          <w:szCs w:val="17"/>
          <w:color w:val="auto"/>
        </w:rPr>
        <w:t>assurance that the Company can secure financing if and when needed, or that such financing will be available on terms the Company deems acceptable.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The Company is currently implementing a Year 2000 program to ensure that the Company's computer systems and applications will function properly beyond 1999. The Company expects its Year 2000 date conversion program will be successfully completed on a timely basis. There can, however, be no assurance that this will be the case. The Company does not expect to incur significant expenditures to address this issue. The ability of third parties with whom the Company transacts business to address adequately their Year 2000 issues is outside of the Company's control. There can be no assurance that the failure of the Company or such third parties to address adequately their respective Year 2000 issues will not have a material adverse effect on the Company's financial condition or results of operations.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SEASONALITY AND CYCLICALITY</w:t>
      </w:r>
    </w:p>
    <w:p>
      <w:pPr>
        <w:spacing w:after="0" w:line="196" w:lineRule="exact"/>
        <w:rPr>
          <w:sz w:val="20"/>
          <w:szCs w:val="20"/>
          <w:color w:val="auto"/>
        </w:rPr>
      </w:pPr>
    </w:p>
    <w:p>
      <w:pPr>
        <w:ind w:right="2259" w:firstLine="298"/>
        <w:spacing w:after="0" w:line="237" w:lineRule="auto"/>
        <w:rPr>
          <w:sz w:val="20"/>
          <w:szCs w:val="20"/>
          <w:color w:val="auto"/>
        </w:rPr>
      </w:pPr>
      <w:r>
        <w:rPr>
          <w:rFonts w:ascii="Courier New" w:cs="Courier New" w:eastAsia="Courier New" w:hAnsi="Courier New"/>
          <w:sz w:val="17"/>
          <w:szCs w:val="17"/>
          <w:color w:val="auto"/>
        </w:rPr>
        <w:t>The HVAC industry is subject to seasonal variations. Specifically, the demand for new installation and replacement is generally lower during the winter months due to reduced construction activity during inclement weather and less use of air conditioning during the colder months. Demand for HVAC services is generally higher in the second and third calendar quarters due to increased construction activity and increased use of air conditioning during the warmer months. Accordingly, the Company expects its revenues and operating results generally will be lower in the first and fourth calendar quarters.</w:t>
      </w:r>
    </w:p>
    <w:p>
      <w:pPr>
        <w:spacing w:after="0" w:line="200" w:lineRule="exact"/>
        <w:rPr>
          <w:sz w:val="20"/>
          <w:szCs w:val="20"/>
          <w:color w:val="auto"/>
        </w:rPr>
      </w:pPr>
    </w:p>
    <w:p>
      <w:pPr>
        <w:ind w:right="2259" w:firstLine="298"/>
        <w:spacing w:after="0" w:line="256" w:lineRule="auto"/>
        <w:rPr>
          <w:sz w:val="20"/>
          <w:szCs w:val="20"/>
          <w:color w:val="auto"/>
        </w:rPr>
      </w:pPr>
      <w:r>
        <w:rPr>
          <w:rFonts w:ascii="Courier New" w:cs="Courier New" w:eastAsia="Courier New" w:hAnsi="Courier New"/>
          <w:sz w:val="16"/>
          <w:szCs w:val="16"/>
          <w:color w:val="auto"/>
        </w:rPr>
        <w:t>Historically, the construction industry has been highly cyclical. As a result, the Company's volume of business may be adversely affected by declines in new installation projects in various geographic regions of the United States.</w:t>
      </w:r>
    </w:p>
    <w:p>
      <w:pPr>
        <w:spacing w:after="0" w:line="178"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499" w:right="1440" w:bottom="1440" w:gutter="0" w:footer="0" w:header="0"/>
        </w:sectPr>
      </w:pPr>
    </w:p>
    <w:bookmarkStart w:id="21" w:name="page22"/>
    <w:bookmarkEnd w:id="21"/>
    <w:p>
      <w:pPr>
        <w:ind w:left="2680"/>
        <w:spacing w:after="0"/>
        <w:rPr>
          <w:sz w:val="20"/>
          <w:szCs w:val="20"/>
          <w:color w:val="auto"/>
        </w:rPr>
      </w:pPr>
      <w:r>
        <w:rPr>
          <w:rFonts w:ascii="Courier New" w:cs="Courier New" w:eastAsia="Courier New" w:hAnsi="Courier New"/>
          <w:sz w:val="17"/>
          <w:szCs w:val="17"/>
          <w:color w:val="auto"/>
        </w:rPr>
        <w:t>COMFORT SYSTEMS USA, INC.</w:t>
      </w:r>
    </w:p>
    <w:p>
      <w:pPr>
        <w:ind w:left="2580"/>
        <w:spacing w:after="0" w:line="238" w:lineRule="auto"/>
        <w:rPr>
          <w:sz w:val="20"/>
          <w:szCs w:val="20"/>
          <w:color w:val="auto"/>
        </w:rPr>
      </w:pPr>
      <w:r>
        <w:rPr>
          <w:rFonts w:ascii="Courier New" w:cs="Courier New" w:eastAsia="Courier New" w:hAnsi="Courier New"/>
          <w:sz w:val="17"/>
          <w:szCs w:val="17"/>
          <w:color w:val="auto"/>
        </w:rPr>
        <w:t>PART II -- OTHER INFORMATION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LEGAL PROCEEDINGS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is involved in various legal proceedings that have arisen in the ordinary course of business. The Company does not believe that any of these proceedings will have a material adverse effect on the financial position or results of operations of the Company.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RECENT SALES OF UNREGISTERED SECURITIES</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None.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6" w:lineRule="exact"/>
        <w:rPr>
          <w:sz w:val="20"/>
          <w:szCs w:val="20"/>
          <w:color w:val="auto"/>
        </w:rPr>
      </w:pPr>
    </w:p>
    <w:p>
      <w:pPr>
        <w:ind w:right="2359" w:firstLine="298"/>
        <w:spacing w:after="0" w:line="236" w:lineRule="auto"/>
        <w:rPr>
          <w:sz w:val="20"/>
          <w:szCs w:val="20"/>
          <w:color w:val="auto"/>
        </w:rPr>
      </w:pPr>
      <w:r>
        <w:rPr>
          <w:rFonts w:ascii="Courier New" w:cs="Courier New" w:eastAsia="Courier New" w:hAnsi="Courier New"/>
          <w:sz w:val="17"/>
          <w:szCs w:val="17"/>
          <w:color w:val="auto"/>
        </w:rPr>
        <w:t>The Company held its annual meeting of stockholders in Houston, Texas on May 21, 1998. The following sets forth matters submitted to a vote of the stockholders:</w:t>
      </w:r>
    </w:p>
    <w:p>
      <w:pPr>
        <w:spacing w:after="0" w:line="197" w:lineRule="exact"/>
        <w:rPr>
          <w:sz w:val="20"/>
          <w:szCs w:val="20"/>
          <w:color w:val="auto"/>
        </w:rPr>
      </w:pPr>
    </w:p>
    <w:p>
      <w:pPr>
        <w:ind w:left="300" w:right="2359" w:hanging="297"/>
        <w:spacing w:after="0" w:line="237" w:lineRule="auto"/>
        <w:rPr>
          <w:sz w:val="20"/>
          <w:szCs w:val="20"/>
          <w:color w:val="auto"/>
        </w:rPr>
      </w:pPr>
      <w:r>
        <w:rPr>
          <w:rFonts w:ascii="Courier New" w:cs="Courier New" w:eastAsia="Courier New" w:hAnsi="Courier New"/>
          <w:sz w:val="17"/>
          <w:szCs w:val="17"/>
          <w:color w:val="auto"/>
        </w:rPr>
        <w:t>(a)The following individuals were elected to the Board of Directors as stated in the company's Proxy Statement dated April 27, 1998, for terms expiring at the 2001 annual stockholders' meeting or until their successors have been elected and qualified - Class I Directors: Fred M. Ferreira, Brian S. Atlas, Robert R. Cook, Charles W. Klapperich and John Mercadante, Jr.</w:t>
      </w:r>
    </w:p>
    <w:p>
      <w:pPr>
        <w:spacing w:after="0" w:line="197" w:lineRule="exact"/>
        <w:rPr>
          <w:sz w:val="20"/>
          <w:szCs w:val="20"/>
          <w:color w:val="auto"/>
        </w:rPr>
      </w:pPr>
    </w:p>
    <w:p>
      <w:pPr>
        <w:ind w:left="300" w:right="2359"/>
        <w:spacing w:after="0" w:line="236" w:lineRule="auto"/>
        <w:rPr>
          <w:sz w:val="20"/>
          <w:szCs w:val="20"/>
          <w:color w:val="auto"/>
        </w:rPr>
      </w:pPr>
      <w:r>
        <w:rPr>
          <w:rFonts w:ascii="Courier New" w:cs="Courier New" w:eastAsia="Courier New" w:hAnsi="Courier New"/>
          <w:sz w:val="17"/>
          <w:szCs w:val="17"/>
          <w:color w:val="auto"/>
        </w:rPr>
        <w:t>Every Director was elected by more than a majority of the outstanding shares of Common Stock of the Company. Mr. Ferreira had 23,356,901 shares voted in favor, with 26,642 shares withheld, and the remaining directors had 23,379,023 shares voted in favor, with 5,520 shares withheld.</w:t>
      </w:r>
    </w:p>
    <w:p>
      <w:pPr>
        <w:spacing w:after="0" w:line="199" w:lineRule="exact"/>
        <w:rPr>
          <w:sz w:val="20"/>
          <w:szCs w:val="20"/>
          <w:color w:val="auto"/>
        </w:rPr>
      </w:pPr>
    </w:p>
    <w:p>
      <w:pPr>
        <w:ind w:left="300" w:right="2359" w:hanging="297"/>
        <w:spacing w:after="0" w:line="236" w:lineRule="auto"/>
        <w:rPr>
          <w:sz w:val="20"/>
          <w:szCs w:val="20"/>
          <w:color w:val="auto"/>
        </w:rPr>
      </w:pPr>
      <w:r>
        <w:rPr>
          <w:rFonts w:ascii="Courier New" w:cs="Courier New" w:eastAsia="Courier New" w:hAnsi="Courier New"/>
          <w:sz w:val="17"/>
          <w:szCs w:val="17"/>
          <w:color w:val="auto"/>
        </w:rPr>
        <w:t>(b)The stockholders approved the 1998 Employee Stock Purchase Plan by a vote of 22,899,146 shares, being more than a majority of the outstanding shares of Common Stock of the Company, with 301,050 shares voted against and 184,347 shares abstaining.</w:t>
      </w:r>
    </w:p>
    <w:p>
      <w:pPr>
        <w:spacing w:after="0" w:line="199" w:lineRule="exact"/>
        <w:rPr>
          <w:sz w:val="20"/>
          <w:szCs w:val="20"/>
          <w:color w:val="auto"/>
        </w:rPr>
      </w:pPr>
    </w:p>
    <w:p>
      <w:pPr>
        <w:ind w:left="300" w:right="2359" w:hanging="297"/>
        <w:spacing w:after="0" w:line="237" w:lineRule="auto"/>
        <w:rPr>
          <w:sz w:val="20"/>
          <w:szCs w:val="20"/>
          <w:color w:val="auto"/>
        </w:rPr>
      </w:pPr>
      <w:r>
        <w:rPr>
          <w:rFonts w:ascii="Courier New" w:cs="Courier New" w:eastAsia="Courier New" w:hAnsi="Courier New"/>
          <w:sz w:val="17"/>
          <w:szCs w:val="17"/>
          <w:color w:val="auto"/>
        </w:rPr>
        <w:t>(c)The stockholders approved an amendment to the Company's Second Amended and Restated Certificate of Incorporation to increase the number of authorized shares of Common Stock of the Company from 50,000,000 to 100,000,000 by a vote of 22,669,172 shares, being more than a majority of the outstanding shares of Common Stock of the Company, with 638,201 shares voted against and 77,170 shares abstaining.</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EXHIBITS AND REPORTS ON FORM 8-K</w:t>
      </w:r>
    </w:p>
    <w:p>
      <w:pPr>
        <w:spacing w:after="0" w:line="190" w:lineRule="exact"/>
        <w:rPr>
          <w:sz w:val="20"/>
          <w:szCs w:val="20"/>
          <w:color w:val="auto"/>
        </w:rPr>
      </w:pPr>
    </w:p>
    <w:p>
      <w:pPr>
        <w:ind w:left="700" w:hanging="698"/>
        <w:spacing w:after="0"/>
        <w:tabs>
          <w:tab w:leader="none" w:pos="7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0" w:lineRule="exact"/>
        <w:rPr>
          <w:sz w:val="20"/>
          <w:szCs w:val="20"/>
          <w:color w:val="auto"/>
        </w:rPr>
      </w:pPr>
    </w:p>
    <w:p>
      <w:pPr>
        <w:spacing w:after="0"/>
        <w:tabs>
          <w:tab w:leader="none" w:pos="3060" w:val="left"/>
        </w:tabs>
        <w:rPr>
          <w:sz w:val="20"/>
          <w:szCs w:val="20"/>
          <w:color w:val="auto"/>
        </w:rPr>
      </w:pPr>
      <w:r>
        <w:rPr>
          <w:rFonts w:ascii="Courier New" w:cs="Courier New" w:eastAsia="Courier New" w:hAnsi="Courier New"/>
          <w:sz w:val="17"/>
          <w:szCs w:val="17"/>
          <w:color w:val="auto"/>
        </w:rPr>
        <w:t>27.1 Financial Data Schedule.</w:t>
      </w:r>
      <w:r>
        <w:rPr>
          <w:sz w:val="20"/>
          <w:szCs w:val="20"/>
          <w:color w:val="auto"/>
        </w:rPr>
        <w:tab/>
      </w:r>
      <w:r>
        <w:rPr>
          <w:rFonts w:ascii="Courier New" w:cs="Courier New" w:eastAsia="Courier New" w:hAnsi="Courier New"/>
          <w:sz w:val="16"/>
          <w:szCs w:val="16"/>
          <w:color w:val="auto"/>
        </w:rPr>
        <w:t>(Filed herewith)</w:t>
      </w:r>
    </w:p>
    <w:p>
      <w:pPr>
        <w:spacing w:after="0" w:line="196" w:lineRule="exact"/>
        <w:rPr>
          <w:sz w:val="20"/>
          <w:szCs w:val="20"/>
          <w:color w:val="auto"/>
        </w:rPr>
      </w:pPr>
    </w:p>
    <w:p>
      <w:pPr>
        <w:ind w:left="300" w:right="7639" w:hanging="298"/>
        <w:spacing w:after="0" w:line="468" w:lineRule="auto"/>
        <w:tabs>
          <w:tab w:leader="none" w:pos="6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14" w:lineRule="exact"/>
        <w:rPr>
          <w:sz w:val="20"/>
          <w:szCs w:val="20"/>
          <w:color w:val="auto"/>
        </w:rPr>
      </w:pPr>
    </w:p>
    <w:p>
      <w:pPr>
        <w:ind w:right="2259"/>
        <w:spacing w:after="0" w:line="235" w:lineRule="auto"/>
        <w:rPr>
          <w:sz w:val="20"/>
          <w:szCs w:val="20"/>
          <w:color w:val="auto"/>
        </w:rPr>
      </w:pPr>
      <w:r>
        <w:rPr>
          <w:rFonts w:ascii="Courier New" w:cs="Courier New" w:eastAsia="Courier New" w:hAnsi="Courier New"/>
          <w:sz w:val="17"/>
          <w:szCs w:val="17"/>
          <w:color w:val="auto"/>
        </w:rPr>
        <w:t>ITEM 9. CHANGES AND DISAGREEMENTS WITH ACCOUNTANTS ON ACCOUNTING AND FINANCIAL DISCLOSURE</w:t>
      </w:r>
    </w:p>
    <w:p>
      <w:pPr>
        <w:spacing w:after="0" w:line="190"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None.</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492" w:right="1440" w:bottom="1440" w:gutter="0" w:footer="0" w:header="0"/>
        </w:sectPr>
      </w:pPr>
    </w:p>
    <w:bookmarkStart w:id="22" w:name="page23"/>
    <w:bookmarkEnd w:id="22"/>
    <w:p>
      <w:pPr>
        <w:jc w:val="center"/>
        <w:ind w:right="2359"/>
        <w:spacing w:after="0"/>
        <w:rPr>
          <w:sz w:val="20"/>
          <w:szCs w:val="20"/>
          <w:color w:val="auto"/>
        </w:rPr>
      </w:pPr>
      <w:r>
        <w:rPr>
          <w:rFonts w:ascii="Courier New" w:cs="Courier New" w:eastAsia="Courier New" w:hAnsi="Courier New"/>
          <w:sz w:val="17"/>
          <w:szCs w:val="17"/>
          <w:color w:val="auto"/>
        </w:rPr>
        <w:t>SIGNATURE</w:t>
      </w:r>
    </w:p>
    <w:p>
      <w:pPr>
        <w:spacing w:after="0" w:line="196"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7"/>
          <w:szCs w:val="17"/>
          <w:color w:val="auto"/>
        </w:rPr>
        <w:t>COMFORT SYSTEMS USA, INC.</w:t>
      </w:r>
    </w:p>
    <w:p>
      <w:pPr>
        <w:spacing w:after="0" w:line="381" w:lineRule="exact"/>
        <w:rPr>
          <w:sz w:val="20"/>
          <w:szCs w:val="20"/>
          <w:color w:val="auto"/>
        </w:rPr>
      </w:pPr>
    </w:p>
    <w:p>
      <w:pPr>
        <w:ind w:left="3780"/>
        <w:spacing w:after="0"/>
        <w:tabs>
          <w:tab w:leader="none" w:pos="4460" w:val="left"/>
          <w:tab w:leader="none" w:pos="49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J. GORDON BEITTENMILLER</w:t>
      </w:r>
    </w:p>
    <w:p>
      <w:pPr>
        <w:ind w:left="4680"/>
        <w:spacing w:after="0" w:line="238" w:lineRule="auto"/>
        <w:rPr>
          <w:sz w:val="20"/>
          <w:szCs w:val="20"/>
          <w:color w:val="auto"/>
        </w:rPr>
      </w:pPr>
      <w:r>
        <w:rPr>
          <w:rFonts w:ascii="Courier New" w:cs="Courier New" w:eastAsia="Courier New" w:hAnsi="Courier New"/>
          <w:sz w:val="17"/>
          <w:szCs w:val="17"/>
          <w:color w:val="auto"/>
        </w:rPr>
        <w:t>J. GORDON BEITTENMILLER</w:t>
      </w:r>
    </w:p>
    <w:p>
      <w:pPr>
        <w:ind w:left="4580"/>
        <w:spacing w:after="0" w:line="238" w:lineRule="auto"/>
        <w:rPr>
          <w:sz w:val="20"/>
          <w:szCs w:val="20"/>
          <w:color w:val="auto"/>
        </w:rPr>
      </w:pPr>
      <w:r>
        <w:rPr>
          <w:rFonts w:ascii="Courier New" w:cs="Courier New" w:eastAsia="Courier New" w:hAnsi="Courier New"/>
          <w:sz w:val="17"/>
          <w:szCs w:val="17"/>
          <w:color w:val="auto"/>
        </w:rPr>
        <w:t>SENIOR VICE PRESIDENT AND</w:t>
      </w:r>
    </w:p>
    <w:p>
      <w:pPr>
        <w:ind w:left="4580"/>
        <w:spacing w:after="0"/>
        <w:rPr>
          <w:sz w:val="20"/>
          <w:szCs w:val="20"/>
          <w:color w:val="auto"/>
        </w:rPr>
      </w:pPr>
      <w:r>
        <w:rPr>
          <w:rFonts w:ascii="Courier New" w:cs="Courier New" w:eastAsia="Courier New" w:hAnsi="Courier New"/>
          <w:sz w:val="17"/>
          <w:szCs w:val="17"/>
          <w:color w:val="auto"/>
        </w:rPr>
        <w:t>CHIEF FINANCIAL OFFICER</w:t>
      </w:r>
    </w:p>
    <w:p>
      <w:pPr>
        <w:spacing w:after="0" w:line="18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Dated:</w:t>
        <w:tab/>
        <w:t>August 13, 1998</w:t>
      </w:r>
    </w:p>
    <w:p>
      <w:pPr>
        <w:spacing w:after="0" w:line="38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21</w:t>
      </w:r>
    </w:p>
    <w:sectPr>
      <w:pgSz w:w="11900" w:h="16838" w:orient="portrait"/>
      <w:cols w:equalWidth="0" w:num="1">
        <w:col w:w="10219"/>
      </w:cols>
      <w:pgMar w:left="240" w:top="4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3"/>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1)"/>
      <w:numFmt w:val="lowerRoman"/>
      <w:start w:val="2"/>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2019-12-14T12:17:32Z</dcterms:created>
  <dcterms:modified xsi:type="dcterms:W3CDTF">2019-12-14T12:17:32Z</dcterms:modified>
</cp:coreProperties>
</file>