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533853d1_8k.htm"/>
      <w:bookmarkStart w:id="1" w:name="kstm2533853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1_edei--DocumentType_c20251216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val="false"/>
          <w:i w:val="false"/>
          <w:caps w:val="false"/>
          <w:smallCaps w:val="false"/>
          <w:sz w:val="20"/>
        </w:rPr>
        <w:t>December 16, 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A_edei--EntityRegistrantName_c2025"/>
      <w:bookmarkEnd w:id="4"/>
      <w:r>
        <w:rPr>
          <w:rFonts w:ascii="Times New Roman;Times;Serif" w:hAnsi="Times New Roman;Times;Serif"/>
          <w:b/>
          <w:i w:val="false"/>
          <w:caps w:val="false"/>
          <w:smallCaps w:val="false"/>
          <w:sz w:val="36"/>
        </w:rPr>
        <w:t>Comfort Systems USA,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b/>
                <w:sz w:val="20"/>
              </w:rPr>
            </w:pPr>
            <w:bookmarkStart w:id="5" w:name="xdx_90E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b/>
                <w:sz w:val="20"/>
              </w:rPr>
            </w:pPr>
            <w:bookmarkStart w:id="6" w:name="xdx_907_edei--EntityFileNumber_c20251216"/>
            <w:bookmarkEnd w:id="6"/>
            <w:r>
              <w:rPr>
                <w:b/>
                <w:sz w:val="20"/>
              </w:rPr>
              <w:t>1-13011</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b/>
                <w:sz w:val="20"/>
              </w:rPr>
            </w:pPr>
            <w:bookmarkStart w:id="7" w:name="xdx_907_edei--EntityTaxIdentificationNum"/>
            <w:bookmarkEnd w:id="7"/>
            <w:r>
              <w:rPr>
                <w:b/>
                <w:sz w:val="20"/>
              </w:rPr>
              <w:t>76-0526487</w:t>
            </w:r>
          </w:p>
        </w:tc>
      </w:tr>
      <w:tr>
        <w:trPr/>
        <w:tc>
          <w:tcPr>
            <w:tcW w:w="2165" w:type="dxa"/>
            <w:tcBorders/>
            <w:vAlign w:val="center"/>
          </w:tcPr>
          <w:p>
            <w:pPr>
              <w:pStyle w:val="TableContents"/>
              <w:bidi w:val="0"/>
              <w:spacing w:before="0" w:after="283"/>
              <w:jc w:val="center"/>
              <w:rPr>
                <w:sz w:val="20"/>
              </w:rPr>
            </w:pPr>
            <w:r>
              <w:rPr>
                <w:sz w:val="20"/>
              </w:rPr>
              <w:t>(State or other jurisdiction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sz w:val="20"/>
              </w:rPr>
            </w:pPr>
            <w:r>
              <w:rPr>
                <w:sz w:val="20"/>
              </w:rPr>
              <w:t>(Commission</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sz w:val="20"/>
              </w:rPr>
            </w:pPr>
            <w:r>
              <w:rPr>
                <w:sz w:val="20"/>
              </w:rPr>
              <w:t>(IRS Employer</w:t>
            </w:r>
          </w:p>
        </w:tc>
      </w:tr>
      <w:tr>
        <w:trPr/>
        <w:tc>
          <w:tcPr>
            <w:tcW w:w="2165" w:type="dxa"/>
            <w:tcBorders/>
            <w:vAlign w:val="center"/>
          </w:tcPr>
          <w:p>
            <w:pPr>
              <w:pStyle w:val="TableContents"/>
              <w:bidi w:val="0"/>
              <w:spacing w:before="0" w:after="283"/>
              <w:jc w:val="center"/>
              <w:rPr>
                <w:sz w:val="20"/>
              </w:rPr>
            </w:pPr>
            <w:r>
              <w:rPr>
                <w:sz w:val="20"/>
              </w:rPr>
              <w:t>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sz w:val="20"/>
              </w:rPr>
            </w:pPr>
            <w:r>
              <w:rPr>
                <w:sz w:val="20"/>
              </w:rP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sz w:val="20"/>
              </w:rPr>
            </w:pPr>
            <w:r>
              <w:rPr>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283"/>
              <w:jc w:val="center"/>
              <w:rPr/>
            </w:pPr>
            <w:bookmarkStart w:id="8" w:name="xdx_900_edei--EntityAddressAddressLine1_"/>
            <w:bookmarkEnd w:id="8"/>
            <w:r>
              <w:rPr>
                <w:b/>
                <w:sz w:val="20"/>
              </w:rPr>
              <w:t xml:space="preserve">675 Bering Drive, </w:t>
            </w:r>
            <w:bookmarkStart w:id="9" w:name="xdx_90E_edei--EntityAddressAddressLine2_"/>
            <w:bookmarkEnd w:id="9"/>
            <w:r>
              <w:rPr>
                <w:b/>
                <w:sz w:val="20"/>
              </w:rPr>
              <w:t>Suite 400</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 </w:t>
            </w:r>
          </w:p>
        </w:tc>
      </w:tr>
      <w:tr>
        <w:trPr/>
        <w:tc>
          <w:tcPr>
            <w:tcW w:w="3215" w:type="dxa"/>
            <w:tcBorders/>
            <w:vAlign w:val="center"/>
          </w:tcPr>
          <w:p>
            <w:pPr>
              <w:pStyle w:val="TableContents"/>
              <w:bidi w:val="0"/>
              <w:spacing w:before="0" w:after="283"/>
              <w:jc w:val="center"/>
              <w:rPr/>
            </w:pPr>
            <w:bookmarkStart w:id="10" w:name="xdx_909_edei--EntityAddressCityOrTown_c2"/>
            <w:bookmarkEnd w:id="10"/>
            <w:r>
              <w:rPr>
                <w:b/>
                <w:sz w:val="20"/>
              </w:rPr>
              <w:t xml:space="preserve">Houston, </w:t>
            </w:r>
            <w:bookmarkStart w:id="11" w:name="xdx_902_edei--EntityAddressStateOrProvin"/>
            <w:bookmarkEnd w:id="11"/>
            <w:r>
              <w:rPr>
                <w:b/>
                <w:sz w:val="20"/>
              </w:rPr>
              <w:t>Texas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b/>
                <w:sz w:val="20"/>
              </w:rPr>
            </w:pPr>
            <w:bookmarkStart w:id="12" w:name="xdx_90E_edei--EntityAddressPostalZipCode"/>
            <w:bookmarkEnd w:id="12"/>
            <w:r>
              <w:rPr>
                <w:b/>
                <w:sz w:val="20"/>
              </w:rPr>
              <w:t>77057</w:t>
            </w:r>
          </w:p>
        </w:tc>
      </w:tr>
      <w:tr>
        <w:trPr/>
        <w:tc>
          <w:tcPr>
            <w:tcW w:w="3215" w:type="dxa"/>
            <w:tcBorders/>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08"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5_edei--CityAreaCode_c20251216__20"/>
      <w:bookmarkEnd w:id="13"/>
      <w:r>
        <w:rPr>
          <w:rFonts w:ascii="Times New Roman;Times;Serif" w:hAnsi="Times New Roman;Times;Serif"/>
          <w:b/>
          <w:i w:val="false"/>
          <w:caps w:val="false"/>
          <w:smallCaps w:val="false"/>
          <w:sz w:val="20"/>
        </w:rPr>
        <w:t xml:space="preserve">713) </w:t>
      </w:r>
      <w:bookmarkStart w:id="14" w:name="xdx_90A_edei--LocalPhoneNumber_c20251216"/>
      <w:bookmarkEnd w:id="14"/>
      <w:r>
        <w:rPr>
          <w:rFonts w:ascii="Times New Roman;Times;Serif" w:hAnsi="Times New Roman;Times;Serif"/>
          <w:b/>
          <w:i w:val="false"/>
          <w:caps w:val="false"/>
          <w:smallCaps w:val="false"/>
          <w:sz w:val="20"/>
        </w:rPr>
        <w:t>830-9600</w:t>
      </w:r>
    </w:p>
    <w:p>
      <w:pPr>
        <w:pStyle w:val="TextBody"/>
        <w:bidi w:val="0"/>
        <w:spacing w:before="0" w:after="0"/>
        <w:ind w:left="108" w:right="0" w:hanging="0"/>
        <w:jc w:val="center"/>
        <w:rPr>
          <w:caps w:val="false"/>
          <w:smallCaps w:val="false"/>
        </w:rPr>
      </w:pPr>
      <w:r>
        <w:rPr>
          <w:caps w:val="false"/>
          <w:smallCaps w:val="false"/>
        </w:rPr>
        <w:t> </w:t>
      </w:r>
    </w:p>
    <w:p>
      <w:pPr>
        <w:pStyle w:val="TextBody"/>
        <w:bidi w:val="0"/>
        <w:spacing w:before="0" w:after="0"/>
        <w:ind w:left="108"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caps w:val="false"/>
          <w:smallCaps w:val="false"/>
        </w:rPr>
      </w:pPr>
      <w:bookmarkStart w:id="15" w:name="xdx_90F_edei--WrittenCommunications_c202"/>
      <w:bookmarkEnd w:id="15"/>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360" w:right="0" w:hanging="360"/>
        <w:jc w:val="both"/>
        <w:rPr>
          <w:caps w:val="false"/>
          <w:smallCaps w:val="false"/>
        </w:rPr>
      </w:pPr>
      <w:bookmarkStart w:id="16" w:name="xdx_90B_edei--SolicitingMaterial_c202512"/>
      <w:bookmarkEnd w:id="16"/>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360" w:right="0" w:hanging="360"/>
        <w:jc w:val="both"/>
        <w:rPr>
          <w:caps w:val="false"/>
          <w:smallCaps w:val="false"/>
        </w:rPr>
      </w:pPr>
      <w:bookmarkStart w:id="17" w:name="xdx_90E_edei--PreCommencementTenderOffer"/>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360" w:right="0" w:hanging="360"/>
        <w:jc w:val="both"/>
        <w:rPr>
          <w:caps w:val="false"/>
          <w:smallCaps w:val="false"/>
        </w:rPr>
      </w:pPr>
      <w:bookmarkStart w:id="18" w:name="xdx_901_edei--PreCommencementIssuerTende"/>
      <w:bookmarkEnd w:id="18"/>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165" w:type="dxa"/>
        <w:jc w:val="left"/>
        <w:tblInd w:w="0" w:type="dxa"/>
        <w:tblLayout w:type="fixed"/>
        <w:tblCellMar>
          <w:top w:w="0" w:type="dxa"/>
          <w:left w:w="0" w:type="dxa"/>
          <w:bottom w:w="28" w:type="dxa"/>
          <w:right w:w="0" w:type="dxa"/>
        </w:tblCellMar>
      </w:tblPr>
      <w:tblGrid>
        <w:gridCol w:w="2645"/>
        <w:gridCol w:w="60"/>
        <w:gridCol w:w="1925"/>
        <w:gridCol w:w="60"/>
        <w:gridCol w:w="4475"/>
      </w:tblGrid>
      <w:tr>
        <w:trPr/>
        <w:tc>
          <w:tcPr>
            <w:tcW w:w="2645"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1925" w:type="dxa"/>
            <w:tcBorders>
              <w:bottom w:val="single" w:sz="8"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left"/>
              <w:rPr/>
            </w:pPr>
            <w:r>
              <w:rPr/>
              <w:t> </w:t>
            </w:r>
          </w:p>
        </w:tc>
        <w:tc>
          <w:tcPr>
            <w:tcW w:w="4475" w:type="dxa"/>
            <w:tcBorders>
              <w:bottom w:val="single" w:sz="8" w:space="0" w:color="000000"/>
            </w:tcBorders>
            <w:vAlign w:val="center"/>
          </w:tcPr>
          <w:p>
            <w:pPr>
              <w:pStyle w:val="TableContents"/>
              <w:bidi w:val="0"/>
              <w:spacing w:before="0" w:after="283"/>
              <w:jc w:val="center"/>
              <w:rPr>
                <w:b/>
              </w:rPr>
            </w:pPr>
            <w:r>
              <w:rPr>
                <w:b/>
              </w:rPr>
              <w:t>Name of each exchange on which registered</w:t>
            </w:r>
          </w:p>
        </w:tc>
      </w:tr>
      <w:tr>
        <w:trPr/>
        <w:tc>
          <w:tcPr>
            <w:tcW w:w="2645" w:type="dxa"/>
            <w:tcBorders/>
            <w:tcMar>
              <w:bottom w:w="0" w:type="dxa"/>
            </w:tcMar>
            <w:vAlign w:val="center"/>
          </w:tcPr>
          <w:p>
            <w:pPr>
              <w:pStyle w:val="TableContents"/>
              <w:bidi w:val="0"/>
              <w:spacing w:before="0" w:after="283"/>
              <w:jc w:val="center"/>
              <w:rPr>
                <w:sz w:val="20"/>
              </w:rPr>
            </w:pPr>
            <w:bookmarkStart w:id="19" w:name="xdx_909_edei--Security12bTitle_c20251216"/>
            <w:bookmarkEnd w:id="19"/>
            <w:r>
              <w:rPr>
                <w:sz w:val="20"/>
              </w:rPr>
              <w:t>Common Stock, $0.01 par value</w:t>
            </w:r>
          </w:p>
        </w:tc>
        <w:tc>
          <w:tcPr>
            <w:tcW w:w="60" w:type="dxa"/>
            <w:tcBorders/>
            <w:tcMar>
              <w:bottom w:w="0" w:type="dxa"/>
            </w:tcMar>
            <w:vAlign w:val="center"/>
          </w:tcPr>
          <w:p>
            <w:pPr>
              <w:pStyle w:val="TableContents"/>
              <w:bidi w:val="0"/>
              <w:spacing w:before="0" w:after="283"/>
              <w:jc w:val="left"/>
              <w:rPr/>
            </w:pPr>
            <w:r>
              <w:rPr/>
              <w:t> </w:t>
            </w:r>
          </w:p>
        </w:tc>
        <w:tc>
          <w:tcPr>
            <w:tcW w:w="1925" w:type="dxa"/>
            <w:tcBorders/>
            <w:tcMar>
              <w:bottom w:w="0" w:type="dxa"/>
            </w:tcMar>
            <w:vAlign w:val="center"/>
          </w:tcPr>
          <w:p>
            <w:pPr>
              <w:pStyle w:val="TableContents"/>
              <w:bidi w:val="0"/>
              <w:spacing w:before="0" w:after="283"/>
              <w:jc w:val="center"/>
              <w:rPr>
                <w:sz w:val="20"/>
              </w:rPr>
            </w:pPr>
            <w:bookmarkStart w:id="20" w:name="xdx_90D_edei--TradingSymbol_c20251216__2"/>
            <w:bookmarkEnd w:id="20"/>
            <w:r>
              <w:rPr>
                <w:sz w:val="20"/>
              </w:rPr>
              <w:t>FIX</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center"/>
              <w:rPr>
                <w:sz w:val="20"/>
              </w:rPr>
            </w:pPr>
            <w:bookmarkStart w:id="21" w:name="xdx_901_edei--SecurityExchangeName_c2025"/>
            <w:bookmarkEnd w:id="21"/>
            <w:r>
              <w:rPr>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6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and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19, 2025, Comfort Systems USA, Inc. (the “Company”) announced that Trent T. McKenna will transition from his current role as the Company’s Executive Vice President and Chief Operating Officer to the role of Company President and Chief Operating Officer, effective January 1, 2026. In connection with his appointment as President and Chief Operating Officer, Mr. McKenna will be entitled to receive an annual base salary equal to $850,000 and will have a target bonus opportunity equal to 115% of his base salary. In addition, Mr. McKenna will receive a long-term incentive award, consisting of time-vesting restricted stock units and performance-vesting restricted stock units, with a grant date value equal to 400% of his base salary, and will continue to participate in the Company’s Executive Severance Policy on the terms specified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Mr. McKenna’s age, business experience and other related information is included in Part I, Item 4A of the Company’s </w:t>
      </w:r>
      <w:hyperlink r:id="rId2">
        <w:r>
          <w:rPr>
            <w:rStyle w:val="InternetLink"/>
            <w:rFonts w:ascii="Times New Roman;Times;Serif" w:hAnsi="Times New Roman;Times;Serif"/>
            <w:b w:val="false"/>
            <w:i w:val="false"/>
            <w:caps w:val="false"/>
            <w:smallCaps w:val="false"/>
            <w:sz w:val="20"/>
          </w:rPr>
          <w:t>Annual Report on Form 10-K for the year-ended December 31, 2024</w:t>
        </w:r>
      </w:hyperlink>
      <w:r>
        <w:rPr>
          <w:rFonts w:ascii="Times New Roman;Times;Serif" w:hAnsi="Times New Roman;Times;Serif"/>
          <w:b w:val="false"/>
          <w:i w:val="false"/>
          <w:caps w:val="false"/>
          <w:smallCaps w:val="false"/>
          <w:sz w:val="20"/>
        </w:rPr>
        <w:t xml:space="preserve"> and is incorporated by reference herein. There are no other changes to Mr. McKenna’s relationship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same date, Laura F. Howell announced her intention to retire as Senior Vice President, General Counsel and Secretary of the Company, effective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19, 2025, the Company issued a press release announcing Mr. McKenna, Ms. Howell and Ms. Eslicker’s transitions within the Company. A copy of the press release is furnished herewith as Exhibit 99.1 and is incorporated by reference into this Item 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under Item 7.01 of this Current Report on Form 8-K, including Exhibit 99.1, shall not be deemed to be “filed” for purposes of Section 18 of the Securities Exchange Act of 1934, as amended (the “Exchange Act”), or otherwise subject to the liabilities of that section, nor shall it be deemed to be incorporated by reference into any filing by the Company under the Securities Act of 1933, as amended, or the Exchange Act, except as shall be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0"/>
        <w:gridCol w:w="60"/>
        <w:gridCol w:w="9255"/>
      </w:tblGrid>
      <w:tr>
        <w:trPr/>
        <w:tc>
          <w:tcPr>
            <w:tcW w:w="890" w:type="dxa"/>
            <w:tcBorders>
              <w:bottom w:val="single" w:sz="8" w:space="0" w:color="000000"/>
            </w:tcBorders>
            <w:vAlign w:val="center"/>
          </w:tcPr>
          <w:p>
            <w:pPr>
              <w:pStyle w:val="TableContents"/>
              <w:bidi w:val="0"/>
              <w:spacing w:before="0" w:after="283"/>
              <w:jc w:val="center"/>
              <w:rPr>
                <w:b/>
              </w:rPr>
            </w:pPr>
            <w:r>
              <w:rPr>
                <w:b/>
              </w:rPr>
              <w:t>Exhibit </w:t>
              <w:br/>
              <w:t>Number</w:t>
            </w:r>
          </w:p>
        </w:tc>
        <w:tc>
          <w:tcPr>
            <w:tcW w:w="60" w:type="dxa"/>
            <w:tcBorders/>
            <w:tcMar>
              <w:bottom w:w="0" w:type="dxa"/>
            </w:tcMar>
            <w:vAlign w:val="center"/>
          </w:tcPr>
          <w:p>
            <w:pPr>
              <w:pStyle w:val="TableContents"/>
              <w:bidi w:val="0"/>
              <w:spacing w:before="0" w:after="283"/>
              <w:jc w:val="left"/>
              <w:rPr/>
            </w:pPr>
            <w:r>
              <w:rPr/>
              <w:t> </w:t>
            </w:r>
          </w:p>
        </w:tc>
        <w:tc>
          <w:tcPr>
            <w:tcW w:w="9255"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8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both"/>
              <w:rPr/>
            </w:pPr>
            <w:r>
              <w:rPr/>
              <w:t> </w:t>
            </w:r>
          </w:p>
        </w:tc>
      </w:tr>
      <w:tr>
        <w:trPr/>
        <w:tc>
          <w:tcPr>
            <w:tcW w:w="890" w:type="dxa"/>
            <w:tcBorders/>
            <w:tcMar>
              <w:bottom w:w="0" w:type="dxa"/>
            </w:tcMar>
            <w:vAlign w:val="center"/>
          </w:tcPr>
          <w:p>
            <w:pPr>
              <w:pStyle w:val="TableContents"/>
              <w:bidi w:val="0"/>
              <w:spacing w:before="0" w:after="283"/>
              <w:jc w:val="center"/>
              <w:rPr/>
            </w:pPr>
            <w:hyperlink w:anchor="tm2533853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both"/>
              <w:rPr/>
            </w:pPr>
            <w:hyperlink w:anchor="tm2533853d1_ex99-1.htm">
              <w:r>
                <w:rPr>
                  <w:rStyle w:val="InternetLink"/>
                  <w:rFonts w:ascii="Times New Roman;Times;Serif" w:hAnsi="Times New Roman;Times;Serif"/>
                  <w:sz w:val="20"/>
                </w:rPr>
                <w:t>Press Release of Comfort Systems USA, Inc. dated December 19, 2025, announcing leadership transitions and appointments.</w:t>
              </w:r>
            </w:hyperlink>
          </w:p>
        </w:tc>
      </w:tr>
      <w:tr>
        <w:trPr/>
        <w:tc>
          <w:tcPr>
            <w:tcW w:w="8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(the cover page XBRL tags are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75"/>
        <w:gridCol w:w="320"/>
        <w:gridCol w:w="419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COMFORT SYSTEMS USA,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Laura F. Howell</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 xml:space="preserve">Laura F. Howell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i/>
              </w:rPr>
            </w:pPr>
            <w:r>
              <w:rPr>
                <w:i/>
              </w:rPr>
              <w:t>Senior Vice President and 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December 19,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533853d1_ex99-1.htm"/>
      <w:bookmarkStart w:id="24" w:name="kstm2533853d1_ex991"/>
      <w:bookmarkEnd w:id="23"/>
      <w:bookmarkEnd w:id="24"/>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jc w:val="right"/>
        <w:rPr/>
      </w:pPr>
      <w:r>
        <w:rPr/>
        <w:drawing>
          <wp:inline distT="0" distB="0" distL="0" distR="0">
            <wp:extent cx="2733675"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2733675" cy="533400"/>
                    </a:xfrm>
                    <a:prstGeom prst="rect">
                      <a:avLst/>
                    </a:prstGeom>
                  </pic:spPr>
                </pic:pic>
              </a:graphicData>
            </a:graphic>
          </wp:inline>
        </w:drawing>
      </w:r>
    </w:p>
    <w:p>
      <w:pPr>
        <w:pStyle w:val="TextBody"/>
        <w:bidi w:val="0"/>
        <w:spacing w:before="0" w:after="283"/>
        <w:jc w:val="left"/>
        <w:rPr/>
      </w:pPr>
      <w:r>
        <w:rPr/>
        <w:t> </w:t>
      </w:r>
    </w:p>
    <w:tbl>
      <w:tblPr>
        <w:tblW w:w="6990" w:type="dxa"/>
        <w:jc w:val="left"/>
        <w:tblInd w:w="0" w:type="dxa"/>
        <w:tblLayout w:type="fixed"/>
        <w:tblCellMar>
          <w:top w:w="0" w:type="dxa"/>
          <w:left w:w="0" w:type="dxa"/>
          <w:bottom w:w="0" w:type="dxa"/>
          <w:right w:w="0" w:type="dxa"/>
        </w:tblCellMar>
      </w:tblPr>
      <w:tblGrid>
        <w:gridCol w:w="1010"/>
        <w:gridCol w:w="3500"/>
        <w:gridCol w:w="2480"/>
      </w:tblGrid>
      <w:tr>
        <w:trPr/>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CONTACT:</w:t>
            </w:r>
          </w:p>
        </w:tc>
        <w:tc>
          <w:tcPr>
            <w:tcW w:w="3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Julie Shaeff, Chief Accounting Officer </w:t>
            </w:r>
          </w:p>
        </w:tc>
        <w:tc>
          <w:tcPr>
            <w:tcW w:w="24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9753 Katy Freeway, Suite 700</w:t>
            </w:r>
          </w:p>
        </w:tc>
      </w:tr>
      <w:tr>
        <w:trPr/>
        <w:tc>
          <w:tcPr>
            <w:tcW w:w="1010"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ir@comfortsystemsusa.com; 713-830-9687</w:t>
            </w:r>
          </w:p>
        </w:tc>
        <w:tc>
          <w:tcPr>
            <w:tcW w:w="24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Houston, Texas 77024</w:t>
            </w:r>
          </w:p>
        </w:tc>
      </w:tr>
      <w:tr>
        <w:trPr/>
        <w:tc>
          <w:tcPr>
            <w:tcW w:w="1010"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713-830-9600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 IMMEDIATE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COMFORT SYSTEMS ANNOUNCES LEADERSHIP TRANSITIONS AND APPOINTMENTS EFFECTIVE AS OF YEAR-END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Houston, TX — December 19, 2025 — Comfort Systems USA, Inc. (NYSE: FIX) </w:t>
      </w:r>
      <w:r>
        <w:rPr>
          <w:rFonts w:ascii="Times New Roman;Times;Serif" w:hAnsi="Times New Roman;Times;Serif"/>
          <w:b w:val="false"/>
          <w:i w:val="false"/>
          <w:caps w:val="false"/>
          <w:smallCaps w:val="false"/>
          <w:sz w:val="20"/>
        </w:rPr>
        <w:t>(the “Company”), a leading provider of commercial, industrial and institutional heating, ventilation, air conditioning and electrical contracting services, today announced that Trent T. McKenna, currently Executive Vice President and Chief Operating Officer, will be appointed to serve as President and Chief Operating Officer, effective January 1, 2026. Brian E. Lane will continue to serve as Chief Executive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Lane commented, “I am thrilled to welcome Trent as Comfort Systems USA’s next President. I am confident that our thoughtful succession planning has positioned Comfort Systems USA for this leadership transition. I am certain in his ability to build on our strong foundation and drive continued success for our Company and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announced that Laura F. Howell will retire as Senior Vice President, General Counsel and Secretary of the Company, effective as of year-end, after more than eleven years of service. Ms. Howell will continue to serve the Company as a Senior Executive Advisor in 2026 to facilitate a smooth transition. Rachel R. Eslicker, who currently serves as the Company’s Associate General Counsel and Assistant Corporate Secretary, has been appointed to succeed Ms. Howell as Senior Vice President, General Counsel and Secretary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Lane said, “Comfort Systems USA thanks Laura for her exceptional service and significant contributions. I am grateful that she will continue to be part of our Company as an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Lane continued, “Rachel has been an integral part of Comfort Systems USA’s legal team for approximately seven years. Her experience, judgment and leadership will ensure a smooth transition into her new role as General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McKenna has served as the Company’s Executive Vice President and Chief Operating Officer since January 2022 and was formerly Senior Vice President and Chief Operating Officer during 2021. Prior to 2021, Mr. McKenna served as our Senior Vice President and Vice President – Region 4 from January 2019 to December 2020; Senior Vice President, General Counsel and Secretary from August 2013 to December 2018; Vice President, General Counsel and Secretary from May 2005 to August 2013; and Associate General Counsel from August 2004 to May 2005. Prior to joining Comfort Systems USA, Mr. McKenna was a practicing attorney in the area of complex commercial litigation in the Houston, Texas, office of Akin Gump Strauss Hauer &amp; Feld LLP. Mr. McKenna holds a Bachelor of Arts degree in English from Brigham Young University and a Juris Doctorate from Duke University School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Eslicker has served as the Company’s Associate General Counsel and Assistant Corporate Secretary since January 2023 and formerly served as Senior Corporate Counsel from January 2019 to December 2022. Ms. Eslicker started her career as an associate in the Mergers and Acquisitions and Capital Markets department of the Houston, Texas, office of Vinson &amp; Elkins LLP. Ms. Eslicker holds Bachelor of Arts degrees in Government and History from the University of Texas and a Juris Doctorate from Duke University School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Comfort Systems USA</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is a premier provider of business solutions addressing workplace comfort, with 184 locations in 139 cities around the nation. For more information, visit the Company’s website at </w:t>
      </w:r>
      <w:r>
        <w:rPr>
          <w:rFonts w:ascii="Times New Roman;Times;Serif" w:hAnsi="Times New Roman;Times;Serif"/>
          <w:b w:val="false"/>
          <w:i/>
          <w:caps w:val="false"/>
          <w:smallCaps w:val="false"/>
          <w:sz w:val="20"/>
        </w:rPr>
        <w:t>www.comfortsystemsusa.com.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035983/000155837025001222/fix-20241231x10k.htm" TargetMode="External"/><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1337</Words>
  <Characters>7305</Characters>
  <CharactersWithSpaces>8668</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