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fix-20260630x10q.htm"/>
        <w:bookmarkStart w:id="1" w:name="ksfix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tLeast" w:line="142" w:before="0" w:after="0"/>
        <w:ind w:left="0" w:right="0" w:hanging="0"/>
        <w:jc w:val="left"/>
        <w:rPr>
          <w:shd w:fill="00FF00" w:val="clear"/>
        </w:rPr>
      </w:pPr>
      <w:r>
        <w:rPr>
          <w:shd w:fill="00FF00" w:val="clea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4b086979_f282_4894_86c7_b72e2c5c1970"/>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Normal"/>
        <w:bidi w:val="0"/>
        <w:spacing w:before="0" w:after="0"/>
        <w:jc w:val="left"/>
        <w:rPr>
          <w:sz w:val="4"/>
          <w:szCs w:val="4"/>
        </w:rPr>
      </w:pPr>
      <w:r>
        <w:rPr>
          <w:sz w:val="4"/>
          <w:szCs w:val="4"/>
        </w:rPr>
      </w:r>
      <w:bookmarkStart w:id="3" w:name="Tc_HrLcjvkpPkiI3FNES7IQxA_2_1"/>
      <w:bookmarkStart w:id="4" w:name="Tc_-0iEkllg1UyKQU19gfh9qA_1_0"/>
      <w:bookmarkStart w:id="5" w:name="_3b5e803e_17a0_4c2e_a0b8_9ae281f0b050"/>
      <w:bookmarkStart w:id="6" w:name="Tc_HrLcjvkpPkiI3FNES7IQxA_2_1"/>
      <w:bookmarkStart w:id="7" w:name="Tc_-0iEkllg1UyKQU19gfh9qA_1_0"/>
      <w:bookmarkStart w:id="8" w:name="_3b5e803e_17a0_4c2e_a0b8_9ae281f0b050"/>
      <w:bookmarkEnd w:id="6"/>
      <w:bookmarkEnd w:id="7"/>
      <w:bookmarkEnd w:id="8"/>
    </w:p>
    <w:tbl>
      <w:tblPr>
        <w:tblW w:w="10205" w:type="dxa"/>
        <w:jc w:val="left"/>
        <w:tblInd w:w="0" w:type="dxa"/>
        <w:tblLayout w:type="fixed"/>
        <w:tblCellMar>
          <w:top w:w="0" w:type="dxa"/>
          <w:left w:w="0" w:type="dxa"/>
          <w:bottom w:w="0" w:type="dxa"/>
          <w:right w:w="0" w:type="dxa"/>
        </w:tblCellMar>
      </w:tblPr>
      <w:tblGrid>
        <w:gridCol w:w="1065"/>
        <w:gridCol w:w="9140"/>
      </w:tblGrid>
      <w:tr>
        <w:trPr/>
        <w:tc>
          <w:tcPr>
            <w:tcW w:w="1065" w:type="dxa"/>
            <w:tcBorders/>
            <w:vAlign w:val="center"/>
          </w:tcPr>
          <w:p>
            <w:pPr>
              <w:pStyle w:val="TableContents"/>
              <w:bidi w:val="0"/>
              <w:spacing w:before="0" w:after="283"/>
              <w:ind w:left="0" w:right="0" w:hanging="0"/>
              <w:jc w:val="left"/>
              <w:rPr>
                <w:sz w:val="4"/>
                <w:szCs w:val="4"/>
              </w:rPr>
            </w:pPr>
            <w:r>
              <w:rPr>
                <w:sz w:val="4"/>
                <w:szCs w:val="4"/>
              </w:rPr>
            </w:r>
          </w:p>
        </w:tc>
        <w:tc>
          <w:tcPr>
            <w:tcW w:w="9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803900" cy="175260"/>
                      <wp:effectExtent l="0" t="0" r="0" b="0"/>
                      <wp:wrapNone/>
                      <wp:docPr id="1" name="Frame1"/>
                      <a:graphic xmlns:a="http://schemas.openxmlformats.org/drawingml/2006/main">
                        <a:graphicData uri="http://schemas.microsoft.com/office/word/2010/wordprocessingShape">
                          <wps:wsp>
                            <wps:cNvSpPr txBox="1"/>
                            <wps:spPr>
                              <a:xfrm>
                                <a:off x="0" y="0"/>
                                <a:ext cx="580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65" w:type="dxa"/>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9140" w:type="dxa"/>
            <w:tcBorders/>
            <w:vAlign w:val="center"/>
          </w:tcPr>
          <w:p>
            <w:pPr>
              <w:pStyle w:val="TableContents"/>
              <w:bidi w:val="0"/>
              <w:spacing w:before="0" w:after="0"/>
              <w:ind w:left="0" w:right="0" w:hanging="0"/>
              <w:jc w:val="left"/>
              <w:rPr/>
            </w:pPr>
            <w:r>
              <w:rPr/>
              <w:t>​</w:t>
            </w:r>
          </w:p>
        </w:tc>
      </w:tr>
      <w:tr>
        <w:trPr/>
        <w:tc>
          <w:tcPr>
            <w:tcW w:w="1065" w:type="dxa"/>
            <w:tcBorders/>
            <w:vAlign w:val="center"/>
          </w:tcPr>
          <w:p>
            <w:pPr>
              <w:pStyle w:val="TableContents"/>
              <w:pBdr/>
              <w:bidi w:val="0"/>
              <w:spacing w:before="0" w:after="0"/>
              <w:ind w:left="0" w:right="0" w:hanging="0"/>
              <w:jc w:val="center"/>
              <w:rPr/>
            </w:pPr>
            <w:r>
              <w:rPr/>
              <w:t>☒</w:t>
            </w:r>
          </w:p>
        </w:tc>
        <w:tc>
          <w:tcPr>
            <w:tcW w:w="91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Normal"/>
        <w:bidi w:val="0"/>
        <w:spacing w:before="0" w:after="0"/>
        <w:jc w:val="left"/>
        <w:rPr>
          <w:sz w:val="4"/>
          <w:szCs w:val="4"/>
        </w:rPr>
      </w:pPr>
      <w:r>
        <w:rPr>
          <w:sz w:val="4"/>
          <w:szCs w:val="4"/>
        </w:rPr>
      </w:r>
      <w:bookmarkStart w:id="9" w:name="Tc_zrjQdIJhgEW-DEuFx3THnw_2_0"/>
      <w:bookmarkStart w:id="10" w:name="Tc_X8DBnEf4i0e1LVHIQIXflg_1_1"/>
      <w:bookmarkStart w:id="11" w:name="_a0ad65ca_4bc6_4a2a_a093_e4d3389ed370"/>
      <w:bookmarkStart w:id="12" w:name="Tc_zrjQdIJhgEW-DEuFx3THnw_2_0"/>
      <w:bookmarkStart w:id="13" w:name="Tc_X8DBnEf4i0e1LVHIQIXflg_1_1"/>
      <w:bookmarkStart w:id="14" w:name="_a0ad65ca_4bc6_4a2a_a093_e4d3389ed370"/>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pBdr/>
              <w:bidi w:val="0"/>
              <w:spacing w:before="0" w:after="0"/>
              <w:ind w:left="0" w:right="0" w:hanging="0"/>
              <w:jc w:val="center"/>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10205" w:type="dxa"/>
            <w:gridSpan w:val="2"/>
            <w:tcBorders/>
            <w:vAlign w:val="center"/>
          </w:tcPr>
          <w:p>
            <w:pPr>
              <w:pStyle w:val="TableContents"/>
              <w:pBdr/>
              <w:bidi w:val="0"/>
              <w:spacing w:before="0" w:after="0"/>
              <w:ind w:left="0" w:right="0" w:hanging="20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60" w:after="120"/>
        <w:ind w:left="0" w:right="0" w:hanging="0"/>
        <w:jc w:val="center"/>
        <w:rPr>
          <w:rFonts w:ascii="Times New Roman;Times;serif" w:hAnsi="Times New Roman;Times;serif"/>
          <w:b/>
          <w:sz w:val="20"/>
        </w:rPr>
      </w:pPr>
      <w:r>
        <w:rPr>
          <w:rFonts w:ascii="Times New Roman;Times;serif" w:hAnsi="Times New Roman;Times;serif"/>
          <w:b/>
          <w:sz w:val="20"/>
        </w:rPr>
        <w:t>Commission file number: 1-13011</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COMFORT SYSTEMS USA, INC.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bl>
      <w:tblPr>
        <w:tblW w:w="4335" w:type="dxa"/>
        <w:jc w:val="left"/>
        <w:tblInd w:w="0" w:type="dxa"/>
        <w:tblLayout w:type="fixed"/>
        <w:tblCellMar>
          <w:top w:w="0" w:type="dxa"/>
          <w:left w:w="0" w:type="dxa"/>
          <w:bottom w:w="0" w:type="dxa"/>
          <w:right w:w="0" w:type="dxa"/>
        </w:tblCellMar>
      </w:tblPr>
      <w:tblGrid>
        <w:gridCol w:w="2656"/>
        <w:gridCol w:w="1679"/>
      </w:tblGrid>
      <w:tr>
        <w:trPr/>
        <w:tc>
          <w:tcPr>
            <w:tcW w:w="265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br/>
              <w:t>(State or other jurisdiction of</w:t>
              <w:br/>
              <w:t>Incorporation or Organization)</w:t>
            </w:r>
          </w:p>
        </w:tc>
        <w:tc>
          <w:tcPr>
            <w:tcW w:w="16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76-0526487</w:t>
            </w:r>
            <w:r>
              <w:rPr>
                <w:rFonts w:ascii="Times New Roman;Times;serif" w:hAnsi="Times New Roman;Times;serif"/>
                <w:sz w:val="20"/>
              </w:rPr>
              <w:br/>
              <w:t>(I.R.S. Employer</w:t>
              <w:br/>
              <w:t>Identification No.)</w:t>
            </w:r>
          </w:p>
        </w:tc>
      </w:tr>
      <w:tr>
        <w:trPr/>
        <w:tc>
          <w:tcPr>
            <w:tcW w:w="4335" w:type="dxa"/>
            <w:gridSpan w:val="2"/>
            <w:tcBorders/>
            <w:vAlign w:val="center"/>
          </w:tcPr>
          <w:p>
            <w:pPr>
              <w:pStyle w:val="TableContents"/>
              <w:pBdr/>
              <w:bidi w:val="0"/>
              <w:spacing w:before="0" w:after="0"/>
              <w:ind w:left="0" w:right="0" w:hanging="200"/>
              <w:jc w:val="center"/>
              <w:rPr>
                <w:rFonts w:ascii="Times New Roman;Times;serif" w:hAnsi="Times New Roman;Times;serif"/>
                <w:sz w:val="20"/>
              </w:rPr>
            </w:pPr>
            <w:r>
              <w:rPr>
                <w:rFonts w:ascii="Times New Roman;Times;serif" w:hAnsi="Times New Roman;Times;serif"/>
                <w:b/>
                <w:sz w:val="20"/>
              </w:rPr>
              <w:t>9753 Katy Freeway</w:t>
              <w:br/>
              <w:t>Suite 700</w:t>
              <w:br/>
              <w:t>Houston, Texas</w:t>
            </w:r>
            <w:r>
              <w:rPr>
                <w:rFonts w:ascii="Times New Roman;Times;serif" w:hAnsi="Times New Roman;Times;serif"/>
                <w:sz w:val="20"/>
              </w:rPr>
              <w:t xml:space="preserve"> </w:t>
            </w:r>
            <w:r>
              <w:rPr>
                <w:rFonts w:ascii="Times New Roman;Times;serif" w:hAnsi="Times New Roman;Times;serif"/>
                <w:b/>
                <w:sz w:val="20"/>
              </w:rPr>
              <w:t>77024</w:t>
              <w:br/>
            </w:r>
            <w:r>
              <w:rPr>
                <w:rFonts w:ascii="Times New Roman;Times;serif" w:hAnsi="Times New Roman;Times;serif"/>
                <w:sz w:val="20"/>
              </w:rPr>
              <w:t>(Address of Principal Executive Offices) (Zip Code)</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(713) 830-9600</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5" w:name="Tc_Wj_Hu6li8UmTV9g8MDru3Q_1_2"/>
      <w:bookmarkStart w:id="16" w:name="Tc_xq-huDSTh0eVr3wVYX2yUg_1_1"/>
      <w:bookmarkStart w:id="17" w:name="Tc_wf8fC0LwSUaHvIEs8ecwoA_1_0"/>
      <w:bookmarkStart w:id="18" w:name="_47ebd5c6_bfb7_433e_a007_2c70d8ac1a9e"/>
      <w:bookmarkStart w:id="19" w:name="Tc_Wj_Hu6li8UmTV9g8MDru3Q_1_2"/>
      <w:bookmarkStart w:id="20" w:name="Tc_xq-huDSTh0eVr3wVYX2yUg_1_1"/>
      <w:bookmarkStart w:id="21" w:name="Tc_wf8fC0LwSUaHvIEs8ecwoA_1_0"/>
      <w:bookmarkStart w:id="22" w:name="_47ebd5c6_bfb7_433e_a007_2c70d8ac1a9e"/>
      <w:bookmarkEnd w:id="19"/>
      <w:bookmarkEnd w:id="20"/>
      <w:bookmarkEnd w:id="21"/>
      <w:bookmarkEnd w:id="22"/>
    </w:p>
    <w:tbl>
      <w:tblPr>
        <w:tblW w:w="8253" w:type="dxa"/>
        <w:jc w:val="left"/>
        <w:tblInd w:w="0" w:type="dxa"/>
        <w:tblLayout w:type="fixed"/>
        <w:tblCellMar>
          <w:top w:w="0" w:type="dxa"/>
          <w:left w:w="0" w:type="dxa"/>
          <w:bottom w:w="0" w:type="dxa"/>
          <w:right w:w="0" w:type="dxa"/>
        </w:tblCellMar>
      </w:tblPr>
      <w:tblGrid>
        <w:gridCol w:w="2731"/>
        <w:gridCol w:w="1696"/>
        <w:gridCol w:w="382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696" w:type="dxa"/>
            <w:tcBorders/>
            <w:vAlign w:val="center"/>
          </w:tcPr>
          <w:p>
            <w:pPr>
              <w:pStyle w:val="TableContents"/>
              <w:bidi w:val="0"/>
              <w:spacing w:before="0" w:after="283"/>
              <w:ind w:left="0" w:right="0" w:hanging="0"/>
              <w:jc w:val="left"/>
              <w:rPr>
                <w:sz w:val="4"/>
                <w:szCs w:val="4"/>
              </w:rPr>
            </w:pPr>
            <w:r>
              <w:rPr>
                <w:sz w:val="4"/>
                <w:szCs w:val="4"/>
              </w:rPr>
            </w:r>
          </w:p>
        </w:tc>
        <w:tc>
          <w:tcPr>
            <w:tcW w:w="3826" w:type="dxa"/>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3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$0.01 par value</w:t>
            </w:r>
          </w:p>
        </w:tc>
        <w:tc>
          <w:tcPr>
            <w:tcW w:w="1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FIX</w:t>
            </w:r>
          </w:p>
        </w:tc>
        <w:tc>
          <w:tcPr>
            <w:tcW w:w="3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 No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755" w:type="dxa"/>
        <w:jc w:val="left"/>
        <w:tblInd w:w="0" w:type="dxa"/>
        <w:tblLayout w:type="fixed"/>
        <w:tblCellMar>
          <w:top w:w="0" w:type="dxa"/>
          <w:left w:w="0" w:type="dxa"/>
          <w:bottom w:w="0" w:type="dxa"/>
          <w:right w:w="0" w:type="dxa"/>
        </w:tblCellMar>
      </w:tblPr>
      <w:tblGrid>
        <w:gridCol w:w="1846"/>
        <w:gridCol w:w="1471"/>
        <w:gridCol w:w="1786"/>
        <w:gridCol w:w="2296"/>
        <w:gridCol w:w="2356"/>
      </w:tblGrid>
      <w:tr>
        <w:trPr/>
        <w:tc>
          <w:tcPr>
            <w:tcW w:w="18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w:t>
            </w:r>
          </w:p>
        </w:tc>
        <w:tc>
          <w:tcPr>
            <w:tcW w:w="14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c>
          <w:tcPr>
            <w:tcW w:w="17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 xml:space="preserve">☐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r>
        <w:trPr/>
        <w:tc>
          <w:tcPr>
            <w:tcW w:w="1846" w:type="dxa"/>
            <w:tcBorders/>
            <w:vAlign w:val="center"/>
          </w:tcPr>
          <w:p>
            <w:pPr>
              <w:pStyle w:val="TableContents"/>
              <w:pBdr/>
              <w:bidi w:val="0"/>
              <w:spacing w:before="0" w:after="0"/>
              <w:ind w:left="0" w:right="0" w:hanging="0"/>
              <w:jc w:val="center"/>
              <w:rPr/>
            </w:pPr>
            <w:r>
              <w:rPr/>
              <w:t>​</w:t>
            </w:r>
          </w:p>
        </w:tc>
        <w:tc>
          <w:tcPr>
            <w:tcW w:w="1471" w:type="dxa"/>
            <w:tcBorders/>
            <w:vAlign w:val="center"/>
          </w:tcPr>
          <w:p>
            <w:pPr>
              <w:pStyle w:val="TableContents"/>
              <w:bidi w:val="0"/>
              <w:spacing w:before="0" w:after="0"/>
              <w:ind w:left="0" w:right="0" w:hanging="0"/>
              <w:jc w:val="center"/>
              <w:rPr/>
            </w:pPr>
            <w:r>
              <w:rPr/>
              <w:t>​</w:t>
            </w:r>
          </w:p>
        </w:tc>
        <w:tc>
          <w:tcPr>
            <w:tcW w:w="1786" w:type="dxa"/>
            <w:tcBorders/>
            <w:vAlign w:val="center"/>
          </w:tcPr>
          <w:p>
            <w:pPr>
              <w:pStyle w:val="TableContents"/>
              <w:bidi w:val="0"/>
              <w:spacing w:before="0" w:after="0"/>
              <w:ind w:left="0" w:right="0" w:hanging="0"/>
              <w:jc w:val="center"/>
              <w:rPr/>
            </w:pPr>
            <w:r>
              <w:rPr/>
              <w:t>​</w:t>
            </w:r>
          </w:p>
        </w:tc>
        <w:tc>
          <w:tcPr>
            <w:tcW w:w="2296" w:type="dxa"/>
            <w:tcBorders/>
            <w:vAlign w:val="center"/>
          </w:tcPr>
          <w:p>
            <w:pPr>
              <w:pStyle w:val="TableContents"/>
              <w:bidi w:val="0"/>
              <w:spacing w:before="0" w:after="0"/>
              <w:ind w:left="0" w:right="0" w:hanging="0"/>
              <w:jc w:val="center"/>
              <w:rPr/>
            </w:pPr>
            <w:r>
              <w:rPr/>
              <w:t>​</w:t>
            </w:r>
          </w:p>
        </w:tc>
        <w:tc>
          <w:tcPr>
            <w:tcW w:w="2356" w:type="dxa"/>
            <w:tcBorders/>
            <w:vAlign w:val="center"/>
          </w:tcPr>
          <w:p>
            <w:pPr>
              <w:pStyle w:val="TableContents"/>
              <w:bidi w:val="0"/>
              <w:spacing w:before="0" w:after="0"/>
              <w:ind w:left="0" w:right="0" w:hanging="0"/>
              <w:jc w:val="center"/>
              <w:rPr/>
            </w:pPr>
            <w:r>
              <w:rPr/>
              <w:t>​</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Exchange Act Rule 12b-2). Yes ☐ No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number of shares outstanding of the issuer’s common stock as of July 17, 2026 was 35,194,329 (excluding treasury shares of 5,929,036).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_b025fa7a_4d54_49d6_94db_6fa16a75efe9"/>
      <w:bookmarkEnd w:id="23"/>
      <w:r>
        <w:rPr>
          <w:rFonts w:ascii="Times New Roman;Times;serif" w:hAnsi="Times New Roman;Times;serif"/>
          <w:b/>
          <w:sz w:val="20"/>
        </w:rPr>
        <w:t>COMFORT SYSTEMS USA, INC.</w:t>
      </w:r>
    </w:p>
    <w:p>
      <w:pPr>
        <w:pStyle w:val="TextBody"/>
        <w:bidi w:val="0"/>
        <w:spacing w:before="0" w:after="0"/>
        <w:ind w:left="0" w:right="0" w:hanging="0"/>
        <w:jc w:val="center"/>
        <w:rPr>
          <w:rFonts w:ascii="Times New Roman;Times;serif" w:hAnsi="Times New Roman;Times;serif"/>
          <w:b/>
          <w:sz w:val="20"/>
        </w:rPr>
      </w:pPr>
      <w:bookmarkStart w:id="24" w:name="Toc"/>
      <w:bookmarkEnd w:id="24"/>
      <w:r>
        <w:rPr>
          <w:rFonts w:ascii="Times New Roman;Times;serif" w:hAnsi="Times New Roman;Times;serif"/>
          <w:b/>
          <w:sz w:val="20"/>
        </w:rPr>
        <w:t>INDEX TO 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 ENDED JUNE 30, 2026</w:t>
      </w:r>
    </w:p>
    <w:p>
      <w:pPr>
        <w:pStyle w:val="TextBody"/>
        <w:bidi w:val="0"/>
        <w:spacing w:before="0" w:after="0"/>
        <w:ind w:left="0" w:right="0" w:hanging="0"/>
        <w:jc w:val="left"/>
        <w:rPr/>
      </w:pPr>
      <w:r>
        <w:rPr/>
        <w:t>​</w:t>
      </w:r>
    </w:p>
    <w:tbl>
      <w:tblPr>
        <w:tblW w:w="8943" w:type="dxa"/>
        <w:jc w:val="left"/>
        <w:tblInd w:w="0" w:type="dxa"/>
        <w:tblLayout w:type="fixed"/>
        <w:tblCellMar>
          <w:top w:w="0" w:type="dxa"/>
          <w:left w:w="0" w:type="dxa"/>
          <w:bottom w:w="0" w:type="dxa"/>
          <w:right w:w="0" w:type="dxa"/>
        </w:tblCellMar>
      </w:tblPr>
      <w:tblGrid>
        <w:gridCol w:w="8086"/>
        <w:gridCol w:w="346"/>
        <w:gridCol w:w="511"/>
      </w:tblGrid>
      <w:tr>
        <w:trPr/>
        <w:tc>
          <w:tcPr>
            <w:tcW w:w="8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134610" cy="175260"/>
                      <wp:effectExtent l="0" t="0" r="0" b="0"/>
                      <wp:wrapNone/>
                      <wp:docPr id="2" name="Frame2"/>
                      <a:graphic xmlns:a="http://schemas.openxmlformats.org/drawingml/2006/main">
                        <a:graphicData uri="http://schemas.microsoft.com/office/word/2010/wordprocessingShape">
                          <wps:wsp>
                            <wps:cNvSpPr txBox="1"/>
                            <wps:spPr>
                              <a:xfrm>
                                <a:off x="0" y="0"/>
                                <a:ext cx="513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24485" cy="29210"/>
                      <wp:effectExtent l="0" t="0" r="0" b="0"/>
                      <wp:wrapNone/>
                      <wp:docPr id="3" name="Frame3"/>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086" w:type="dxa"/>
            <w:tcBorders/>
            <w:vAlign w:val="center"/>
          </w:tcPr>
          <w:p>
            <w:pPr>
              <w:pStyle w:val="TableContents"/>
              <w:bidi w:val="0"/>
              <w:spacing w:lineRule="auto" w:line="304" w:before="0" w:after="20"/>
              <w:ind w:left="0" w:right="0" w:hanging="0"/>
              <w:jc w:val="left"/>
              <w:rPr/>
            </w:pPr>
            <w:r>
              <w:rPr/>
              <w:t>​</w:t>
            </w:r>
          </w:p>
        </w:tc>
        <w:tc>
          <w:tcPr>
            <w:tcW w:w="346" w:type="dxa"/>
            <w:tcBorders/>
            <w:vAlign w:val="center"/>
          </w:tcPr>
          <w:p>
            <w:pPr>
              <w:pStyle w:val="TableContents"/>
              <w:bidi w:val="0"/>
              <w:spacing w:lineRule="auto" w:line="304" w:before="0" w:after="2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lineRule="auto" w:line="304" w:before="0" w:after="2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086" w:type="dxa"/>
            <w:tcBorders/>
            <w:vAlign w:val="center"/>
          </w:tcPr>
          <w:p>
            <w:pPr>
              <w:pStyle w:val="TableContents"/>
              <w:pBdr/>
              <w:bidi w:val="0"/>
              <w:spacing w:lineRule="auto" w:line="304" w:before="0" w:after="0"/>
              <w:ind w:left="0" w:right="0" w:hanging="0"/>
              <w:jc w:val="left"/>
              <w:rPr/>
            </w:pPr>
            <w:hyperlink w:anchor="PARTIFINANCIALINFORMATION_22365">
              <w:r>
                <w:rPr>
                  <w:rStyle w:val="InternetLink"/>
                  <w:rFonts w:ascii="Times New Roman;Times;serif" w:hAnsi="Times New Roman;Times;serif"/>
                  <w:b w:val="false"/>
                  <w:i w:val="false"/>
                  <w:caps w:val="false"/>
                  <w:smallCaps w:val="false"/>
                  <w:sz w:val="20"/>
                </w:rPr>
                <w:t>Part I—Financial Information</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top w:val="single" w:sz="2" w:space="0" w:color="000000"/>
            </w:tcBorders>
            <w:tcMar>
              <w:top w:w="28" w:type="dxa"/>
            </w:tcMar>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86" w:type="dxa"/>
            <w:tcBorders/>
            <w:vAlign w:val="center"/>
          </w:tcPr>
          <w:p>
            <w:pPr>
              <w:pStyle w:val="TableContents"/>
              <w:pBdr/>
              <w:bidi w:val="0"/>
              <w:spacing w:lineRule="auto" w:line="304" w:before="0" w:after="0"/>
              <w:ind w:left="0" w:right="0" w:hanging="0"/>
              <w:jc w:val="left"/>
              <w:rPr/>
            </w:pPr>
            <w:hyperlink w:anchor="Item1FinancialStatements_828498">
              <w:r>
                <w:rPr>
                  <w:rStyle w:val="InternetLink"/>
                  <w:rFonts w:ascii="Times New Roman;Times;serif" w:hAnsi="Times New Roman;Times;serif"/>
                  <w:b w:val="false"/>
                  <w:i w:val="false"/>
                  <w:caps w:val="false"/>
                  <w:smallCaps w:val="false"/>
                  <w:sz w:val="20"/>
                </w:rPr>
                <w:t>Item 1—Financial Statements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86" w:type="dxa"/>
            <w:tcBorders/>
            <w:vAlign w:val="center"/>
          </w:tcPr>
          <w:p>
            <w:pPr>
              <w:pStyle w:val="TableContents"/>
              <w:pBdr/>
              <w:bidi w:val="0"/>
              <w:spacing w:lineRule="auto" w:line="304" w:before="0" w:after="0"/>
              <w:ind w:left="0" w:right="0" w:hanging="0"/>
              <w:jc w:val="left"/>
              <w:rPr/>
            </w:pPr>
            <w:hyperlink w:anchor="CONSOLIDATEDBALANCESHEETS_635296">
              <w:r>
                <w:rPr>
                  <w:rStyle w:val="InternetLink"/>
                  <w:rFonts w:ascii="Times New Roman;Times;serif" w:hAnsi="Times New Roman;Times;serif"/>
                  <w:b w:val="false"/>
                  <w:i w:val="false"/>
                  <w:caps w:val="false"/>
                  <w:smallCaps w:val="false"/>
                  <w:sz w:val="20"/>
                </w:rPr>
                <w:t>Consolidated Balance Sheets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086" w:type="dxa"/>
            <w:tcBorders/>
            <w:vAlign w:val="center"/>
          </w:tcPr>
          <w:p>
            <w:pPr>
              <w:pStyle w:val="TableContents"/>
              <w:pBdr/>
              <w:bidi w:val="0"/>
              <w:spacing w:lineRule="auto" w:line="304" w:before="0" w:after="0"/>
              <w:ind w:left="0" w:right="0" w:hanging="0"/>
              <w:jc w:val="left"/>
              <w:rPr/>
            </w:pPr>
            <w:hyperlink w:anchor="CONSOLIDATEDSTATEMENTSOFOPERATIONS_54357">
              <w:r>
                <w:rPr>
                  <w:rStyle w:val="InternetLink"/>
                  <w:rFonts w:ascii="Times New Roman;Times;serif" w:hAnsi="Times New Roman;Times;serif"/>
                  <w:b w:val="false"/>
                  <w:i w:val="false"/>
                  <w:caps w:val="false"/>
                  <w:smallCaps w:val="false"/>
                  <w:sz w:val="20"/>
                </w:rPr>
                <w:t>Consolidated Statements of Operations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086" w:type="dxa"/>
            <w:tcBorders/>
            <w:vAlign w:val="center"/>
          </w:tcPr>
          <w:p>
            <w:pPr>
              <w:pStyle w:val="TableContents"/>
              <w:pBdr/>
              <w:bidi w:val="0"/>
              <w:spacing w:lineRule="auto" w:line="304" w:before="0" w:after="0"/>
              <w:ind w:left="0" w:right="0" w:hanging="0"/>
              <w:jc w:val="left"/>
              <w:rPr/>
            </w:pPr>
            <w:hyperlink w:anchor="STATEMENTSOFSTOCKHOLDERSEQUITY_584218">
              <w:r>
                <w:rPr>
                  <w:rStyle w:val="InternetLink"/>
                  <w:rFonts w:ascii="Times New Roman;Times;serif" w:hAnsi="Times New Roman;Times;serif"/>
                  <w:b w:val="false"/>
                  <w:i w:val="false"/>
                  <w:caps w:val="false"/>
                  <w:smallCaps w:val="false"/>
                  <w:sz w:val="20"/>
                </w:rPr>
                <w:t>Consolidated Statements of Stockholders’ Equity</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086" w:type="dxa"/>
            <w:tcBorders/>
            <w:vAlign w:val="center"/>
          </w:tcPr>
          <w:p>
            <w:pPr>
              <w:pStyle w:val="TableContents"/>
              <w:pBdr/>
              <w:bidi w:val="0"/>
              <w:spacing w:lineRule="auto" w:line="304" w:before="0" w:after="0"/>
              <w:ind w:left="0" w:right="0" w:hanging="0"/>
              <w:jc w:val="left"/>
              <w:rPr/>
            </w:pPr>
            <w:hyperlink w:anchor="CONSOLIDATEDSTATEMENTSOFCASHFLOWS_486675">
              <w:r>
                <w:rPr>
                  <w:rStyle w:val="InternetLink"/>
                  <w:rFonts w:ascii="Times New Roman;Times;serif" w:hAnsi="Times New Roman;Times;serif"/>
                  <w:b w:val="false"/>
                  <w:i w:val="false"/>
                  <w:caps w:val="false"/>
                  <w:smallCaps w:val="false"/>
                  <w:sz w:val="20"/>
                </w:rPr>
                <w:t>Consolidated Statements of Cash Flows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086" w:type="dxa"/>
            <w:tcBorders/>
            <w:vAlign w:val="center"/>
          </w:tcPr>
          <w:p>
            <w:pPr>
              <w:pStyle w:val="TableContents"/>
              <w:pBdr/>
              <w:bidi w:val="0"/>
              <w:spacing w:lineRule="auto" w:line="304" w:before="0" w:after="0"/>
              <w:ind w:left="0" w:right="0" w:hanging="0"/>
              <w:jc w:val="left"/>
              <w:rPr/>
            </w:pPr>
            <w:hyperlink w:anchor="CONDENSEDNOTESTOCONSOLIDATEDFINANCIALSTA">
              <w:r>
                <w:rPr>
                  <w:rStyle w:val="InternetLink"/>
                  <w:rFonts w:ascii="Times New Roman;Times;serif" w:hAnsi="Times New Roman;Times;serif"/>
                  <w:b w:val="false"/>
                  <w:i w:val="false"/>
                  <w:caps w:val="false"/>
                  <w:smallCaps w:val="false"/>
                  <w:sz w:val="20"/>
                </w:rPr>
                <w:t>Condensed Notes to Consolidated Financial Statements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086" w:type="dxa"/>
            <w:tcBorders/>
            <w:vAlign w:val="center"/>
          </w:tcPr>
          <w:p>
            <w:pPr>
              <w:pStyle w:val="TableContents"/>
              <w:pBdr/>
              <w:bidi w:val="0"/>
              <w:spacing w:lineRule="auto" w:line="304"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2—Management’s Discussion and Analysis of Financial Condition and Results of Operations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086" w:type="dxa"/>
            <w:tcBorders/>
            <w:vAlign w:val="center"/>
          </w:tcPr>
          <w:p>
            <w:pPr>
              <w:pStyle w:val="TableContents"/>
              <w:pBdr/>
              <w:bidi w:val="0"/>
              <w:spacing w:lineRule="auto" w:line="304"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3—Quantitative and Qualitative Disclosures about Market Risk</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086" w:type="dxa"/>
            <w:tcBorders/>
            <w:vAlign w:val="center"/>
          </w:tcPr>
          <w:p>
            <w:pPr>
              <w:pStyle w:val="TableContents"/>
              <w:pBdr/>
              <w:bidi w:val="0"/>
              <w:spacing w:lineRule="auto" w:line="304" w:before="0" w:after="0"/>
              <w:ind w:left="0" w:right="0" w:hanging="0"/>
              <w:jc w:val="left"/>
              <w:rPr/>
            </w:pPr>
            <w:hyperlink w:anchor="Item4ControlsandProcedures_993069">
              <w:r>
                <w:rPr>
                  <w:rStyle w:val="InternetLink"/>
                  <w:rFonts w:ascii="Times New Roman;Times;serif" w:hAnsi="Times New Roman;Times;serif"/>
                  <w:b w:val="false"/>
                  <w:i w:val="false"/>
                  <w:caps w:val="false"/>
                  <w:smallCaps w:val="false"/>
                  <w:sz w:val="20"/>
                </w:rPr>
                <w:t>Item 4—Controls and Procedures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086" w:type="dxa"/>
            <w:tcBorders/>
            <w:vAlign w:val="center"/>
          </w:tcPr>
          <w:p>
            <w:pPr>
              <w:pStyle w:val="TableContents"/>
              <w:pBdr/>
              <w:bidi w:val="0"/>
              <w:spacing w:lineRule="auto" w:line="304" w:before="0" w:after="0"/>
              <w:ind w:left="0" w:right="0" w:hanging="0"/>
              <w:jc w:val="left"/>
              <w:rPr/>
            </w:pPr>
            <w:hyperlink w:anchor="PARTIIOTHERINFORMATION_876059">
              <w:r>
                <w:rPr>
                  <w:rStyle w:val="InternetLink"/>
                  <w:rFonts w:ascii="Times New Roman;Times;serif" w:hAnsi="Times New Roman;Times;serif"/>
                  <w:b w:val="false"/>
                  <w:i w:val="false"/>
                  <w:caps w:val="false"/>
                  <w:smallCaps w:val="false"/>
                  <w:sz w:val="20"/>
                </w:rPr>
                <w:t>Part II—Other Information</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086" w:type="dxa"/>
            <w:tcBorders/>
            <w:vAlign w:val="center"/>
          </w:tcPr>
          <w:p>
            <w:pPr>
              <w:pStyle w:val="TableContents"/>
              <w:pBdr/>
              <w:bidi w:val="0"/>
              <w:spacing w:lineRule="auto" w:line="304" w:before="0" w:after="0"/>
              <w:ind w:left="0" w:right="0" w:hanging="0"/>
              <w:jc w:val="left"/>
              <w:rPr/>
            </w:pPr>
            <w:hyperlink w:anchor="Item1LegalProceedings_592048">
              <w:r>
                <w:rPr>
                  <w:rStyle w:val="InternetLink"/>
                  <w:rFonts w:ascii="Times New Roman;Times;serif" w:hAnsi="Times New Roman;Times;serif"/>
                  <w:b w:val="false"/>
                  <w:i w:val="false"/>
                  <w:caps w:val="false"/>
                  <w:smallCaps w:val="false"/>
                  <w:sz w:val="20"/>
                </w:rPr>
                <w:t>Item 1—Legal Proceedings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086" w:type="dxa"/>
            <w:tcBorders/>
            <w:vAlign w:val="center"/>
          </w:tcPr>
          <w:p>
            <w:pPr>
              <w:pStyle w:val="TableContents"/>
              <w:pBdr/>
              <w:bidi w:val="0"/>
              <w:spacing w:lineRule="auto" w:line="304" w:before="0" w:after="0"/>
              <w:ind w:left="0" w:right="0" w:hanging="0"/>
              <w:jc w:val="left"/>
              <w:rPr/>
            </w:pPr>
            <w:hyperlink w:anchor="Item1ARiskFactors_3757">
              <w:r>
                <w:rPr>
                  <w:rStyle w:val="InternetLink"/>
                  <w:rFonts w:ascii="Times New Roman;Times;serif" w:hAnsi="Times New Roman;Times;serif"/>
                  <w:b w:val="false"/>
                  <w:i w:val="false"/>
                  <w:caps w:val="false"/>
                  <w:smallCaps w:val="false"/>
                  <w:sz w:val="20"/>
                </w:rPr>
                <w:t>Item 1A—Risk Factors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086" w:type="dxa"/>
            <w:tcBorders/>
            <w:vAlign w:val="center"/>
          </w:tcPr>
          <w:p>
            <w:pPr>
              <w:pStyle w:val="TableContents"/>
              <w:pBdr/>
              <w:bidi w:val="0"/>
              <w:spacing w:lineRule="auto" w:line="304"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2—Unregistered Sales of Equity Securities and Use of Proceeds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086" w:type="dxa"/>
            <w:tcBorders/>
            <w:vAlign w:val="center"/>
          </w:tcPr>
          <w:p>
            <w:pPr>
              <w:pStyle w:val="TableContents"/>
              <w:pBdr/>
              <w:bidi w:val="0"/>
              <w:spacing w:lineRule="auto" w:line="304" w:before="0" w:after="0"/>
              <w:ind w:left="0" w:right="0" w:hanging="0"/>
              <w:jc w:val="left"/>
              <w:rPr/>
            </w:pPr>
            <w:hyperlink w:anchor="Other_Information">
              <w:r>
                <w:rPr>
                  <w:rStyle w:val="InternetLink"/>
                  <w:rFonts w:ascii="Times New Roman;Times;serif" w:hAnsi="Times New Roman;Times;serif"/>
                  <w:b w:val="false"/>
                  <w:i w:val="false"/>
                  <w:caps w:val="false"/>
                  <w:smallCaps w:val="false"/>
                  <w:sz w:val="20"/>
                </w:rPr>
                <w:t>Item 5—Other Information</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086" w:type="dxa"/>
            <w:tcBorders/>
            <w:vAlign w:val="center"/>
          </w:tcPr>
          <w:p>
            <w:pPr>
              <w:pStyle w:val="TableContents"/>
              <w:pBdr/>
              <w:bidi w:val="0"/>
              <w:spacing w:lineRule="auto" w:line="304" w:before="0" w:after="0"/>
              <w:ind w:left="0" w:right="0" w:hanging="0"/>
              <w:jc w:val="left"/>
              <w:rPr/>
            </w:pPr>
            <w:hyperlink w:anchor="Item6Exhibits_786371">
              <w:r>
                <w:rPr>
                  <w:rStyle w:val="InternetLink"/>
                  <w:rFonts w:ascii="Times New Roman;Times;serif" w:hAnsi="Times New Roman;Times;serif"/>
                  <w:b w:val="false"/>
                  <w:i w:val="false"/>
                  <w:caps w:val="false"/>
                  <w:smallCaps w:val="false"/>
                  <w:sz w:val="20"/>
                </w:rPr>
                <w:t>Item 6—Exhibits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086" w:type="dxa"/>
            <w:tcBorders/>
            <w:vAlign w:val="center"/>
          </w:tcPr>
          <w:p>
            <w:pPr>
              <w:pStyle w:val="TableContents"/>
              <w:pBdr/>
              <w:bidi w:val="0"/>
              <w:spacing w:lineRule="auto" w:line="304" w:before="0" w:after="0"/>
              <w:ind w:left="0" w:right="0" w:hanging="0"/>
              <w:jc w:val="left"/>
              <w:rPr/>
            </w:pPr>
            <w:hyperlink w:anchor="SIGNATURES_727857">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lineRule="auto" w:line="304" w:before="0" w:after="0"/>
              <w:ind w:left="0" w:right="0" w:hanging="0"/>
              <w:jc w:val="right"/>
              <w:rPr/>
            </w:pPr>
            <w:r>
              <w:rPr/>
              <w:t>​</w:t>
            </w:r>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 w:name="PARTIFINANCIALINFORMATION_22365"/>
      <w:bookmarkStart w:id="26" w:name="_e1c8b2f3_aa11_402e_971e_e1381ae4161b"/>
      <w:bookmarkEnd w:id="25"/>
      <w:bookmarkEnd w:id="26"/>
      <w:r>
        <w:rPr>
          <w:rFonts w:ascii="Times New Roman;Times;serif" w:hAnsi="Times New Roman;Times;serif"/>
          <w:b/>
          <w:sz w:val="20"/>
        </w:rPr>
        <w:t>PART I—FINANCIAL INFORMATION</w:t>
      </w:r>
    </w:p>
    <w:p>
      <w:pPr>
        <w:pStyle w:val="TextBody"/>
        <w:bidi w:val="0"/>
        <w:spacing w:before="0" w:after="0"/>
        <w:ind w:left="0" w:right="0" w:hanging="0"/>
        <w:jc w:val="left"/>
        <w:rPr>
          <w:rFonts w:ascii="Times New Roman;Times;serif" w:hAnsi="Times New Roman;Times;serif"/>
          <w:sz w:val="20"/>
        </w:rPr>
      </w:pPr>
      <w:bookmarkStart w:id="27" w:name="Item1FinancialStatements_828498"/>
      <w:bookmarkEnd w:id="27"/>
      <w:r>
        <w:rPr>
          <w:rFonts w:ascii="Times New Roman;Times;serif" w:hAnsi="Times New Roman;Times;serif"/>
          <w:b/>
          <w:sz w:val="20"/>
        </w:rPr>
        <w:t xml:space="preserve">Item 1. </w:t>
      </w:r>
      <w:r>
        <w:rPr>
          <w:rFonts w:ascii="Times New Roman;Times;serif" w:hAnsi="Times New Roman;Times;serif"/>
          <w:b/>
          <w:i/>
          <w:sz w:val="20"/>
        </w:rPr>
        <w:t>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COMFORT SYSTEMS USA, INC.</w:t>
      </w:r>
    </w:p>
    <w:p>
      <w:pPr>
        <w:pStyle w:val="TextBody"/>
        <w:bidi w:val="0"/>
        <w:spacing w:before="0" w:after="240"/>
        <w:ind w:left="0" w:right="0" w:hanging="0"/>
        <w:jc w:val="center"/>
        <w:rPr>
          <w:rFonts w:ascii="Times New Roman;Times;serif" w:hAnsi="Times New Roman;Times;serif"/>
          <w:b/>
          <w:sz w:val="20"/>
        </w:rPr>
      </w:pPr>
      <w:bookmarkStart w:id="28" w:name="CONSOLIDATEDBALANCESHEETS_635296"/>
      <w:bookmarkEnd w:id="28"/>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Normal"/>
        <w:bidi w:val="0"/>
        <w:spacing w:before="0" w:after="0"/>
        <w:jc w:val="left"/>
        <w:rPr>
          <w:sz w:val="4"/>
          <w:szCs w:val="4"/>
        </w:rPr>
      </w:pPr>
      <w:r>
        <w:rPr>
          <w:sz w:val="4"/>
          <w:szCs w:val="4"/>
        </w:rPr>
      </w:r>
      <w:bookmarkStart w:id="29" w:name="Tc_M91gkWPxuUutQEtz9BAJ7g_43_5"/>
      <w:bookmarkStart w:id="30" w:name="Tc_d30LJRRgIUaV7F3t5jjN7w_43_2"/>
      <w:bookmarkStart w:id="31" w:name="Tc_5U7yfBWDm0C-On2sX1ITKA_43_0"/>
      <w:bookmarkStart w:id="32" w:name="Tc_e__1_0y_PkyZJ3pwQy7Zlw_42_0"/>
      <w:bookmarkStart w:id="33" w:name="Tc_f4RtA8JMh0-6zsJxvHJzXg_41_0"/>
      <w:bookmarkStart w:id="34" w:name="Tc_2BjR_Wi_GEyaGT9n4Ywfnw_40_0"/>
      <w:bookmarkStart w:id="35" w:name="Tc_B2gUCXUI8E6rKJnFw9Felg_39_0"/>
      <w:bookmarkStart w:id="36" w:name="Tc_zx0CHa8l4EqisXlr3OPO-Q_38_0"/>
      <w:bookmarkStart w:id="37" w:name="Tc_OsSSJtIR8USPYoltgcSv9Q_37_0"/>
      <w:bookmarkStart w:id="38" w:name="Tc_0hTyaE3xnUCCGpEMSH893A_36_0"/>
      <w:bookmarkStart w:id="39" w:name="Tc_1_1mYTkOpUSGVn9JV7YbQw_35_0"/>
      <w:bookmarkStart w:id="40" w:name="Tc_So_Ijq22hkKeCTwdLtw7NQ_34_0"/>
      <w:bookmarkStart w:id="41" w:name="Tc_0Xy0qXfp9kigSdG7Bx77FA_33_0"/>
      <w:bookmarkStart w:id="42" w:name="Tc_zmHwhQZjCEq0Rtl_91nTnw_32_0"/>
      <w:bookmarkStart w:id="43" w:name="Tc__nox9E-cy0mNL1M14Vxg9Q_31_0"/>
      <w:bookmarkStart w:id="44" w:name="Tc_CP-hgZQEoEyUC9h53kVZng_30_0"/>
      <w:bookmarkStart w:id="45" w:name="Tc_Z-O8NnYco0q9Mt9EuqBBvQ_29_0"/>
      <w:bookmarkStart w:id="46" w:name="Tc_pBMveZ04GU2IitOhhbbupQ_28_0"/>
      <w:bookmarkStart w:id="47" w:name="Tc_k4WGGDaTpkqCDDYZHI0waQ_27_0"/>
      <w:bookmarkStart w:id="48" w:name="Tc_gioy40RUFkiTX-A6E7KewQ_26_0"/>
      <w:bookmarkStart w:id="49" w:name="Tc_dHVIqO1JA0qlwRrTJxBidA_25_0"/>
      <w:bookmarkStart w:id="50" w:name="Tc_wohc2cu7uEWRIb-ydMilVA_24_0"/>
      <w:bookmarkStart w:id="51" w:name="Tc_8vJVgRBQpEGM2nCYRDBieg_23_5"/>
      <w:bookmarkStart w:id="52" w:name="Tc_unXWBF0MSkKWE3lbcCX9ew_23_2"/>
      <w:bookmarkStart w:id="53" w:name="Tc_b8zA5irzkUarChVmxEQH8A_23_0"/>
      <w:bookmarkStart w:id="54" w:name="Tc_QLHLVZ-6W0mNFcqfHM2Izg_22_0"/>
      <w:bookmarkStart w:id="55" w:name="Tc_oxZukldzbEWjZZeVQBh-7A_21_0"/>
      <w:bookmarkStart w:id="56" w:name="Tc_kAVsSx-F_UieZZuoOxIxpA_20_5"/>
      <w:bookmarkStart w:id="57" w:name="Tc_Qz4xFacLOEeO0GJkMSXw1Q_20_2"/>
      <w:bookmarkStart w:id="58" w:name="Tc_3lDm6pd07kiASFLhex7E-Q_20_0"/>
      <w:bookmarkStart w:id="59" w:name="Tc_eH3TxvBBkkintZvw638L3w_19_0"/>
      <w:bookmarkStart w:id="60" w:name="Tc_kifaNzZLe0mzPME16cKOYA_18_0"/>
      <w:bookmarkStart w:id="61" w:name="Tc_Mb_4ZRB_f06lF-C2bBWaaQ_17_0"/>
      <w:bookmarkStart w:id="62" w:name="Tc_oKNslEhCuUyVR4QvUqGcng_16_0"/>
      <w:bookmarkStart w:id="63" w:name="Tc_2Q0cyG8vcUeCqakNO0OHuQ_15_0"/>
      <w:bookmarkStart w:id="64" w:name="Tc_SwbFKfN7YEWvnLMidmy-fg_14_0"/>
      <w:bookmarkStart w:id="65" w:name="Tc_HoJ0j90g70qykqysllguIA_13_0"/>
      <w:bookmarkStart w:id="66" w:name="Tc_mrzBbPqbFkO06wfvolAUrQ_12_0"/>
      <w:bookmarkStart w:id="67" w:name="Tc_KBek3Jtfh0KOQ4ypCewSbg_11_0"/>
      <w:bookmarkStart w:id="68" w:name="Tc_6DPr6ln8KE6Q_4QqH7xfag_10_0"/>
      <w:bookmarkStart w:id="69" w:name="Tc_Temt3AA7jkOMg43si9P6rQ_9_0"/>
      <w:bookmarkStart w:id="70" w:name="Tc_Ygszv2Xm0kurKD8vbwK4HQ_8_0"/>
      <w:bookmarkStart w:id="71" w:name="Tc_X8pzFdLL6UyjA89VyCITPw_7_0"/>
      <w:bookmarkStart w:id="72" w:name="Tc_BZ6RTOHkR0e4aH8OUAl5lQ_6_5"/>
      <w:bookmarkStart w:id="73" w:name="Tc_0zrqj5N1ZUWut8RRu_StxA_6_2"/>
      <w:bookmarkStart w:id="74" w:name="Tc_qw-rKJ3SokWQ2O6HI4oAAA_6_0"/>
      <w:bookmarkStart w:id="75" w:name="Tc_JyhDOOTTEEquF0QCgXH8QA_5_0"/>
      <w:bookmarkStart w:id="76" w:name="Tc_mlnehcR7X0qRLl8M2cOSAQ_4_0"/>
      <w:bookmarkStart w:id="77" w:name="Tc_9NYqqofssUGYdSExQv-WCg_3_2"/>
      <w:bookmarkStart w:id="78" w:name="Tc_IIIMvq_BVE-a8Z1fnzR6tw_2_5"/>
      <w:bookmarkStart w:id="79" w:name="Tc_xF8IftFRwUGATKHL4NnMtQ_2_2"/>
      <w:bookmarkStart w:id="80" w:name="Tc_OpJFixprnEKo_U1rmXUHQw_1_5"/>
      <w:bookmarkStart w:id="81" w:name="Tc_7s2S_ELaMkuGoUubbnvdrQ_1_2"/>
      <w:bookmarkStart w:id="82" w:name="_06a45c18_6e63_4e33_9112_606482aea4b0"/>
      <w:bookmarkStart w:id="83" w:name="Tc_M91gkWPxuUutQEtz9BAJ7g_43_5"/>
      <w:bookmarkStart w:id="84" w:name="Tc_d30LJRRgIUaV7F3t5jjN7w_43_2"/>
      <w:bookmarkStart w:id="85" w:name="Tc_5U7yfBWDm0C-On2sX1ITKA_43_0"/>
      <w:bookmarkStart w:id="86" w:name="Tc_e__1_0y_PkyZJ3pwQy7Zlw_42_0"/>
      <w:bookmarkStart w:id="87" w:name="Tc_f4RtA8JMh0-6zsJxvHJzXg_41_0"/>
      <w:bookmarkStart w:id="88" w:name="Tc_2BjR_Wi_GEyaGT9n4Ywfnw_40_0"/>
      <w:bookmarkStart w:id="89" w:name="Tc_B2gUCXUI8E6rKJnFw9Felg_39_0"/>
      <w:bookmarkStart w:id="90" w:name="Tc_zx0CHa8l4EqisXlr3OPO-Q_38_0"/>
      <w:bookmarkStart w:id="91" w:name="Tc_OsSSJtIR8USPYoltgcSv9Q_37_0"/>
      <w:bookmarkStart w:id="92" w:name="Tc_0hTyaE3xnUCCGpEMSH893A_36_0"/>
      <w:bookmarkStart w:id="93" w:name="Tc_1_1mYTkOpUSGVn9JV7YbQw_35_0"/>
      <w:bookmarkStart w:id="94" w:name="Tc_So_Ijq22hkKeCTwdLtw7NQ_34_0"/>
      <w:bookmarkStart w:id="95" w:name="Tc_0Xy0qXfp9kigSdG7Bx77FA_33_0"/>
      <w:bookmarkStart w:id="96" w:name="Tc_zmHwhQZjCEq0Rtl_91nTnw_32_0"/>
      <w:bookmarkStart w:id="97" w:name="Tc__nox9E-cy0mNL1M14Vxg9Q_31_0"/>
      <w:bookmarkStart w:id="98" w:name="Tc_CP-hgZQEoEyUC9h53kVZng_30_0"/>
      <w:bookmarkStart w:id="99" w:name="Tc_Z-O8NnYco0q9Mt9EuqBBvQ_29_0"/>
      <w:bookmarkStart w:id="100" w:name="Tc_pBMveZ04GU2IitOhhbbupQ_28_0"/>
      <w:bookmarkStart w:id="101" w:name="Tc_k4WGGDaTpkqCDDYZHI0waQ_27_0"/>
      <w:bookmarkStart w:id="102" w:name="Tc_gioy40RUFkiTX-A6E7KewQ_26_0"/>
      <w:bookmarkStart w:id="103" w:name="Tc_dHVIqO1JA0qlwRrTJxBidA_25_0"/>
      <w:bookmarkStart w:id="104" w:name="Tc_wohc2cu7uEWRIb-ydMilVA_24_0"/>
      <w:bookmarkStart w:id="105" w:name="Tc_8vJVgRBQpEGM2nCYRDBieg_23_5"/>
      <w:bookmarkStart w:id="106" w:name="Tc_unXWBF0MSkKWE3lbcCX9ew_23_2"/>
      <w:bookmarkStart w:id="107" w:name="Tc_b8zA5irzkUarChVmxEQH8A_23_0"/>
      <w:bookmarkStart w:id="108" w:name="Tc_QLHLVZ-6W0mNFcqfHM2Izg_22_0"/>
      <w:bookmarkStart w:id="109" w:name="Tc_oxZukldzbEWjZZeVQBh-7A_21_0"/>
      <w:bookmarkStart w:id="110" w:name="Tc_kAVsSx-F_UieZZuoOxIxpA_20_5"/>
      <w:bookmarkStart w:id="111" w:name="Tc_Qz4xFacLOEeO0GJkMSXw1Q_20_2"/>
      <w:bookmarkStart w:id="112" w:name="Tc_3lDm6pd07kiASFLhex7E-Q_20_0"/>
      <w:bookmarkStart w:id="113" w:name="Tc_eH3TxvBBkkintZvw638L3w_19_0"/>
      <w:bookmarkStart w:id="114" w:name="Tc_kifaNzZLe0mzPME16cKOYA_18_0"/>
      <w:bookmarkStart w:id="115" w:name="Tc_Mb_4ZRB_f06lF-C2bBWaaQ_17_0"/>
      <w:bookmarkStart w:id="116" w:name="Tc_oKNslEhCuUyVR4QvUqGcng_16_0"/>
      <w:bookmarkStart w:id="117" w:name="Tc_2Q0cyG8vcUeCqakNO0OHuQ_15_0"/>
      <w:bookmarkStart w:id="118" w:name="Tc_SwbFKfN7YEWvnLMidmy-fg_14_0"/>
      <w:bookmarkStart w:id="119" w:name="Tc_HoJ0j90g70qykqysllguIA_13_0"/>
      <w:bookmarkStart w:id="120" w:name="Tc_mrzBbPqbFkO06wfvolAUrQ_12_0"/>
      <w:bookmarkStart w:id="121" w:name="Tc_KBek3Jtfh0KOQ4ypCewSbg_11_0"/>
      <w:bookmarkStart w:id="122" w:name="Tc_6DPr6ln8KE6Q_4QqH7xfag_10_0"/>
      <w:bookmarkStart w:id="123" w:name="Tc_Temt3AA7jkOMg43si9P6rQ_9_0"/>
      <w:bookmarkStart w:id="124" w:name="Tc_Ygszv2Xm0kurKD8vbwK4HQ_8_0"/>
      <w:bookmarkStart w:id="125" w:name="Tc_X8pzFdLL6UyjA89VyCITPw_7_0"/>
      <w:bookmarkStart w:id="126" w:name="Tc_BZ6RTOHkR0e4aH8OUAl5lQ_6_5"/>
      <w:bookmarkStart w:id="127" w:name="Tc_0zrqj5N1ZUWut8RRu_StxA_6_2"/>
      <w:bookmarkStart w:id="128" w:name="Tc_qw-rKJ3SokWQ2O6HI4oAAA_6_0"/>
      <w:bookmarkStart w:id="129" w:name="Tc_JyhDOOTTEEquF0QCgXH8QA_5_0"/>
      <w:bookmarkStart w:id="130" w:name="Tc_mlnehcR7X0qRLl8M2cOSAQ_4_0"/>
      <w:bookmarkStart w:id="131" w:name="Tc_9NYqqofssUGYdSExQv-WCg_3_2"/>
      <w:bookmarkStart w:id="132" w:name="Tc_IIIMvq_BVE-a8Z1fnzR6tw_2_5"/>
      <w:bookmarkStart w:id="133" w:name="Tc_xF8IftFRwUGATKHL4NnMtQ_2_2"/>
      <w:bookmarkStart w:id="134" w:name="Tc_OpJFixprnEKo_U1rmXUHQw_1_5"/>
      <w:bookmarkStart w:id="135" w:name="Tc_7s2S_ELaMkuGoUubbnvdrQ_1_2"/>
      <w:bookmarkStart w:id="136" w:name="_06a45c18_6e63_4e33_9112_606482aea4b0"/>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10205" w:type="dxa"/>
        <w:jc w:val="left"/>
        <w:tblInd w:w="0" w:type="dxa"/>
        <w:tblLayout w:type="fixed"/>
        <w:tblCellMar>
          <w:top w:w="0" w:type="dxa"/>
          <w:left w:w="0" w:type="dxa"/>
          <w:bottom w:w="0" w:type="dxa"/>
          <w:right w:w="0" w:type="dxa"/>
        </w:tblCellMar>
      </w:tblPr>
      <w:tblGrid>
        <w:gridCol w:w="7038"/>
        <w:gridCol w:w="346"/>
        <w:gridCol w:w="211"/>
        <w:gridCol w:w="931"/>
        <w:gridCol w:w="346"/>
        <w:gridCol w:w="211"/>
        <w:gridCol w:w="931"/>
        <w:gridCol w:w="191"/>
      </w:tblGrid>
      <w:tr>
        <w:trPr/>
        <w:tc>
          <w:tcPr>
            <w:tcW w:w="7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69130" cy="175260"/>
                      <wp:effectExtent l="0" t="0" r="0" b="0"/>
                      <wp:wrapNone/>
                      <wp:docPr id="4" name="Frame4"/>
                      <a:graphic xmlns:a="http://schemas.openxmlformats.org/drawingml/2006/main">
                        <a:graphicData uri="http://schemas.microsoft.com/office/word/2010/wordprocessingShape">
                          <wps:wsp>
                            <wps:cNvSpPr txBox="1"/>
                            <wps:spPr>
                              <a:xfrm>
                                <a:off x="0" y="0"/>
                                <a:ext cx="446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1185" cy="175260"/>
                      <wp:effectExtent l="0" t="0" r="0" b="0"/>
                      <wp:wrapNone/>
                      <wp:docPr id="7" name="Frame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91185" cy="175260"/>
                      <wp:effectExtent l="0" t="0" r="0" b="0"/>
                      <wp:wrapNone/>
                      <wp:docPr id="10" name="Frame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1285" cy="175260"/>
                      <wp:effectExtent l="0" t="0" r="0" b="0"/>
                      <wp:wrapNone/>
                      <wp:docPr id="11" name="Frame1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703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1,854,794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981,898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Billed accounts receivable, less allowance for credit losses of $23,491</w:t>
            </w:r>
            <w:r>
              <w:rPr>
                <w:rFonts w:ascii="Times New Roman;Times;serif" w:hAnsi="Times New Roman;Times;serif"/>
                <w:sz w:val="18"/>
              </w:rPr>
              <w:t xml:space="preserve"> </w:t>
            </w:r>
            <w:r>
              <w:rPr>
                <w:rFonts w:ascii="Times New Roman;Times;serif" w:hAnsi="Times New Roman;Times;serif"/>
                <w:sz w:val="19"/>
              </w:rPr>
              <w:t>and $19,708,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3,278,811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2,577,858</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Unbilled accounts receivable, less allowance for credit losses of $1,636</w:t>
            </w:r>
            <w:r>
              <w:rPr>
                <w:rFonts w:ascii="Times New Roman;Times;serif" w:hAnsi="Times New Roman;Times;serif"/>
                <w:sz w:val="18"/>
              </w:rPr>
              <w:t xml:space="preserve"> </w:t>
            </w:r>
            <w:r>
              <w:rPr>
                <w:rFonts w:ascii="Times New Roman;Times;serif" w:hAnsi="Times New Roman;Times;serif"/>
                <w:sz w:val="19"/>
              </w:rPr>
              <w:t>and $1,508,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136,617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123,197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Other receivables, less allowance for credit losses of $270</w:t>
            </w:r>
            <w:r>
              <w:rPr>
                <w:rFonts w:ascii="Times New Roman;Times;serif" w:hAnsi="Times New Roman;Times;serif"/>
                <w:sz w:val="18"/>
              </w:rPr>
              <w:t xml:space="preserve"> </w:t>
            </w:r>
            <w:r>
              <w:rPr>
                <w:rFonts w:ascii="Times New Roman;Times;serif" w:hAnsi="Times New Roman;Times;serif"/>
                <w:sz w:val="19"/>
              </w:rPr>
              <w:t>and $325,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116,157</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104,804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84,066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146,723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138,560</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Costs and estimated earnings in excess of billings, less allowance for credit losses of $416</w:t>
            </w:r>
            <w:r>
              <w:rPr>
                <w:rFonts w:ascii="Times New Roman;Times;serif" w:hAnsi="Times New Roman;Times;serif"/>
                <w:sz w:val="18"/>
              </w:rPr>
              <w:t xml:space="preserve"> </w:t>
            </w:r>
            <w:r>
              <w:rPr>
                <w:rFonts w:ascii="Times New Roman;Times;serif" w:hAnsi="Times New Roman;Times;serif"/>
                <w:sz w:val="19"/>
              </w:rPr>
              <w:t>and $255,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144,553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88,817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5,788,402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4,110,553</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653,873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387,952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299,638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322,922</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1,101,475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1,025,515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IDENTIFIABLE 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534,580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485,168</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80,920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84,139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NONCURRENT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28,918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24,920</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8,487,806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6,441,169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Current maturities of 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6,163</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771,906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696,348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compensation and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403,471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291,722</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Billings in excess of costs and estimated earnings and 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3,231,104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2,120,262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Accrued self-insurance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40,141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42,973</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236,382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4,768,764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3,393,850</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139,063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273,969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302,590</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3,892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170,063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153,000</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5,270,537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3,992,395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COMMITMENTS AND CONTINGENCIES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Preferred stock, $.01</w:t>
            </w:r>
            <w:r>
              <w:rPr>
                <w:rFonts w:ascii="Times New Roman;Times;serif" w:hAnsi="Times New Roman;Times;serif"/>
                <w:sz w:val="18"/>
              </w:rPr>
              <w:t xml:space="preserve"> </w:t>
            </w:r>
            <w:r>
              <w:rPr>
                <w:rFonts w:ascii="Times New Roman;Times;serif" w:hAnsi="Times New Roman;Times;serif"/>
                <w:sz w:val="19"/>
              </w:rPr>
              <w:t>par, 5,000,000</w:t>
            </w:r>
            <w:r>
              <w:rPr>
                <w:rFonts w:ascii="Times New Roman;Times;serif" w:hAnsi="Times New Roman;Times;serif"/>
                <w:sz w:val="18"/>
              </w:rPr>
              <w:t xml:space="preserve"> </w:t>
            </w:r>
            <w:r>
              <w:rPr>
                <w:rFonts w:ascii="Times New Roman;Times;serif" w:hAnsi="Times New Roman;Times;serif"/>
                <w:sz w:val="19"/>
              </w:rPr>
              <w:t>shares authorized, none</w:t>
            </w:r>
            <w:r>
              <w:rPr>
                <w:rFonts w:ascii="Times New Roman;Times;serif" w:hAnsi="Times New Roman;Times;serif"/>
                <w:sz w:val="18"/>
              </w:rPr>
              <w:t xml:space="preserve"> </w:t>
            </w:r>
            <w:r>
              <w:rPr>
                <w:rFonts w:ascii="Times New Roman;Times;serif" w:hAnsi="Times New Roman;Times;serif"/>
                <w:sz w:val="19"/>
              </w:rPr>
              <w:t>issued and outstanding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Common stock, $.01</w:t>
            </w:r>
            <w:r>
              <w:rPr>
                <w:rFonts w:ascii="Times New Roman;Times;serif" w:hAnsi="Times New Roman;Times;serif"/>
                <w:sz w:val="18"/>
              </w:rPr>
              <w:t xml:space="preserve"> </w:t>
            </w:r>
            <w:r>
              <w:rPr>
                <w:rFonts w:ascii="Times New Roman;Times;serif" w:hAnsi="Times New Roman;Times;serif"/>
                <w:sz w:val="19"/>
              </w:rPr>
              <w:t>par, 102,969,912</w:t>
            </w:r>
            <w:r>
              <w:rPr>
                <w:rFonts w:ascii="Times New Roman;Times;serif" w:hAnsi="Times New Roman;Times;serif"/>
                <w:sz w:val="18"/>
              </w:rPr>
              <w:t xml:space="preserve"> </w:t>
            </w:r>
            <w:r>
              <w:rPr>
                <w:rFonts w:ascii="Times New Roman;Times;serif" w:hAnsi="Times New Roman;Times;serif"/>
                <w:sz w:val="19"/>
              </w:rPr>
              <w:t>shares authorized, 41,123,365</w:t>
            </w:r>
            <w:r>
              <w:rPr>
                <w:rFonts w:ascii="Times New Roman;Times;serif" w:hAnsi="Times New Roman;Times;serif"/>
                <w:sz w:val="18"/>
              </w:rPr>
              <w:t xml:space="preserve"> </w:t>
            </w:r>
            <w:r>
              <w:rPr>
                <w:rFonts w:ascii="Times New Roman;Times;serif" w:hAnsi="Times New Roman;Times;serif"/>
                <w:sz w:val="19"/>
              </w:rPr>
              <w:t>and 41,123,365</w:t>
            </w:r>
            <w:r>
              <w:rPr>
                <w:rFonts w:ascii="Times New Roman;Times;serif" w:hAnsi="Times New Roman;Times;serif"/>
                <w:sz w:val="18"/>
              </w:rPr>
              <w:t xml:space="preserve"> </w:t>
            </w:r>
            <w:r>
              <w:rPr>
                <w:rFonts w:ascii="Times New Roman;Times;serif" w:hAnsi="Times New Roman;Times;serif"/>
                <w:sz w:val="19"/>
              </w:rPr>
              <w:t>shares issued,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Treasury stock, at cost, 5,923,156</w:t>
            </w:r>
            <w:r>
              <w:rPr>
                <w:rFonts w:ascii="Times New Roman;Times;serif" w:hAnsi="Times New Roman;Times;serif"/>
                <w:sz w:val="18"/>
              </w:rPr>
              <w:t xml:space="preserve"> </w:t>
            </w:r>
            <w:r>
              <w:rPr>
                <w:rFonts w:ascii="Times New Roman;Times;serif" w:hAnsi="Times New Roman;Times;serif"/>
                <w:sz w:val="19"/>
              </w:rPr>
              <w:t>and 5,946,145</w:t>
            </w:r>
            <w:r>
              <w:rPr>
                <w:rFonts w:ascii="Times New Roman;Times;serif" w:hAnsi="Times New Roman;Times;serif"/>
                <w:sz w:val="18"/>
              </w:rPr>
              <w:t xml:space="preserve"> </w:t>
            </w:r>
            <w:r>
              <w:rPr>
                <w:rFonts w:ascii="Times New Roman;Times;serif" w:hAnsi="Times New Roman;Times;serif"/>
                <w:sz w:val="19"/>
              </w:rPr>
              <w:t>shares,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(517,499)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(496,006)</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394,107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363,314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3,340,250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2,581,055</w:t>
            </w:r>
          </w:p>
        </w:tc>
        <w:tc>
          <w:tcPr>
            <w:tcW w:w="191" w:type="dxa"/>
            <w:tcBorders/>
            <w:vAlign w:val="center"/>
          </w:tcPr>
          <w:p>
            <w:pPr>
              <w:pStyle w:val="TableContents"/>
              <w:bidi w:val="0"/>
              <w:spacing w:before="0" w:after="0"/>
              <w:ind w:left="0" w:right="0" w:hanging="0"/>
              <w:jc w:val="left"/>
              <w:rPr/>
            </w:pPr>
            <w:r>
              <w:rPr/>
              <w:t>​</w:t>
            </w:r>
          </w:p>
        </w:tc>
      </w:tr>
      <w:tr>
        <w:trPr/>
        <w:tc>
          <w:tcPr>
            <w:tcW w:w="7038"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3,217,269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2,448,774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7038"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8,487,806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6,441,169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137" w:name="_f689739f_683f_40ab_94ca_ecdf6e17086a"/>
      <w:bookmarkEnd w:id="137"/>
      <w:r>
        <w:rPr>
          <w:rFonts w:ascii="Times New Roman;Times;serif" w:hAnsi="Times New Roman;Times;serif"/>
          <w:b/>
          <w:sz w:val="20"/>
        </w:rPr>
        <w:t>COMFORT SYSTEMS USA, INC.</w:t>
      </w:r>
    </w:p>
    <w:p>
      <w:pPr>
        <w:pStyle w:val="TextBody"/>
        <w:bidi w:val="0"/>
        <w:spacing w:before="0" w:after="200"/>
        <w:ind w:left="0" w:right="0" w:hanging="0"/>
        <w:jc w:val="center"/>
        <w:rPr>
          <w:rFonts w:ascii="Times New Roman;Times;serif" w:hAnsi="Times New Roman;Times;serif"/>
          <w:b/>
          <w:sz w:val="20"/>
        </w:rPr>
      </w:pPr>
      <w:bookmarkStart w:id="138" w:name="CONSOLIDATEDSTATEMENTSOFOPERATIONS_54357"/>
      <w:bookmarkEnd w:id="138"/>
      <w:r>
        <w:rPr>
          <w:rFonts w:ascii="Times New Roman;Times;serif" w:hAnsi="Times New Roman;Times;serif"/>
          <w:b/>
          <w:sz w:val="20"/>
        </w:rPr>
        <w:t>CONSOLIDATED STATEMENTS OF OPERATIONS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39" w:name="Tc_d9MZLq6uVEaDkmHtLkwaJg_26_0"/>
      <w:bookmarkStart w:id="140" w:name="Tc_D56aR5R25Ee6iogXk1gxRg_25_0"/>
      <w:bookmarkStart w:id="141" w:name="Tc_WJ4nT5ttcUiKsvHBXRvlgw_24_0"/>
      <w:bookmarkStart w:id="142" w:name="Tc_egYP3xaiTEiBPHFa1sG2_A_22_11"/>
      <w:bookmarkStart w:id="143" w:name="Tc_dh6ZyxQtg0W3DKrefFmHEQ_22_8"/>
      <w:bookmarkStart w:id="144" w:name="Tc_y37QXKSTyEGmTspMPXMoGw_22_5"/>
      <w:bookmarkStart w:id="145" w:name="Tc_C9tHkpVDQ0akJQNGA3xCuA_22_2"/>
      <w:bookmarkStart w:id="146" w:name="Tc_e4Rr8SUiHUmsAAmDG6sjuA_22_0"/>
      <w:bookmarkStart w:id="147" w:name="Tc_N954_l1Pa0-9lr0n3zjGBQ_21_11"/>
      <w:bookmarkStart w:id="148" w:name="Tc_qwqivUN90kKam24iAOZ2-A_21_8"/>
      <w:bookmarkStart w:id="149" w:name="Tc_v8ilvVmwI0yHmfTn35Fe1A_21_5"/>
      <w:bookmarkStart w:id="150" w:name="Tc_3p8rfmCn0ESbhxsmJsdmMg_21_2"/>
      <w:bookmarkStart w:id="151" w:name="Tc_f3LXgcUvcU-k6-ReIZCzsw_21_0"/>
      <w:bookmarkStart w:id="152" w:name="Tc_mtrJQGVRzkGkhJcKMsw1jQ_20_0"/>
      <w:bookmarkStart w:id="153" w:name="Tc_jnSnd91dckKAF-U5ExtS1A_18_11"/>
      <w:bookmarkStart w:id="154" w:name="Tc_-uWeE_OQcE22xYY2S2i6Lg_18_8"/>
      <w:bookmarkStart w:id="155" w:name="Tc_i3j5z_5XPkafjTym6eKpqg_18_5"/>
      <w:bookmarkStart w:id="156" w:name="Tc_8oB7lmHY3EC_PzVDURXQqg_18_2"/>
      <w:bookmarkStart w:id="157" w:name="Tc_ADHVN7CyU0SjpqaIxUKctg_18_0"/>
      <w:bookmarkStart w:id="158" w:name="Tc_70V1xLtAMk6zA8ElFG--WQ_17_0"/>
      <w:bookmarkStart w:id="159" w:name="Tc_96KgQgSUkE6GBYa6Mix-kg_16_0"/>
      <w:bookmarkStart w:id="160" w:name="Tc_0nxsBadDKkmf0OdG3Dm1hg_15_0"/>
      <w:bookmarkStart w:id="161" w:name="Tc_8CmLt6OAuUq_TLJFGqxvKg_14_0"/>
      <w:bookmarkStart w:id="162" w:name="Tc_Og2fOtZahUi3Ey_Ccfh-Ew_13_0"/>
      <w:bookmarkStart w:id="163" w:name="Tc_wFSE5kIBkEeb_lZVTUG-NA_12_0"/>
      <w:bookmarkStart w:id="164" w:name="Tc_5nSRmmGcrEihPTS4k5A4og_11_0"/>
      <w:bookmarkStart w:id="165" w:name="Tc_XylzoooUA0KWWZFf-Jf2cw_10_0"/>
      <w:bookmarkStart w:id="166" w:name="Tc_Gvrne9dKFUiEFb1fHpzEUw_9_0"/>
      <w:bookmarkStart w:id="167" w:name="Tc_p2Q5tVThlU-qnRq1FsIP4w_8_0"/>
      <w:bookmarkStart w:id="168" w:name="Tc_SajFD9sVa0KYm-UAkg0eBw_7_0"/>
      <w:bookmarkStart w:id="169" w:name="Tc_vTgOHiYHW06j3gRhxjd5Lg_6_0"/>
      <w:bookmarkStart w:id="170" w:name="Tc_cyUEWJCdMUKa-nET1W6rtw_5_0"/>
      <w:bookmarkStart w:id="171" w:name="Tc_0G4Z_YXoPke3bZgQ_Or5-g_4_11"/>
      <w:bookmarkStart w:id="172" w:name="Tc_gzAUXMPmvUu5Jqg5opFNug_4_8"/>
      <w:bookmarkStart w:id="173" w:name="Tc_eGwpf_O610ycXq5awmW2lw_4_5"/>
      <w:bookmarkStart w:id="174" w:name="Tc_M4WONLcXvUe6hPrqR3VgSw_4_2"/>
      <w:bookmarkStart w:id="175" w:name="Tc_vVpyxnVvx0av7xfpjp64PA_4_0"/>
      <w:bookmarkStart w:id="176" w:name="Tc_tCbFvozPtEuOBJQOg5fm5A_3_11"/>
      <w:bookmarkStart w:id="177" w:name="Tc_h5WiT_c9Xkav3qWwBMuRXg_3_8"/>
      <w:bookmarkStart w:id="178" w:name="Tc_UGjQORreWke7IU-IBwNrww_3_5"/>
      <w:bookmarkStart w:id="179" w:name="Tc_A5w2_P2jDUa5h5xQ4IGlng_3_2"/>
      <w:bookmarkStart w:id="180" w:name="Tc_wj7I29L9kE6YgR-18AEi7Q_2_8"/>
      <w:bookmarkStart w:id="181" w:name="Tc_aD-iMDacOUiDl_J712ri2Q_2_2"/>
      <w:bookmarkStart w:id="182" w:name="Tc_fwWh-xtr8UqLifY60RZihw_1_8"/>
      <w:bookmarkStart w:id="183" w:name="Tc_Mz4mY90Xjka7Tm1CqBGDiw_1_2"/>
      <w:bookmarkStart w:id="184" w:name="_4043589a_27c8_4b4f_aa47_1d2537520a32"/>
      <w:bookmarkStart w:id="185" w:name="Tc_d9MZLq6uVEaDkmHtLkwaJg_26_0"/>
      <w:bookmarkStart w:id="186" w:name="Tc_D56aR5R25Ee6iogXk1gxRg_25_0"/>
      <w:bookmarkStart w:id="187" w:name="Tc_WJ4nT5ttcUiKsvHBXRvlgw_24_0"/>
      <w:bookmarkStart w:id="188" w:name="Tc_egYP3xaiTEiBPHFa1sG2_A_22_11"/>
      <w:bookmarkStart w:id="189" w:name="Tc_dh6ZyxQtg0W3DKrefFmHEQ_22_8"/>
      <w:bookmarkStart w:id="190" w:name="Tc_y37QXKSTyEGmTspMPXMoGw_22_5"/>
      <w:bookmarkStart w:id="191" w:name="Tc_C9tHkpVDQ0akJQNGA3xCuA_22_2"/>
      <w:bookmarkStart w:id="192" w:name="Tc_e4Rr8SUiHUmsAAmDG6sjuA_22_0"/>
      <w:bookmarkStart w:id="193" w:name="Tc_N954_l1Pa0-9lr0n3zjGBQ_21_11"/>
      <w:bookmarkStart w:id="194" w:name="Tc_qwqivUN90kKam24iAOZ2-A_21_8"/>
      <w:bookmarkStart w:id="195" w:name="Tc_v8ilvVmwI0yHmfTn35Fe1A_21_5"/>
      <w:bookmarkStart w:id="196" w:name="Tc_3p8rfmCn0ESbhxsmJsdmMg_21_2"/>
      <w:bookmarkStart w:id="197" w:name="Tc_f3LXgcUvcU-k6-ReIZCzsw_21_0"/>
      <w:bookmarkStart w:id="198" w:name="Tc_mtrJQGVRzkGkhJcKMsw1jQ_20_0"/>
      <w:bookmarkStart w:id="199" w:name="Tc_jnSnd91dckKAF-U5ExtS1A_18_11"/>
      <w:bookmarkStart w:id="200" w:name="Tc_-uWeE_OQcE22xYY2S2i6Lg_18_8"/>
      <w:bookmarkStart w:id="201" w:name="Tc_i3j5z_5XPkafjTym6eKpqg_18_5"/>
      <w:bookmarkStart w:id="202" w:name="Tc_8oB7lmHY3EC_PzVDURXQqg_18_2"/>
      <w:bookmarkStart w:id="203" w:name="Tc_ADHVN7CyU0SjpqaIxUKctg_18_0"/>
      <w:bookmarkStart w:id="204" w:name="Tc_70V1xLtAMk6zA8ElFG--WQ_17_0"/>
      <w:bookmarkStart w:id="205" w:name="Tc_96KgQgSUkE6GBYa6Mix-kg_16_0"/>
      <w:bookmarkStart w:id="206" w:name="Tc_0nxsBadDKkmf0OdG3Dm1hg_15_0"/>
      <w:bookmarkStart w:id="207" w:name="Tc_8CmLt6OAuUq_TLJFGqxvKg_14_0"/>
      <w:bookmarkStart w:id="208" w:name="Tc_Og2fOtZahUi3Ey_Ccfh-Ew_13_0"/>
      <w:bookmarkStart w:id="209" w:name="Tc_wFSE5kIBkEeb_lZVTUG-NA_12_0"/>
      <w:bookmarkStart w:id="210" w:name="Tc_5nSRmmGcrEihPTS4k5A4og_11_0"/>
      <w:bookmarkStart w:id="211" w:name="Tc_XylzoooUA0KWWZFf-Jf2cw_10_0"/>
      <w:bookmarkStart w:id="212" w:name="Tc_Gvrne9dKFUiEFb1fHpzEUw_9_0"/>
      <w:bookmarkStart w:id="213" w:name="Tc_p2Q5tVThlU-qnRq1FsIP4w_8_0"/>
      <w:bookmarkStart w:id="214" w:name="Tc_SajFD9sVa0KYm-UAkg0eBw_7_0"/>
      <w:bookmarkStart w:id="215" w:name="Tc_vTgOHiYHW06j3gRhxjd5Lg_6_0"/>
      <w:bookmarkStart w:id="216" w:name="Tc_cyUEWJCdMUKa-nET1W6rtw_5_0"/>
      <w:bookmarkStart w:id="217" w:name="Tc_0G4Z_YXoPke3bZgQ_Or5-g_4_11"/>
      <w:bookmarkStart w:id="218" w:name="Tc_gzAUXMPmvUu5Jqg5opFNug_4_8"/>
      <w:bookmarkStart w:id="219" w:name="Tc_eGwpf_O610ycXq5awmW2lw_4_5"/>
      <w:bookmarkStart w:id="220" w:name="Tc_M4WONLcXvUe6hPrqR3VgSw_4_2"/>
      <w:bookmarkStart w:id="221" w:name="Tc_vVpyxnVvx0av7xfpjp64PA_4_0"/>
      <w:bookmarkStart w:id="222" w:name="Tc_tCbFvozPtEuOBJQOg5fm5A_3_11"/>
      <w:bookmarkStart w:id="223" w:name="Tc_h5WiT_c9Xkav3qWwBMuRXg_3_8"/>
      <w:bookmarkStart w:id="224" w:name="Tc_UGjQORreWke7IU-IBwNrww_3_5"/>
      <w:bookmarkStart w:id="225" w:name="Tc_A5w2_P2jDUa5h5xQ4IGlng_3_2"/>
      <w:bookmarkStart w:id="226" w:name="Tc_wj7I29L9kE6YgR-18AEi7Q_2_8"/>
      <w:bookmarkStart w:id="227" w:name="Tc_aD-iMDacOUiDl_J712ri2Q_2_2"/>
      <w:bookmarkStart w:id="228" w:name="Tc_fwWh-xtr8UqLifY60RZihw_1_8"/>
      <w:bookmarkStart w:id="229" w:name="Tc_Mz4mY90Xjka7Tm1CqBGDiw_1_2"/>
      <w:bookmarkStart w:id="230" w:name="_4043589a_27c8_4b4f_aa47_1d2537520a32"/>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tbl>
      <w:tblPr>
        <w:tblW w:w="10205" w:type="dxa"/>
        <w:jc w:val="left"/>
        <w:tblInd w:w="0" w:type="dxa"/>
        <w:tblLayout w:type="fixed"/>
        <w:tblCellMar>
          <w:top w:w="0" w:type="dxa"/>
          <w:left w:w="0" w:type="dxa"/>
          <w:bottom w:w="0" w:type="dxa"/>
          <w:right w:w="0" w:type="dxa"/>
        </w:tblCellMar>
      </w:tblPr>
      <w:tblGrid>
        <w:gridCol w:w="4062"/>
        <w:gridCol w:w="346"/>
        <w:gridCol w:w="211"/>
        <w:gridCol w:w="931"/>
        <w:gridCol w:w="346"/>
        <w:gridCol w:w="211"/>
        <w:gridCol w:w="931"/>
        <w:gridCol w:w="346"/>
        <w:gridCol w:w="211"/>
        <w:gridCol w:w="931"/>
        <w:gridCol w:w="346"/>
        <w:gridCol w:w="211"/>
        <w:gridCol w:w="931"/>
        <w:gridCol w:w="191"/>
      </w:tblGrid>
      <w:tr>
        <w:trPr/>
        <w:tc>
          <w:tcPr>
            <w:tcW w:w="4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579370" cy="175260"/>
                      <wp:effectExtent l="0" t="0" r="0" b="0"/>
                      <wp:wrapNone/>
                      <wp:docPr id="12" name="Frame12"/>
                      <a:graphic xmlns:a="http://schemas.openxmlformats.org/drawingml/2006/main">
                        <a:graphicData uri="http://schemas.microsoft.com/office/word/2010/wordprocessingShape">
                          <wps:wsp>
                            <wps:cNvSpPr txBox="1"/>
                            <wps:spPr>
                              <a:xfrm>
                                <a:off x="0" y="0"/>
                                <a:ext cx="2579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5" name="Frame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91185" cy="175260"/>
                      <wp:effectExtent l="0" t="0" r="0" b="0"/>
                      <wp:wrapNone/>
                      <wp:docPr id="18" name="Frame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91185" cy="175260"/>
                      <wp:effectExtent l="0" t="0" r="0" b="0"/>
                      <wp:wrapNone/>
                      <wp:docPr id="21" name="Frame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91185" cy="175260"/>
                      <wp:effectExtent l="0" t="0" r="0" b="0"/>
                      <wp:wrapNone/>
                      <wp:docPr id="24" name="Frame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175260"/>
                      <wp:effectExtent l="0" t="0" r="0" b="0"/>
                      <wp:wrapNone/>
                      <wp:docPr id="25" name="Frame2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346" w:type="dxa"/>
            <w:tcBorders/>
            <w:vAlign w:val="center"/>
          </w:tcPr>
          <w:p>
            <w:pPr>
              <w:pStyle w:val="TableContents"/>
              <w:bidi w:val="0"/>
              <w:spacing w:before="0" w:after="0"/>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3,265,656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2,173,319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6,130,988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4,004,605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2,421,428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1,663,422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4,532,348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3,091,292</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844,228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509,897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1,598,640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913,313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556,043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405,340</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557,966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1,043,684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508,971</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7,086</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fair value of contingent earn-out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(7,831)</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(4,475)</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566,243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1,048,389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504,496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104,359</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441,602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811,980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400,137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35,415</w:t>
            </w:r>
          </w:p>
        </w:tc>
        <w:tc>
          <w:tcPr>
            <w:tcW w:w="191" w:type="dxa"/>
            <w:tcBorders/>
            <w:vAlign w:val="center"/>
          </w:tcPr>
          <w:p>
            <w:pPr>
              <w:pStyle w:val="TableContents"/>
              <w:bidi w:val="0"/>
              <w:spacing w:before="0" w:after="0"/>
              <w:ind w:left="0" w:right="0" w:hanging="0"/>
              <w:jc w:val="left"/>
              <w:rPr/>
            </w:pPr>
            <w:r>
              <w:rPr/>
              <w:t>​</w:t>
            </w:r>
          </w:p>
        </w:tc>
      </w:tr>
      <w:tr>
        <w:trPr/>
        <w:tc>
          <w:tcPr>
            <w:tcW w:w="40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31" w:name="_44cd3686_4a54_4417_9012_b2d52d455f3c"/>
      <w:bookmarkEnd w:id="231"/>
      <w:r>
        <w:rPr>
          <w:rFonts w:ascii="Times New Roman;Times;serif" w:hAnsi="Times New Roman;Times;serif"/>
          <w:b/>
          <w:sz w:val="20"/>
        </w:rPr>
        <w:t>COMFORT SYSTEMS USA, INC.</w:t>
      </w:r>
    </w:p>
    <w:p>
      <w:pPr>
        <w:pStyle w:val="TextBody"/>
        <w:bidi w:val="0"/>
        <w:spacing w:before="0" w:after="200"/>
        <w:ind w:left="0" w:right="0" w:hanging="0"/>
        <w:jc w:val="center"/>
        <w:rPr>
          <w:rFonts w:ascii="Times New Roman;Times;serif" w:hAnsi="Times New Roman;Times;serif"/>
          <w:b/>
          <w:sz w:val="20"/>
        </w:rPr>
      </w:pPr>
      <w:bookmarkStart w:id="232" w:name="STATEMENTSOFSTOCKHOLDERSEQUITY_584218"/>
      <w:bookmarkEnd w:id="232"/>
      <w:r>
        <w:rPr>
          <w:rFonts w:ascii="Times New Roman;Times;serif" w:hAnsi="Times New Roman;Times;serif"/>
          <w:b/>
          <w:sz w:val="20"/>
        </w:rPr>
        <w:t>CONSOLIDATED STATEMENTS OF STOCKHOLDERS’ EQUITY</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3" w:name="Tc_lBKg8YpWh0SYM0WrgWBYdA_50_18"/>
      <w:bookmarkStart w:id="234" w:name="Tc_lSqsgi9nLUi-plG2NaE_PQ_50_15"/>
      <w:bookmarkStart w:id="235" w:name="Tc_ZaQfreDIs0uKpokSUAsubg_50_12"/>
      <w:bookmarkStart w:id="236" w:name="Tc_jUNofMe4k0iKDFAJfWZnKw_50_9"/>
      <w:bookmarkStart w:id="237" w:name="Tc_v5Wny86iDU-sUVgcNLoBVA_50_4"/>
      <w:bookmarkStart w:id="238" w:name="Tc_bdIddgTFnEmpYhya2FUsJA_50_0"/>
      <w:bookmarkStart w:id="239" w:name="Tc_CQunLKrpVEqLWr_DvpzHsg_49_16"/>
      <w:bookmarkStart w:id="240" w:name="Tc_9sOPTMsbZ0yOgG3Zmt3oTQ_49_13"/>
      <w:bookmarkStart w:id="241" w:name="Tc_EMUPY1QdSUWNnE8QFY_oGQ_49_5"/>
      <w:bookmarkStart w:id="242" w:name="Tc_3kA2u4By9k-sDpM5Ojc3-g_49_2"/>
      <w:bookmarkStart w:id="243" w:name="Tc_W3Kjmvmnw0uMWxrQ625Ijw_49_0"/>
      <w:bookmarkStart w:id="244" w:name="Tc_TYOZUf0JnkqWHN8XOBFAiQ_48_13"/>
      <w:bookmarkStart w:id="245" w:name="Tc_dOUqlNZZ3EW6WKhuOPTOfg_48_10"/>
      <w:bookmarkStart w:id="246" w:name="Tc_7-Dek_5fPUab_u_G71aiDQ_48_7"/>
      <w:bookmarkStart w:id="247" w:name="Tc_FWBDCjUa9kCdSa3unkjUkQ_48_5"/>
      <w:bookmarkStart w:id="248" w:name="Tc_d-8w_bCDmECELnzLMrMW7A_48_2"/>
      <w:bookmarkStart w:id="249" w:name="Tc_6lgMcVJ_lE-kbBxrE5l88g_48_0"/>
      <w:bookmarkStart w:id="250" w:name="Tc_cQC-60Mal0Sfgrh9BhJTDw_47_16"/>
      <w:bookmarkStart w:id="251" w:name="Tc_J67e6mO3JUCOiITDQyWD1g_47_10"/>
      <w:bookmarkStart w:id="252" w:name="Tc_4K3aHhqrOESZDJbfONj_NA_47_7"/>
      <w:bookmarkStart w:id="253" w:name="Tc_HlCOb7JUe0yohCdwhY-GYw_47_5"/>
      <w:bookmarkStart w:id="254" w:name="Tc_9lT9OACzRkSMzNCcMK3sYQ_47_2"/>
      <w:bookmarkStart w:id="255" w:name="Tc_ei4cFZy7h0iZDT3pwz_YgQ_47_0"/>
      <w:bookmarkStart w:id="256" w:name="Tc_eK17ZWsIhEKRH890Ehx1sQ_46_16"/>
      <w:bookmarkStart w:id="257" w:name="Tc_I6Xz3mnpDkOjOx2AnEab3g_46_13"/>
      <w:bookmarkStart w:id="258" w:name="Tc_uavtHJaHaE6LsNiOEmAJLQ_46_5"/>
      <w:bookmarkStart w:id="259" w:name="Tc_4aexV5Om4UOEeUTXIm7rhA_46_2"/>
      <w:bookmarkStart w:id="260" w:name="Tc_2YkqlVgzkEC8Y4lBbJbDAA_46_0"/>
      <w:bookmarkStart w:id="261" w:name="Tc_xncH-SVNWUi-f2LhsMRcJg_45_19"/>
      <w:bookmarkStart w:id="262" w:name="Tc_TFsLxlBjuUqKhJcwO63p2A_45_16"/>
      <w:bookmarkStart w:id="263" w:name="Tc_73GAvokf80-b_-4UKdDsbQ_45_5"/>
      <w:bookmarkStart w:id="264" w:name="Tc_8uxhCIhCC0GjYdpVXeBd4g_45_2"/>
      <w:bookmarkStart w:id="265" w:name="Tc_JdJ3UYr9gUKSgfydBvDluQ_45_0"/>
      <w:bookmarkStart w:id="266" w:name="Tc_dt8g3Agr5ESwpqSLBIvEqA_44_19"/>
      <w:bookmarkStart w:id="267" w:name="Tc_he_5bnMpHkmXHZ8th59_XQ_44_16"/>
      <w:bookmarkStart w:id="268" w:name="Tc_hR4JblX-XUKFZWNqBfeQkg_44_13"/>
      <w:bookmarkStart w:id="269" w:name="Tc_C7VzXse1wUGhnbu83vK5Kw_44_10"/>
      <w:bookmarkStart w:id="270" w:name="Tc_GWWL0_KzwEy_6zJQBESGMA_44_7"/>
      <w:bookmarkStart w:id="271" w:name="Tc_fwdR6CpPmkOhs4gr8Ao-vQ_44_5"/>
      <w:bookmarkStart w:id="272" w:name="Tc_rQQ2XZrS9EuaGo5XQHukyQ_44_2"/>
      <w:bookmarkStart w:id="273" w:name="Tc_vk9daZlaU0qAx5Xyu9r-jA_44_0"/>
      <w:bookmarkStart w:id="274" w:name="Tc_gh35OfYn2ES2e6FglyyxpA_43_0"/>
      <w:bookmarkStart w:id="275" w:name="Tc_5PLnpg4sn0OkfJS_mhNc0w_42_13"/>
      <w:bookmarkStart w:id="276" w:name="Tc_ERyqNtPpMkO87ic_I2vcew_42_10"/>
      <w:bookmarkStart w:id="277" w:name="Tc_ipYD1ARhGEqDvKk7MFntYA_42_7"/>
      <w:bookmarkStart w:id="278" w:name="Tc_sbix6Do2pUWRs5MmRUE6kw_42_5"/>
      <w:bookmarkStart w:id="279" w:name="Tc_DIGrtQ2FuUS8E83Bk3WTXA_42_2"/>
      <w:bookmarkStart w:id="280" w:name="Tc_eUwb1gnk9UyusUUAGf1udQ_42_0"/>
      <w:bookmarkStart w:id="281" w:name="Tc_d0TYtPhEbUOZyhCnGfwXTQ_41_0"/>
      <w:bookmarkStart w:id="282" w:name="Tc_aGCqY5yKgU2WUVltUjRkYg_40_16"/>
      <w:bookmarkStart w:id="283" w:name="Tc_f1Y8CHlP4kSPldMnGEgq4Q_40_13"/>
      <w:bookmarkStart w:id="284" w:name="Tc_C6YjA_uCSkq3ms-JVEvcxA_40_5"/>
      <w:bookmarkStart w:id="285" w:name="Tc_EAHzBNv73EWjkYgOrI4taQ_40_2"/>
      <w:bookmarkStart w:id="286" w:name="Tc_nzcVrOkb-UGA2ckv3pYrsQ_40_0"/>
      <w:bookmarkStart w:id="287" w:name="Tc_Zh1v4hqPfUO8DsGb9FBjmQ_39_13"/>
      <w:bookmarkStart w:id="288" w:name="Tc_vjaUWZV5q0KfHcsg_atGkQ_39_10"/>
      <w:bookmarkStart w:id="289" w:name="Tc_q2EAtAnRH0KUE6YYzpmvNA_39_7"/>
      <w:bookmarkStart w:id="290" w:name="Tc_CyIuxFJmiUKQgsv2QF0rOw_39_5"/>
      <w:bookmarkStart w:id="291" w:name="Tc_5TWvC1HeOEaF8rZ2XrF77A_39_2"/>
      <w:bookmarkStart w:id="292" w:name="Tc__mZSpNxja06uI1xG7YlnNQ_39_0"/>
      <w:bookmarkStart w:id="293" w:name="Tc_9t7MjxGQE06oQPfdgMuwEw_38_16"/>
      <w:bookmarkStart w:id="294" w:name="Tc_V3kSbQiTDEirlw4fkMSRHQ_38_10"/>
      <w:bookmarkStart w:id="295" w:name="Tc_2y5PaWjnmEWx14zZ4ayruA_38_7"/>
      <w:bookmarkStart w:id="296" w:name="Tc_wxyF69ezlk6Ts-KVOUmD-A_38_5"/>
      <w:bookmarkStart w:id="297" w:name="Tc_IlQIWhRT8kWm8Do-G-YzGg_38_2"/>
      <w:bookmarkStart w:id="298" w:name="Tc_gkRbhYzwP0aBuS1Pcg1Jmg_38_0"/>
      <w:bookmarkStart w:id="299" w:name="Tc_DdeqdBwPOUiYNcH5wwgzjg_37_16"/>
      <w:bookmarkStart w:id="300" w:name="Tc_CiobSpBtl0-t8dY02V5N9A_37_13"/>
      <w:bookmarkStart w:id="301" w:name="Tc_iK7RgGy2_UysRt_X5RulRA_37_5"/>
      <w:bookmarkStart w:id="302" w:name="Tc_MedOhy891kGkSYXfJ0togQ_37_2"/>
      <w:bookmarkStart w:id="303" w:name="Tc_Mmiskt00nkqnOo3TC3OsOw_37_0"/>
      <w:bookmarkStart w:id="304" w:name="Tc_rCSMDH4QhUS3Ea1QbNJBHA_36_16"/>
      <w:bookmarkStart w:id="305" w:name="Tc_cWfpa4wUnU68nI1xKF5vSQ_36_5"/>
      <w:bookmarkStart w:id="306" w:name="Tc_Op01LMkd30OgJ5DUps77fQ_36_2"/>
      <w:bookmarkStart w:id="307" w:name="Tc_thA3LNNRPUqAiBg9dh0THA_36_0"/>
      <w:bookmarkStart w:id="308" w:name="Tc_3_NV-eRMq0GdsjJ3-sMo5g_35_16"/>
      <w:bookmarkStart w:id="309" w:name="Tc_H_3Le8qiy0uQSGhjWxSQ2A_35_5"/>
      <w:bookmarkStart w:id="310" w:name="Tc_L3M1DAB5-UGXTRsRTRIFzA_35_2"/>
      <w:bookmarkStart w:id="311" w:name="Tc_JAnDhIM3ZUWbS98iV6AFGg_35_0"/>
      <w:bookmarkStart w:id="312" w:name="Tc_OKFivHMMgUCeIJiaWJETsw_34_0"/>
      <w:bookmarkStart w:id="313" w:name="Tc_3wjVesyO0U-7abK6dG-vrw_33_13"/>
      <w:bookmarkStart w:id="314" w:name="Tc_9ybul4mlvUmSIlhblc3Mow_33_10"/>
      <w:bookmarkStart w:id="315" w:name="Tc_AceKqr6IeEe17MLHJOIBrw_33_7"/>
      <w:bookmarkStart w:id="316" w:name="Tc_8jqBY6EUJEySEcSzOmwFIw_33_5"/>
      <w:bookmarkStart w:id="317" w:name="Tc_21Ks3MipZUGtm9fUxZyVdg_33_2"/>
      <w:bookmarkStart w:id="318" w:name="Tc_YJWTCU-S9kypoXbS-J8F9A_33_0"/>
      <w:bookmarkStart w:id="319" w:name="Tc_0-IIp_PXcEG7w91XgAyG7g_32_18"/>
      <w:bookmarkStart w:id="320" w:name="Tc_HpZgIxwBDUexuye5pTg7AQ_32_15"/>
      <w:bookmarkStart w:id="321" w:name="Tc_ekYjN7aevkWHFMDHZDQYuQ_32_12"/>
      <w:bookmarkStart w:id="322" w:name="Tc_7kH_5hiJWE2Ivb3qoHyovw_32_9"/>
      <w:bookmarkStart w:id="323" w:name="Tc_-ejJCZZh8U2Pv7NkPZkR3A_32_4"/>
      <w:bookmarkStart w:id="324" w:name="Tc_7zri1TMWNEGAiQw_2VVHow_32_0"/>
      <w:bookmarkStart w:id="325" w:name="Tc_cCGIphcEWkCt9dUjSy_pSw_31_18"/>
      <w:bookmarkStart w:id="326" w:name="Tc_MhcZjVYxK0GmhgY-TBJJZA_31_15"/>
      <w:bookmarkStart w:id="327" w:name="Tc_WXN7Yy8TL0O0QagbHbnbqA_31_12"/>
      <w:bookmarkStart w:id="328" w:name="Tc_JbZOshSx4kSJkiOgb9g8KA_31_9"/>
      <w:bookmarkStart w:id="329" w:name="Tc_w0IxI-hc6kS-NdDMxI4i-Q_31_7"/>
      <w:bookmarkStart w:id="330" w:name="Tc_3wY3CW57IEmKUj0peT2NEQ_31_4"/>
      <w:bookmarkStart w:id="331" w:name="Tc_4uA4T38aEUS-ivbU45c-bg_31_2"/>
      <w:bookmarkStart w:id="332" w:name="Tc_z5f0nmdMxkSO7ItMzqZtvw_30_18"/>
      <w:bookmarkStart w:id="333" w:name="Tc_QJrdWoNCA0SX05Qy08aGFw_30_15"/>
      <w:bookmarkStart w:id="334" w:name="Tc_H4o-AQgjPEO7f21577KA6g_30_12"/>
      <w:bookmarkStart w:id="335" w:name="Tc_cw-k_aFJRUSkEPuzO8QzZA_30_7"/>
      <w:bookmarkStart w:id="336" w:name="Tc__G3migdnSk66n-mRqfB-LA_30_2"/>
      <w:bookmarkStart w:id="337" w:name="Tc_BzaExG_3i06M7oYTpxczZg_29_18"/>
      <w:bookmarkStart w:id="338" w:name="Tc_0XGQdyCVd0OqitBYApVFqA_29_12"/>
      <w:bookmarkStart w:id="339" w:name="Tc_2J6vRr-G4UqfjRMXBqziMg_28_2"/>
      <w:bookmarkStart w:id="340" w:name="Tc_jE3cD49UlkWPunyCt90aBw_27_2"/>
      <w:bookmarkStart w:id="341" w:name="Tc_Xg77AzDmJUuCJK3Bq1zTpA_24_18"/>
      <w:bookmarkStart w:id="342" w:name="Tc_ixurDx-I7UKYMKVKfOOOAg_24_15"/>
      <w:bookmarkStart w:id="343" w:name="Tc_nWai_8T4aU2SwpmfGv0B5g_24_12"/>
      <w:bookmarkStart w:id="344" w:name="Tc_CJi4jCtRTk-IiX37bWWCiA_24_9"/>
      <w:bookmarkStart w:id="345" w:name="Tc_jg1bF6HrbUu-2EeiCdgqWg_24_4"/>
      <w:bookmarkStart w:id="346" w:name="Tc_X2iAQRG4uE-9atE2QGtN6A_24_0"/>
      <w:bookmarkStart w:id="347" w:name="Tc_ZMfax1OJEku1xIrArRwuPw_23_16"/>
      <w:bookmarkStart w:id="348" w:name="Tc_BlK1d7R0QESR3VwOxpS_QA_23_13"/>
      <w:bookmarkStart w:id="349" w:name="Tc_4G6zKqfGhEOmxddPzC8SsQ_23_5"/>
      <w:bookmarkStart w:id="350" w:name="Tc_vpsYzrqrpkil0fGVlKNnRg_23_2"/>
      <w:bookmarkStart w:id="351" w:name="Tc_z0G-YPV7i0S5PeDILD8bLA_23_0"/>
      <w:bookmarkStart w:id="352" w:name="Tc_7m2fLMQpdUSXzxFDjnXUPA_22_13"/>
      <w:bookmarkStart w:id="353" w:name="Tc_Ez2LQurokUOjNxYg3CW8qQ_22_10"/>
      <w:bookmarkStart w:id="354" w:name="Tc_DHS2mvAddkuuFZ6LuNadSg_22_7"/>
      <w:bookmarkStart w:id="355" w:name="Tc_MCvEWFy8okOv5IsmyYUhxQ_22_5"/>
      <w:bookmarkStart w:id="356" w:name="Tc_2PT-r7Rp3E-nvsApIV53_A_22_2"/>
      <w:bookmarkStart w:id="357" w:name="Tc_5ocjFbHHe0KG_h5c93XIQQ_22_0"/>
      <w:bookmarkStart w:id="358" w:name="Tc_b2KoOddE7EGkD71gE2zY4w_21_16"/>
      <w:bookmarkStart w:id="359" w:name="Tc_NV8jbeavC0OFjcrWvTqUMg_21_10"/>
      <w:bookmarkStart w:id="360" w:name="Tc_dAN4PcAZT0mk2uMkLnlJmg_21_7"/>
      <w:bookmarkStart w:id="361" w:name="Tc_zt7kFwzx3k2vZq6y-ANpFQ_21_5"/>
      <w:bookmarkStart w:id="362" w:name="Tc_Kv-3W14cikuAQiPEfyucng_21_2"/>
      <w:bookmarkStart w:id="363" w:name="Tc_9nY2riFMT0ekUPfHxFi_FA_21_0"/>
      <w:bookmarkStart w:id="364" w:name="Tc_cae8SsonaUKglvnYEsPRvQ_20_16"/>
      <w:bookmarkStart w:id="365" w:name="Tc_JZx5BR8sHkyzJfQHW2Adww_20_13"/>
      <w:bookmarkStart w:id="366" w:name="Tc_NBBsb_b3ZEOmn5DijRAwbw_20_5"/>
      <w:bookmarkStart w:id="367" w:name="Tc_RyfPzcDbDUuzA7PflVM40w_20_2"/>
      <w:bookmarkStart w:id="368" w:name="Tc_s5e_HII-5k6BNFiIDoMnrw_20_0"/>
      <w:bookmarkStart w:id="369" w:name="Tc_qgFExx3TcUeHBlj7Ik0AjQ_19_19"/>
      <w:bookmarkStart w:id="370" w:name="Tc_Z2tp1PiGRUufm5P0wOWjow_19_16"/>
      <w:bookmarkStart w:id="371" w:name="Tc_rbcRJdZ1_0Wojnm-D5QxkA_19_5"/>
      <w:bookmarkStart w:id="372" w:name="Tc_LgsdnrGHU0OV7JcwFDF9mw_19_2"/>
      <w:bookmarkStart w:id="373" w:name="Tc_m-uNciWkHkCOAQ913ZEiUg_19_0"/>
      <w:bookmarkStart w:id="374" w:name="Tc_KZG95g911EWHbMENKbs9zA_18_16"/>
      <w:bookmarkStart w:id="375" w:name="Tc_56qasRvKIE2Z89pKppUwYQ_18_5"/>
      <w:bookmarkStart w:id="376" w:name="Tc_3mDggKPQMkiDLpt_Julm5A_18_2"/>
      <w:bookmarkStart w:id="377" w:name="Tc_-BZEK9-s7EugnF7GRRRTUg_18_0"/>
      <w:bookmarkStart w:id="378" w:name="Tc_xrUT6GKgU06j8N1ewWf4tQ_17_0"/>
      <w:bookmarkStart w:id="379" w:name="Tc_xn9ptqdTE0CTd-LcOrdpeA_16_13"/>
      <w:bookmarkStart w:id="380" w:name="Tc__2hVwJJEbUSJVHUOeZKOzw_16_10"/>
      <w:bookmarkStart w:id="381" w:name="Tc_PPHzfMmLB0SZm8DQ03WBZg_16_7"/>
      <w:bookmarkStart w:id="382" w:name="Tc_HZGzrs7lkUq-4bdtjO33og_16_5"/>
      <w:bookmarkStart w:id="383" w:name="Tc_BAE8IzpadUq72X46gZz6yg_16_2"/>
      <w:bookmarkStart w:id="384" w:name="Tc_t2ZgDMYh0UOZGnbYhPhnCw_16_0"/>
      <w:bookmarkStart w:id="385" w:name="Tc_hVsV2B15vESUljz-94A85Q_15_0"/>
      <w:bookmarkStart w:id="386" w:name="Tc_gDlpubHJaE2_w0TGhN4yFw_14_16"/>
      <w:bookmarkStart w:id="387" w:name="Tc_B3Cba1MlIkCNR4jXtOdQPg_14_13"/>
      <w:bookmarkStart w:id="388" w:name="Tc_O4yY08xXpUKAIr7LiijqJQ_14_5"/>
      <w:bookmarkStart w:id="389" w:name="Tc_tjOAM7ibf0SVFvx7ylSTKw_14_2"/>
      <w:bookmarkStart w:id="390" w:name="Tc_T5iZLbVv7keSiZ7m-qQBxQ_14_0"/>
      <w:bookmarkStart w:id="391" w:name="Tc_sfVd2MqpwEG0ZIDqMknsgQ_13_13"/>
      <w:bookmarkStart w:id="392" w:name="Tc_W921J8ZNL0eRq0RKbKdqHw_13_10"/>
      <w:bookmarkStart w:id="393" w:name="Tc_JBe4E5dAc0C5FgvP1t8BZA_13_7"/>
      <w:bookmarkStart w:id="394" w:name="Tc_N_XvmN_FlkGo9S73WBz8kw_13_5"/>
      <w:bookmarkStart w:id="395" w:name="Tc_WmZaKphu9kawKqeH7Jr4fw_13_2"/>
      <w:bookmarkStart w:id="396" w:name="Tc_IZmFHs0D1UO5dFR1f7EMfg_13_0"/>
      <w:bookmarkStart w:id="397" w:name="Tc_4EBKrPE98kmEdN6jsiY_gA_12_16"/>
      <w:bookmarkStart w:id="398" w:name="Tc_E4vayHIjdU25TGvIxfLxhQ_12_10"/>
      <w:bookmarkStart w:id="399" w:name="Tc_U-VklVe_bk2ayumeH_BXog_12_7"/>
      <w:bookmarkStart w:id="400" w:name="Tc_ul8ksEUHcke8MNVl9QZmhQ_12_5"/>
      <w:bookmarkStart w:id="401" w:name="Tc_POYsddOQekqIOEaqrUhxNA_12_2"/>
      <w:bookmarkStart w:id="402" w:name="Tc_JyDRtEXSvUGxqqFzwwpYHA_12_0"/>
      <w:bookmarkStart w:id="403" w:name="Tc_GdZnoD8CEEC50QM5HA8wwQ_11_16"/>
      <w:bookmarkStart w:id="404" w:name="Tc_kt9S6IrwiEKDwKDnAUNRpw_11_13"/>
      <w:bookmarkStart w:id="405" w:name="Tc_cLtx5osvKkKWJj93TQMrVw_11_5"/>
      <w:bookmarkStart w:id="406" w:name="Tc_iFuj0PdWjE-ImU514J_ADA_11_2"/>
      <w:bookmarkStart w:id="407" w:name="Tc_D_uM7e3sPkC8WFsn6soaVg_11_0"/>
      <w:bookmarkStart w:id="408" w:name="Tc_SFALxL9VKUegxUCuCeN8Zw_10_16"/>
      <w:bookmarkStart w:id="409" w:name="Tc_pqid2KMRrUeDLCnxGMbHVA_10_5"/>
      <w:bookmarkStart w:id="410" w:name="Tc_YN8PVZAJKUWlD3TfOmwtvg_10_2"/>
      <w:bookmarkStart w:id="411" w:name="Tc_R8ibOP_W20aZXc6IORz5QA_10_0"/>
      <w:bookmarkStart w:id="412" w:name="Tc_TN-ySFngV0mxY5fC4kRc5g_9_19"/>
      <w:bookmarkStart w:id="413" w:name="Tc_kTOA1caDP0CrI0ZJ0ur4ZA_9_16"/>
      <w:bookmarkStart w:id="414" w:name="Tc_opwlFpMUeEuo4OKK2Jn4sw_9_13"/>
      <w:bookmarkStart w:id="415" w:name="Tc_xr4EBSkkbkiKZjcXvQ67GA_9_10"/>
      <w:bookmarkStart w:id="416" w:name="Tc_R1l2cBrsykulzgE6jGKj_w_9_7"/>
      <w:bookmarkStart w:id="417" w:name="Tc_3g7TM2ACGEyqq-aVIZu2AA_9_5"/>
      <w:bookmarkStart w:id="418" w:name="Tc_6YhtHljljUucJO5lNlNyhg_9_2"/>
      <w:bookmarkStart w:id="419" w:name="Tc_AIawk-B04Ei2--eYTQ63cA_9_0"/>
      <w:bookmarkStart w:id="420" w:name="Tc_f2TD2hbO4UC115jIGSXwmw_8_0"/>
      <w:bookmarkStart w:id="421" w:name="Tc_FxUmDy-bXESTI0CWQVVQAw_7_13"/>
      <w:bookmarkStart w:id="422" w:name="Tc_Z1ee-h95hEuXY2H2ndT4Zg_7_10"/>
      <w:bookmarkStart w:id="423" w:name="Tc_5h5BLr6VDEe5lGfYasCy9g_7_7"/>
      <w:bookmarkStart w:id="424" w:name="Tc_um48KAe1cEeYhcHrWYjDOA_7_5"/>
      <w:bookmarkStart w:id="425" w:name="Tc_ctBtpAFcR0-2qdlzr-3CsA_7_2"/>
      <w:bookmarkStart w:id="426" w:name="Tc_uC5cOaPSMEi30zvghgCBLg_7_0"/>
      <w:bookmarkStart w:id="427" w:name="Tc_kgzUnOzvoEqkT9OtO96BfA_6_18"/>
      <w:bookmarkStart w:id="428" w:name="Tc_ExJqVi2vGEeoPFQQwpbrWw_6_15"/>
      <w:bookmarkStart w:id="429" w:name="Tc_jTFDoJTYg02__RWWT_7tlg_6_12"/>
      <w:bookmarkStart w:id="430" w:name="Tc_W-1rwWTJz0Wd_DKLu_AcQA_6_9"/>
      <w:bookmarkStart w:id="431" w:name="Tc_VPkDB8x_0kiQ5vHzZA-ZiQ_6_4"/>
      <w:bookmarkStart w:id="432" w:name="Tc_FPReeKMYO0S4vPfn-WZLpg_6_0"/>
      <w:bookmarkStart w:id="433" w:name="Tc_IGeGwPaUmkmnGoJpiDHiJA_5_18"/>
      <w:bookmarkStart w:id="434" w:name="Tc_fQYJChYF20-YNZboo2z98w_5_15"/>
      <w:bookmarkStart w:id="435" w:name="Tc_oaDR2hHN30K5nUusz5iv8g_5_12"/>
      <w:bookmarkStart w:id="436" w:name="Tc_3pxvgU-qQ0yzmRrKoj4jEQ_5_9"/>
      <w:bookmarkStart w:id="437" w:name="Tc_lW7SrRnJz0OUW3sQsnEIAg_5_7"/>
      <w:bookmarkStart w:id="438" w:name="Tc_ahsClYUcA02il5FYvUylgQ_5_4"/>
      <w:bookmarkStart w:id="439" w:name="Tc_ziSpbKKs7kCjzxSb0w59jA_5_2"/>
      <w:bookmarkStart w:id="440" w:name="Tc_7X73h82mxE6bXCAaI9GYhg_4_18"/>
      <w:bookmarkStart w:id="441" w:name="Tc_vW_pBp19u02XRp9rbRH3LA_4_15"/>
      <w:bookmarkStart w:id="442" w:name="Tc_R0LICZYDNUuaySpISOarmg_4_12"/>
      <w:bookmarkStart w:id="443" w:name="Tc_bn811qiu006PJGHFHCBYRw_4_7"/>
      <w:bookmarkStart w:id="444" w:name="Tc__ju-PdfPRUOkSS-H6Js7lQ_4_2"/>
      <w:bookmarkStart w:id="445" w:name="Tc_4LeA-OZuwEWvYOCMOnbIdA_3_18"/>
      <w:bookmarkStart w:id="446" w:name="Tc_7WiZ_WIZH0G9IWSZRjtUpw_3_12"/>
      <w:bookmarkStart w:id="447" w:name="Tc_xY5h5V4hi0u42GJKnOxptA_2_2"/>
      <w:bookmarkStart w:id="448" w:name="Tc_dRl1aNNpkkmhTuyf2KljUQ_1_2"/>
      <w:bookmarkStart w:id="449" w:name="_8f8f0339_4bf1_43c9_9bcd_938aadd5e6e0"/>
      <w:bookmarkStart w:id="450" w:name="Tc_lBKg8YpWh0SYM0WrgWBYdA_50_18"/>
      <w:bookmarkStart w:id="451" w:name="Tc_lSqsgi9nLUi-plG2NaE_PQ_50_15"/>
      <w:bookmarkStart w:id="452" w:name="Tc_ZaQfreDIs0uKpokSUAsubg_50_12"/>
      <w:bookmarkStart w:id="453" w:name="Tc_jUNofMe4k0iKDFAJfWZnKw_50_9"/>
      <w:bookmarkStart w:id="454" w:name="Tc_v5Wny86iDU-sUVgcNLoBVA_50_4"/>
      <w:bookmarkStart w:id="455" w:name="Tc_bdIddgTFnEmpYhya2FUsJA_50_0"/>
      <w:bookmarkStart w:id="456" w:name="Tc_CQunLKrpVEqLWr_DvpzHsg_49_16"/>
      <w:bookmarkStart w:id="457" w:name="Tc_9sOPTMsbZ0yOgG3Zmt3oTQ_49_13"/>
      <w:bookmarkStart w:id="458" w:name="Tc_EMUPY1QdSUWNnE8QFY_oGQ_49_5"/>
      <w:bookmarkStart w:id="459" w:name="Tc_3kA2u4By9k-sDpM5Ojc3-g_49_2"/>
      <w:bookmarkStart w:id="460" w:name="Tc_W3Kjmvmnw0uMWxrQ625Ijw_49_0"/>
      <w:bookmarkStart w:id="461" w:name="Tc_TYOZUf0JnkqWHN8XOBFAiQ_48_13"/>
      <w:bookmarkStart w:id="462" w:name="Tc_dOUqlNZZ3EW6WKhuOPTOfg_48_10"/>
      <w:bookmarkStart w:id="463" w:name="Tc_7-Dek_5fPUab_u_G71aiDQ_48_7"/>
      <w:bookmarkStart w:id="464" w:name="Tc_FWBDCjUa9kCdSa3unkjUkQ_48_5"/>
      <w:bookmarkStart w:id="465" w:name="Tc_d-8w_bCDmECELnzLMrMW7A_48_2"/>
      <w:bookmarkStart w:id="466" w:name="Tc_6lgMcVJ_lE-kbBxrE5l88g_48_0"/>
      <w:bookmarkStart w:id="467" w:name="Tc_cQC-60Mal0Sfgrh9BhJTDw_47_16"/>
      <w:bookmarkStart w:id="468" w:name="Tc_J67e6mO3JUCOiITDQyWD1g_47_10"/>
      <w:bookmarkStart w:id="469" w:name="Tc_4K3aHhqrOESZDJbfONj_NA_47_7"/>
      <w:bookmarkStart w:id="470" w:name="Tc_HlCOb7JUe0yohCdwhY-GYw_47_5"/>
      <w:bookmarkStart w:id="471" w:name="Tc_9lT9OACzRkSMzNCcMK3sYQ_47_2"/>
      <w:bookmarkStart w:id="472" w:name="Tc_ei4cFZy7h0iZDT3pwz_YgQ_47_0"/>
      <w:bookmarkStart w:id="473" w:name="Tc_eK17ZWsIhEKRH890Ehx1sQ_46_16"/>
      <w:bookmarkStart w:id="474" w:name="Tc_I6Xz3mnpDkOjOx2AnEab3g_46_13"/>
      <w:bookmarkStart w:id="475" w:name="Tc_uavtHJaHaE6LsNiOEmAJLQ_46_5"/>
      <w:bookmarkStart w:id="476" w:name="Tc_4aexV5Om4UOEeUTXIm7rhA_46_2"/>
      <w:bookmarkStart w:id="477" w:name="Tc_2YkqlVgzkEC8Y4lBbJbDAA_46_0"/>
      <w:bookmarkStart w:id="478" w:name="Tc_xncH-SVNWUi-f2LhsMRcJg_45_19"/>
      <w:bookmarkStart w:id="479" w:name="Tc_TFsLxlBjuUqKhJcwO63p2A_45_16"/>
      <w:bookmarkStart w:id="480" w:name="Tc_73GAvokf80-b_-4UKdDsbQ_45_5"/>
      <w:bookmarkStart w:id="481" w:name="Tc_8uxhCIhCC0GjYdpVXeBd4g_45_2"/>
      <w:bookmarkStart w:id="482" w:name="Tc_JdJ3UYr9gUKSgfydBvDluQ_45_0"/>
      <w:bookmarkStart w:id="483" w:name="Tc_dt8g3Agr5ESwpqSLBIvEqA_44_19"/>
      <w:bookmarkStart w:id="484" w:name="Tc_he_5bnMpHkmXHZ8th59_XQ_44_16"/>
      <w:bookmarkStart w:id="485" w:name="Tc_hR4JblX-XUKFZWNqBfeQkg_44_13"/>
      <w:bookmarkStart w:id="486" w:name="Tc_C7VzXse1wUGhnbu83vK5Kw_44_10"/>
      <w:bookmarkStart w:id="487" w:name="Tc_GWWL0_KzwEy_6zJQBESGMA_44_7"/>
      <w:bookmarkStart w:id="488" w:name="Tc_fwdR6CpPmkOhs4gr8Ao-vQ_44_5"/>
      <w:bookmarkStart w:id="489" w:name="Tc_rQQ2XZrS9EuaGo5XQHukyQ_44_2"/>
      <w:bookmarkStart w:id="490" w:name="Tc_vk9daZlaU0qAx5Xyu9r-jA_44_0"/>
      <w:bookmarkStart w:id="491" w:name="Tc_gh35OfYn2ES2e6FglyyxpA_43_0"/>
      <w:bookmarkStart w:id="492" w:name="Tc_5PLnpg4sn0OkfJS_mhNc0w_42_13"/>
      <w:bookmarkStart w:id="493" w:name="Tc_ERyqNtPpMkO87ic_I2vcew_42_10"/>
      <w:bookmarkStart w:id="494" w:name="Tc_ipYD1ARhGEqDvKk7MFntYA_42_7"/>
      <w:bookmarkStart w:id="495" w:name="Tc_sbix6Do2pUWRs5MmRUE6kw_42_5"/>
      <w:bookmarkStart w:id="496" w:name="Tc_DIGrtQ2FuUS8E83Bk3WTXA_42_2"/>
      <w:bookmarkStart w:id="497" w:name="Tc_eUwb1gnk9UyusUUAGf1udQ_42_0"/>
      <w:bookmarkStart w:id="498" w:name="Tc_d0TYtPhEbUOZyhCnGfwXTQ_41_0"/>
      <w:bookmarkStart w:id="499" w:name="Tc_aGCqY5yKgU2WUVltUjRkYg_40_16"/>
      <w:bookmarkStart w:id="500" w:name="Tc_f1Y8CHlP4kSPldMnGEgq4Q_40_13"/>
      <w:bookmarkStart w:id="501" w:name="Tc_C6YjA_uCSkq3ms-JVEvcxA_40_5"/>
      <w:bookmarkStart w:id="502" w:name="Tc_EAHzBNv73EWjkYgOrI4taQ_40_2"/>
      <w:bookmarkStart w:id="503" w:name="Tc_nzcVrOkb-UGA2ckv3pYrsQ_40_0"/>
      <w:bookmarkStart w:id="504" w:name="Tc_Zh1v4hqPfUO8DsGb9FBjmQ_39_13"/>
      <w:bookmarkStart w:id="505" w:name="Tc_vjaUWZV5q0KfHcsg_atGkQ_39_10"/>
      <w:bookmarkStart w:id="506" w:name="Tc_q2EAtAnRH0KUE6YYzpmvNA_39_7"/>
      <w:bookmarkStart w:id="507" w:name="Tc_CyIuxFJmiUKQgsv2QF0rOw_39_5"/>
      <w:bookmarkStart w:id="508" w:name="Tc_5TWvC1HeOEaF8rZ2XrF77A_39_2"/>
      <w:bookmarkStart w:id="509" w:name="Tc__mZSpNxja06uI1xG7YlnNQ_39_0"/>
      <w:bookmarkStart w:id="510" w:name="Tc_9t7MjxGQE06oQPfdgMuwEw_38_16"/>
      <w:bookmarkStart w:id="511" w:name="Tc_V3kSbQiTDEirlw4fkMSRHQ_38_10"/>
      <w:bookmarkStart w:id="512" w:name="Tc_2y5PaWjnmEWx14zZ4ayruA_38_7"/>
      <w:bookmarkStart w:id="513" w:name="Tc_wxyF69ezlk6Ts-KVOUmD-A_38_5"/>
      <w:bookmarkStart w:id="514" w:name="Tc_IlQIWhRT8kWm8Do-G-YzGg_38_2"/>
      <w:bookmarkStart w:id="515" w:name="Tc_gkRbhYzwP0aBuS1Pcg1Jmg_38_0"/>
      <w:bookmarkStart w:id="516" w:name="Tc_DdeqdBwPOUiYNcH5wwgzjg_37_16"/>
      <w:bookmarkStart w:id="517" w:name="Tc_CiobSpBtl0-t8dY02V5N9A_37_13"/>
      <w:bookmarkStart w:id="518" w:name="Tc_iK7RgGy2_UysRt_X5RulRA_37_5"/>
      <w:bookmarkStart w:id="519" w:name="Tc_MedOhy891kGkSYXfJ0togQ_37_2"/>
      <w:bookmarkStart w:id="520" w:name="Tc_Mmiskt00nkqnOo3TC3OsOw_37_0"/>
      <w:bookmarkStart w:id="521" w:name="Tc_rCSMDH4QhUS3Ea1QbNJBHA_36_16"/>
      <w:bookmarkStart w:id="522" w:name="Tc_cWfpa4wUnU68nI1xKF5vSQ_36_5"/>
      <w:bookmarkStart w:id="523" w:name="Tc_Op01LMkd30OgJ5DUps77fQ_36_2"/>
      <w:bookmarkStart w:id="524" w:name="Tc_thA3LNNRPUqAiBg9dh0THA_36_0"/>
      <w:bookmarkStart w:id="525" w:name="Tc_3_NV-eRMq0GdsjJ3-sMo5g_35_16"/>
      <w:bookmarkStart w:id="526" w:name="Tc_H_3Le8qiy0uQSGhjWxSQ2A_35_5"/>
      <w:bookmarkStart w:id="527" w:name="Tc_L3M1DAB5-UGXTRsRTRIFzA_35_2"/>
      <w:bookmarkStart w:id="528" w:name="Tc_JAnDhIM3ZUWbS98iV6AFGg_35_0"/>
      <w:bookmarkStart w:id="529" w:name="Tc_OKFivHMMgUCeIJiaWJETsw_34_0"/>
      <w:bookmarkStart w:id="530" w:name="Tc_3wjVesyO0U-7abK6dG-vrw_33_13"/>
      <w:bookmarkStart w:id="531" w:name="Tc_9ybul4mlvUmSIlhblc3Mow_33_10"/>
      <w:bookmarkStart w:id="532" w:name="Tc_AceKqr6IeEe17MLHJOIBrw_33_7"/>
      <w:bookmarkStart w:id="533" w:name="Tc_8jqBY6EUJEySEcSzOmwFIw_33_5"/>
      <w:bookmarkStart w:id="534" w:name="Tc_21Ks3MipZUGtm9fUxZyVdg_33_2"/>
      <w:bookmarkStart w:id="535" w:name="Tc_YJWTCU-S9kypoXbS-J8F9A_33_0"/>
      <w:bookmarkStart w:id="536" w:name="Tc_0-IIp_PXcEG7w91XgAyG7g_32_18"/>
      <w:bookmarkStart w:id="537" w:name="Tc_HpZgIxwBDUexuye5pTg7AQ_32_15"/>
      <w:bookmarkStart w:id="538" w:name="Tc_ekYjN7aevkWHFMDHZDQYuQ_32_12"/>
      <w:bookmarkStart w:id="539" w:name="Tc_7kH_5hiJWE2Ivb3qoHyovw_32_9"/>
      <w:bookmarkStart w:id="540" w:name="Tc_-ejJCZZh8U2Pv7NkPZkR3A_32_4"/>
      <w:bookmarkStart w:id="541" w:name="Tc_7zri1TMWNEGAiQw_2VVHow_32_0"/>
      <w:bookmarkStart w:id="542" w:name="Tc_cCGIphcEWkCt9dUjSy_pSw_31_18"/>
      <w:bookmarkStart w:id="543" w:name="Tc_MhcZjVYxK0GmhgY-TBJJZA_31_15"/>
      <w:bookmarkStart w:id="544" w:name="Tc_WXN7Yy8TL0O0QagbHbnbqA_31_12"/>
      <w:bookmarkStart w:id="545" w:name="Tc_JbZOshSx4kSJkiOgb9g8KA_31_9"/>
      <w:bookmarkStart w:id="546" w:name="Tc_w0IxI-hc6kS-NdDMxI4i-Q_31_7"/>
      <w:bookmarkStart w:id="547" w:name="Tc_3wY3CW57IEmKUj0peT2NEQ_31_4"/>
      <w:bookmarkStart w:id="548" w:name="Tc_4uA4T38aEUS-ivbU45c-bg_31_2"/>
      <w:bookmarkStart w:id="549" w:name="Tc_z5f0nmdMxkSO7ItMzqZtvw_30_18"/>
      <w:bookmarkStart w:id="550" w:name="Tc_QJrdWoNCA0SX05Qy08aGFw_30_15"/>
      <w:bookmarkStart w:id="551" w:name="Tc_H4o-AQgjPEO7f21577KA6g_30_12"/>
      <w:bookmarkStart w:id="552" w:name="Tc_cw-k_aFJRUSkEPuzO8QzZA_30_7"/>
      <w:bookmarkStart w:id="553" w:name="Tc__G3migdnSk66n-mRqfB-LA_30_2"/>
      <w:bookmarkStart w:id="554" w:name="Tc_BzaExG_3i06M7oYTpxczZg_29_18"/>
      <w:bookmarkStart w:id="555" w:name="Tc_0XGQdyCVd0OqitBYApVFqA_29_12"/>
      <w:bookmarkStart w:id="556" w:name="Tc_2J6vRr-G4UqfjRMXBqziMg_28_2"/>
      <w:bookmarkStart w:id="557" w:name="Tc_jE3cD49UlkWPunyCt90aBw_27_2"/>
      <w:bookmarkStart w:id="558" w:name="Tc_Xg77AzDmJUuCJK3Bq1zTpA_24_18"/>
      <w:bookmarkStart w:id="559" w:name="Tc_ixurDx-I7UKYMKVKfOOOAg_24_15"/>
      <w:bookmarkStart w:id="560" w:name="Tc_nWai_8T4aU2SwpmfGv0B5g_24_12"/>
      <w:bookmarkStart w:id="561" w:name="Tc_CJi4jCtRTk-IiX37bWWCiA_24_9"/>
      <w:bookmarkStart w:id="562" w:name="Tc_jg1bF6HrbUu-2EeiCdgqWg_24_4"/>
      <w:bookmarkStart w:id="563" w:name="Tc_X2iAQRG4uE-9atE2QGtN6A_24_0"/>
      <w:bookmarkStart w:id="564" w:name="Tc_ZMfax1OJEku1xIrArRwuPw_23_16"/>
      <w:bookmarkStart w:id="565" w:name="Tc_BlK1d7R0QESR3VwOxpS_QA_23_13"/>
      <w:bookmarkStart w:id="566" w:name="Tc_4G6zKqfGhEOmxddPzC8SsQ_23_5"/>
      <w:bookmarkStart w:id="567" w:name="Tc_vpsYzrqrpkil0fGVlKNnRg_23_2"/>
      <w:bookmarkStart w:id="568" w:name="Tc_z0G-YPV7i0S5PeDILD8bLA_23_0"/>
      <w:bookmarkStart w:id="569" w:name="Tc_7m2fLMQpdUSXzxFDjnXUPA_22_13"/>
      <w:bookmarkStart w:id="570" w:name="Tc_Ez2LQurokUOjNxYg3CW8qQ_22_10"/>
      <w:bookmarkStart w:id="571" w:name="Tc_DHS2mvAddkuuFZ6LuNadSg_22_7"/>
      <w:bookmarkStart w:id="572" w:name="Tc_MCvEWFy8okOv5IsmyYUhxQ_22_5"/>
      <w:bookmarkStart w:id="573" w:name="Tc_2PT-r7Rp3E-nvsApIV53_A_22_2"/>
      <w:bookmarkStart w:id="574" w:name="Tc_5ocjFbHHe0KG_h5c93XIQQ_22_0"/>
      <w:bookmarkStart w:id="575" w:name="Tc_b2KoOddE7EGkD71gE2zY4w_21_16"/>
      <w:bookmarkStart w:id="576" w:name="Tc_NV8jbeavC0OFjcrWvTqUMg_21_10"/>
      <w:bookmarkStart w:id="577" w:name="Tc_dAN4PcAZT0mk2uMkLnlJmg_21_7"/>
      <w:bookmarkStart w:id="578" w:name="Tc_zt7kFwzx3k2vZq6y-ANpFQ_21_5"/>
      <w:bookmarkStart w:id="579" w:name="Tc_Kv-3W14cikuAQiPEfyucng_21_2"/>
      <w:bookmarkStart w:id="580" w:name="Tc_9nY2riFMT0ekUPfHxFi_FA_21_0"/>
      <w:bookmarkStart w:id="581" w:name="Tc_cae8SsonaUKglvnYEsPRvQ_20_16"/>
      <w:bookmarkStart w:id="582" w:name="Tc_JZx5BR8sHkyzJfQHW2Adww_20_13"/>
      <w:bookmarkStart w:id="583" w:name="Tc_NBBsb_b3ZEOmn5DijRAwbw_20_5"/>
      <w:bookmarkStart w:id="584" w:name="Tc_RyfPzcDbDUuzA7PflVM40w_20_2"/>
      <w:bookmarkStart w:id="585" w:name="Tc_s5e_HII-5k6BNFiIDoMnrw_20_0"/>
      <w:bookmarkStart w:id="586" w:name="Tc_qgFExx3TcUeHBlj7Ik0AjQ_19_19"/>
      <w:bookmarkStart w:id="587" w:name="Tc_Z2tp1PiGRUufm5P0wOWjow_19_16"/>
      <w:bookmarkStart w:id="588" w:name="Tc_rbcRJdZ1_0Wojnm-D5QxkA_19_5"/>
      <w:bookmarkStart w:id="589" w:name="Tc_LgsdnrGHU0OV7JcwFDF9mw_19_2"/>
      <w:bookmarkStart w:id="590" w:name="Tc_m-uNciWkHkCOAQ913ZEiUg_19_0"/>
      <w:bookmarkStart w:id="591" w:name="Tc_KZG95g911EWHbMENKbs9zA_18_16"/>
      <w:bookmarkStart w:id="592" w:name="Tc_56qasRvKIE2Z89pKppUwYQ_18_5"/>
      <w:bookmarkStart w:id="593" w:name="Tc_3mDggKPQMkiDLpt_Julm5A_18_2"/>
      <w:bookmarkStart w:id="594" w:name="Tc_-BZEK9-s7EugnF7GRRRTUg_18_0"/>
      <w:bookmarkStart w:id="595" w:name="Tc_xrUT6GKgU06j8N1ewWf4tQ_17_0"/>
      <w:bookmarkStart w:id="596" w:name="Tc_xn9ptqdTE0CTd-LcOrdpeA_16_13"/>
      <w:bookmarkStart w:id="597" w:name="Tc__2hVwJJEbUSJVHUOeZKOzw_16_10"/>
      <w:bookmarkStart w:id="598" w:name="Tc_PPHzfMmLB0SZm8DQ03WBZg_16_7"/>
      <w:bookmarkStart w:id="599" w:name="Tc_HZGzrs7lkUq-4bdtjO33og_16_5"/>
      <w:bookmarkStart w:id="600" w:name="Tc_BAE8IzpadUq72X46gZz6yg_16_2"/>
      <w:bookmarkStart w:id="601" w:name="Tc_t2ZgDMYh0UOZGnbYhPhnCw_16_0"/>
      <w:bookmarkStart w:id="602" w:name="Tc_hVsV2B15vESUljz-94A85Q_15_0"/>
      <w:bookmarkStart w:id="603" w:name="Tc_gDlpubHJaE2_w0TGhN4yFw_14_16"/>
      <w:bookmarkStart w:id="604" w:name="Tc_B3Cba1MlIkCNR4jXtOdQPg_14_13"/>
      <w:bookmarkStart w:id="605" w:name="Tc_O4yY08xXpUKAIr7LiijqJQ_14_5"/>
      <w:bookmarkStart w:id="606" w:name="Tc_tjOAM7ibf0SVFvx7ylSTKw_14_2"/>
      <w:bookmarkStart w:id="607" w:name="Tc_T5iZLbVv7keSiZ7m-qQBxQ_14_0"/>
      <w:bookmarkStart w:id="608" w:name="Tc_sfVd2MqpwEG0ZIDqMknsgQ_13_13"/>
      <w:bookmarkStart w:id="609" w:name="Tc_W921J8ZNL0eRq0RKbKdqHw_13_10"/>
      <w:bookmarkStart w:id="610" w:name="Tc_JBe4E5dAc0C5FgvP1t8BZA_13_7"/>
      <w:bookmarkStart w:id="611" w:name="Tc_N_XvmN_FlkGo9S73WBz8kw_13_5"/>
      <w:bookmarkStart w:id="612" w:name="Tc_WmZaKphu9kawKqeH7Jr4fw_13_2"/>
      <w:bookmarkStart w:id="613" w:name="Tc_IZmFHs0D1UO5dFR1f7EMfg_13_0"/>
      <w:bookmarkStart w:id="614" w:name="Tc_4EBKrPE98kmEdN6jsiY_gA_12_16"/>
      <w:bookmarkStart w:id="615" w:name="Tc_E4vayHIjdU25TGvIxfLxhQ_12_10"/>
      <w:bookmarkStart w:id="616" w:name="Tc_U-VklVe_bk2ayumeH_BXog_12_7"/>
      <w:bookmarkStart w:id="617" w:name="Tc_ul8ksEUHcke8MNVl9QZmhQ_12_5"/>
      <w:bookmarkStart w:id="618" w:name="Tc_POYsddOQekqIOEaqrUhxNA_12_2"/>
      <w:bookmarkStart w:id="619" w:name="Tc_JyDRtEXSvUGxqqFzwwpYHA_12_0"/>
      <w:bookmarkStart w:id="620" w:name="Tc_GdZnoD8CEEC50QM5HA8wwQ_11_16"/>
      <w:bookmarkStart w:id="621" w:name="Tc_kt9S6IrwiEKDwKDnAUNRpw_11_13"/>
      <w:bookmarkStart w:id="622" w:name="Tc_cLtx5osvKkKWJj93TQMrVw_11_5"/>
      <w:bookmarkStart w:id="623" w:name="Tc_iFuj0PdWjE-ImU514J_ADA_11_2"/>
      <w:bookmarkStart w:id="624" w:name="Tc_D_uM7e3sPkC8WFsn6soaVg_11_0"/>
      <w:bookmarkStart w:id="625" w:name="Tc_SFALxL9VKUegxUCuCeN8Zw_10_16"/>
      <w:bookmarkStart w:id="626" w:name="Tc_pqid2KMRrUeDLCnxGMbHVA_10_5"/>
      <w:bookmarkStart w:id="627" w:name="Tc_YN8PVZAJKUWlD3TfOmwtvg_10_2"/>
      <w:bookmarkStart w:id="628" w:name="Tc_R8ibOP_W20aZXc6IORz5QA_10_0"/>
      <w:bookmarkStart w:id="629" w:name="Tc_TN-ySFngV0mxY5fC4kRc5g_9_19"/>
      <w:bookmarkStart w:id="630" w:name="Tc_kTOA1caDP0CrI0ZJ0ur4ZA_9_16"/>
      <w:bookmarkStart w:id="631" w:name="Tc_opwlFpMUeEuo4OKK2Jn4sw_9_13"/>
      <w:bookmarkStart w:id="632" w:name="Tc_xr4EBSkkbkiKZjcXvQ67GA_9_10"/>
      <w:bookmarkStart w:id="633" w:name="Tc_R1l2cBrsykulzgE6jGKj_w_9_7"/>
      <w:bookmarkStart w:id="634" w:name="Tc_3g7TM2ACGEyqq-aVIZu2AA_9_5"/>
      <w:bookmarkStart w:id="635" w:name="Tc_6YhtHljljUucJO5lNlNyhg_9_2"/>
      <w:bookmarkStart w:id="636" w:name="Tc_AIawk-B04Ei2--eYTQ63cA_9_0"/>
      <w:bookmarkStart w:id="637" w:name="Tc_f2TD2hbO4UC115jIGSXwmw_8_0"/>
      <w:bookmarkStart w:id="638" w:name="Tc_FxUmDy-bXESTI0CWQVVQAw_7_13"/>
      <w:bookmarkStart w:id="639" w:name="Tc_Z1ee-h95hEuXY2H2ndT4Zg_7_10"/>
      <w:bookmarkStart w:id="640" w:name="Tc_5h5BLr6VDEe5lGfYasCy9g_7_7"/>
      <w:bookmarkStart w:id="641" w:name="Tc_um48KAe1cEeYhcHrWYjDOA_7_5"/>
      <w:bookmarkStart w:id="642" w:name="Tc_ctBtpAFcR0-2qdlzr-3CsA_7_2"/>
      <w:bookmarkStart w:id="643" w:name="Tc_uC5cOaPSMEi30zvghgCBLg_7_0"/>
      <w:bookmarkStart w:id="644" w:name="Tc_kgzUnOzvoEqkT9OtO96BfA_6_18"/>
      <w:bookmarkStart w:id="645" w:name="Tc_ExJqVi2vGEeoPFQQwpbrWw_6_15"/>
      <w:bookmarkStart w:id="646" w:name="Tc_jTFDoJTYg02__RWWT_7tlg_6_12"/>
      <w:bookmarkStart w:id="647" w:name="Tc_W-1rwWTJz0Wd_DKLu_AcQA_6_9"/>
      <w:bookmarkStart w:id="648" w:name="Tc_VPkDB8x_0kiQ5vHzZA-ZiQ_6_4"/>
      <w:bookmarkStart w:id="649" w:name="Tc_FPReeKMYO0S4vPfn-WZLpg_6_0"/>
      <w:bookmarkStart w:id="650" w:name="Tc_IGeGwPaUmkmnGoJpiDHiJA_5_18"/>
      <w:bookmarkStart w:id="651" w:name="Tc_fQYJChYF20-YNZboo2z98w_5_15"/>
      <w:bookmarkStart w:id="652" w:name="Tc_oaDR2hHN30K5nUusz5iv8g_5_12"/>
      <w:bookmarkStart w:id="653" w:name="Tc_3pxvgU-qQ0yzmRrKoj4jEQ_5_9"/>
      <w:bookmarkStart w:id="654" w:name="Tc_lW7SrRnJz0OUW3sQsnEIAg_5_7"/>
      <w:bookmarkStart w:id="655" w:name="Tc_ahsClYUcA02il5FYvUylgQ_5_4"/>
      <w:bookmarkStart w:id="656" w:name="Tc_ziSpbKKs7kCjzxSb0w59jA_5_2"/>
      <w:bookmarkStart w:id="657" w:name="Tc_7X73h82mxE6bXCAaI9GYhg_4_18"/>
      <w:bookmarkStart w:id="658" w:name="Tc_vW_pBp19u02XRp9rbRH3LA_4_15"/>
      <w:bookmarkStart w:id="659" w:name="Tc_R0LICZYDNUuaySpISOarmg_4_12"/>
      <w:bookmarkStart w:id="660" w:name="Tc_bn811qiu006PJGHFHCBYRw_4_7"/>
      <w:bookmarkStart w:id="661" w:name="Tc__ju-PdfPRUOkSS-H6Js7lQ_4_2"/>
      <w:bookmarkStart w:id="662" w:name="Tc_4LeA-OZuwEWvYOCMOnbIdA_3_18"/>
      <w:bookmarkStart w:id="663" w:name="Tc_7WiZ_WIZH0G9IWSZRjtUpw_3_12"/>
      <w:bookmarkStart w:id="664" w:name="Tc_xY5h5V4hi0u42GJKnOxptA_2_2"/>
      <w:bookmarkStart w:id="665" w:name="Tc_dRl1aNNpkkmhTuyf2KljUQ_1_2"/>
      <w:bookmarkStart w:id="666" w:name="_8f8f0339_4bf1_43c9_9bcd_938aadd5e6e0"/>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tbl>
      <w:tblPr>
        <w:tblW w:w="10205" w:type="dxa"/>
        <w:jc w:val="left"/>
        <w:tblInd w:w="0" w:type="dxa"/>
        <w:tblLayout w:type="fixed"/>
        <w:tblCellMar>
          <w:top w:w="0" w:type="dxa"/>
          <w:left w:w="0" w:type="dxa"/>
          <w:bottom w:w="0" w:type="dxa"/>
          <w:right w:w="0" w:type="dxa"/>
        </w:tblCellMar>
      </w:tblPr>
      <w:tblGrid>
        <w:gridCol w:w="2119"/>
        <w:gridCol w:w="346"/>
        <w:gridCol w:w="766"/>
        <w:gridCol w:w="346"/>
        <w:gridCol w:w="196"/>
        <w:gridCol w:w="375"/>
        <w:gridCol w:w="346"/>
        <w:gridCol w:w="756"/>
        <w:gridCol w:w="346"/>
        <w:gridCol w:w="181"/>
        <w:gridCol w:w="651"/>
        <w:gridCol w:w="346"/>
        <w:gridCol w:w="181"/>
        <w:gridCol w:w="586"/>
        <w:gridCol w:w="346"/>
        <w:gridCol w:w="181"/>
        <w:gridCol w:w="691"/>
        <w:gridCol w:w="346"/>
        <w:gridCol w:w="187"/>
        <w:gridCol w:w="719"/>
        <w:gridCol w:w="194"/>
      </w:tblGrid>
      <w:tr>
        <w:trPr/>
        <w:tc>
          <w:tcPr>
            <w:tcW w:w="2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45565" cy="175260"/>
                      <wp:effectExtent l="0" t="0" r="0" b="0"/>
                      <wp:wrapNone/>
                      <wp:docPr id="26" name="Frame26"/>
                      <a:graphic xmlns:a="http://schemas.openxmlformats.org/drawingml/2006/main">
                        <a:graphicData uri="http://schemas.microsoft.com/office/word/2010/wordprocessingShape">
                          <wps:wsp>
                            <wps:cNvSpPr txBox="1"/>
                            <wps:spPr>
                              <a:xfrm>
                                <a:off x="0" y="0"/>
                                <a:ext cx="134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86410" cy="175260"/>
                      <wp:effectExtent l="0" t="0" r="0" b="0"/>
                      <wp:wrapNone/>
                      <wp:docPr id="28" name="Frame2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8125" cy="175260"/>
                      <wp:effectExtent l="0" t="0" r="0" b="0"/>
                      <wp:wrapNone/>
                      <wp:docPr id="31" name="Frame3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80060" cy="175260"/>
                      <wp:effectExtent l="0" t="0" r="0" b="0"/>
                      <wp:wrapNone/>
                      <wp:docPr id="33" name="Frame33"/>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14935" cy="175260"/>
                      <wp:effectExtent l="0" t="0" r="0" b="0"/>
                      <wp:wrapNone/>
                      <wp:docPr id="35" name="Frame3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13385" cy="175260"/>
                      <wp:effectExtent l="0" t="0" r="0" b="0"/>
                      <wp:wrapNone/>
                      <wp:docPr id="36" name="Frame36"/>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14935" cy="175260"/>
                      <wp:effectExtent l="0" t="0" r="0" b="0"/>
                      <wp:wrapNone/>
                      <wp:docPr id="38" name="Frame3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72110" cy="175260"/>
                      <wp:effectExtent l="0" t="0" r="0" b="0"/>
                      <wp:wrapNone/>
                      <wp:docPr id="39" name="Frame3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14935" cy="175260"/>
                      <wp:effectExtent l="0" t="0" r="0" b="0"/>
                      <wp:wrapNone/>
                      <wp:docPr id="41" name="Frame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785" cy="175260"/>
                      <wp:effectExtent l="0" t="0" r="0" b="0"/>
                      <wp:wrapNone/>
                      <wp:docPr id="42" name="Frame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18745" cy="175260"/>
                      <wp:effectExtent l="0" t="0" r="0" b="0"/>
                      <wp:wrapNone/>
                      <wp:docPr id="44" name="Frame44"/>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56565" cy="175260"/>
                      <wp:effectExtent l="0" t="0" r="0" b="0"/>
                      <wp:wrapNone/>
                      <wp:docPr id="45" name="Frame45"/>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3190" cy="175260"/>
                      <wp:effectExtent l="0" t="0" r="0" b="0"/>
                      <wp:wrapNone/>
                      <wp:docPr id="46" name="Frame46"/>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6" w:type="dxa"/>
            <w:gridSpan w:val="18"/>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Six Months Ended </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6"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2025</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8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  ​ ​ ​</w:t>
            </w:r>
          </w:p>
        </w:tc>
        <w:tc>
          <w:tcPr>
            <w:tcW w:w="19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(5,562,453)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(273,799)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350,734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1,627,330</w:t>
            </w:r>
          </w:p>
        </w:tc>
        <w:tc>
          <w:tcPr>
            <w:tcW w:w="34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1,704,676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169,289</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169,289</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1,156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(7,330)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(2,622)</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5,474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5,474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($0.40 per share)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(14,162)</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(14,162)</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(264,054)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(92,243)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(92,243)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2025</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(5,815,389)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(367,508)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361,653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1,782,457</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1,777,013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230,848</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230,848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12,500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830</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35,609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(2,337)</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(12,255)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($0.45 per share)</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(15,871)</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(15,871)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(62,378)</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(19,980)</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(19,980)</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JUNE 30, 2025</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(5,841,913)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(388,298)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361,662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1,997,434</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1,971,209</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6" w:type="dxa"/>
            <w:gridSpan w:val="18"/>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Six Months Ended </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46"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2026</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8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  ​ ​ ​</w:t>
            </w:r>
          </w:p>
        </w:tc>
        <w:tc>
          <w:tcPr>
            <w:tcW w:w="19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94" w:type="dxa"/>
            <w:tcBorders/>
            <w:vAlign w:val="center"/>
          </w:tcPr>
          <w:p>
            <w:pPr>
              <w:pStyle w:val="TableContents"/>
              <w:bidi w:val="0"/>
              <w:spacing w:before="0" w:after="0"/>
              <w:ind w:left="0" w:right="0" w:hanging="0"/>
              <w:jc w:val="left"/>
              <w:rPr/>
            </w:pPr>
            <w:r>
              <w:rPr/>
              <w:t> </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(5,946,145)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(496,006)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363,314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2,581,055</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2,448,774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370,378</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370,378</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9,000</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754</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5,674</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7,535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8,011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(3,125)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(3,125)</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17,798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 </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17,798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($0.70 per share)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(24,623)</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 </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(24,623)</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(2,548)</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MARCH 31, 2026</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(5,936,242)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(500,449)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388,276</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2,926,810</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2,815,048</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441,602</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441,602</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Stock:</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shares for options exercised</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restricted stock &amp; performance stock</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25,729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received in lieu of tax withholding on vested stock</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(9,472)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(13,537)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(13,537)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8,002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8,002</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Dividends ($0.80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(28,162)</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(28,162)</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repurchases</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(3,171)</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(5,684)</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(5,684)</w:t>
            </w:r>
          </w:p>
        </w:tc>
        <w:tc>
          <w:tcPr>
            <w:tcW w:w="194"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41,123,365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411</w:t>
            </w:r>
          </w:p>
        </w:tc>
        <w:tc>
          <w:tcPr>
            <w:tcW w:w="346" w:type="dxa"/>
            <w:tcBorders/>
            <w:shd w:fill="CCEEFF" w:val="clear"/>
            <w:vAlign w:val="center"/>
          </w:tcPr>
          <w:p>
            <w:pPr>
              <w:pStyle w:val="TableContents"/>
              <w:bidi w:val="0"/>
              <w:spacing w:before="0" w:after="0"/>
              <w:ind w:left="0" w:right="0" w:hanging="0"/>
              <w:jc w:val="left"/>
              <w:rPr/>
            </w:pPr>
            <w:r>
              <w:rPr/>
              <w:t>​</w:t>
            </w:r>
          </w:p>
        </w:tc>
        <w:tc>
          <w:tcPr>
            <w:tcW w:w="7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(5,923,156)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(517,499)</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394,107</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3,340,250</w:t>
            </w:r>
          </w:p>
        </w:tc>
        <w:tc>
          <w:tcPr>
            <w:tcW w:w="346" w:type="dxa"/>
            <w:tcBorders/>
            <w:shd w:fill="CCEEFF" w:val="clear"/>
            <w:vAlign w:val="center"/>
          </w:tcPr>
          <w:p>
            <w:pPr>
              <w:pStyle w:val="TableContents"/>
              <w:bidi w:val="0"/>
              <w:spacing w:before="0" w:after="0"/>
              <w:ind w:left="0" w:right="0" w:hanging="0"/>
              <w:jc w:val="left"/>
              <w:rPr/>
            </w:pPr>
            <w:r>
              <w:rPr/>
              <w:t>​</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3,217,269</w:t>
            </w:r>
          </w:p>
        </w:tc>
        <w:tc>
          <w:tcPr>
            <w:tcW w:w="19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0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667" w:name="_41f85ca1_14ac_4e3a_b5d3_0e67856b36bc"/>
      <w:bookmarkEnd w:id="667"/>
      <w:r>
        <w:rPr>
          <w:rFonts w:ascii="Times New Roman;Times;serif" w:hAnsi="Times New Roman;Times;serif"/>
          <w:b/>
          <w:sz w:val="20"/>
        </w:rPr>
        <w:t>COMFORT SYSTEMS USA, INC.</w:t>
      </w:r>
    </w:p>
    <w:p>
      <w:pPr>
        <w:pStyle w:val="TextBody"/>
        <w:bidi w:val="0"/>
        <w:spacing w:before="0" w:after="120"/>
        <w:ind w:left="0" w:right="0" w:hanging="0"/>
        <w:jc w:val="center"/>
        <w:rPr>
          <w:rFonts w:ascii="Times New Roman;Times;serif" w:hAnsi="Times New Roman;Times;serif"/>
          <w:b/>
          <w:sz w:val="20"/>
        </w:rPr>
      </w:pPr>
      <w:bookmarkStart w:id="668" w:name="CONSOLIDATEDSTATEMENTSOFCASHFLOWS_486675"/>
      <w:bookmarkEnd w:id="668"/>
      <w:r>
        <w:rPr>
          <w:rFonts w:ascii="Times New Roman;Times;serif" w:hAnsi="Times New Roman;Times;serif"/>
          <w:b/>
          <w:sz w:val="20"/>
        </w:rPr>
        <w:t>CONSOLIDATED STATEMENTS OF CASH FLOWS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69" w:name="Tc_IJZZBXTaiEa1EupdazwFcA_46_5"/>
      <w:bookmarkStart w:id="670" w:name="Tc_4q3BuJizEUKeAcCJd6tCgA_46_2"/>
      <w:bookmarkStart w:id="671" w:name="Tc_qiV77UsR1E6j983ZzqURFA_46_0"/>
      <w:bookmarkStart w:id="672" w:name="Tc_lo7OU1vcWE-eqW3lKfZLDA_45_0"/>
      <w:bookmarkStart w:id="673" w:name="Tc_FWqn1zjVKU6oclbNHOYuBg_44_0"/>
      <w:bookmarkStart w:id="674" w:name="Tc_3UOOU1N_A0iH30UlfF02nw_43_0"/>
      <w:bookmarkStart w:id="675" w:name="Tc_SVS1jMJEzEq_0Th-nOqtxQ_42_0"/>
      <w:bookmarkStart w:id="676" w:name="Tc_Qk0n7vjERE-yBH0MOQNBJg_41_0"/>
      <w:bookmarkStart w:id="677" w:name="Tc__CR-2Jazok2FilxF2dQGhg_40_0"/>
      <w:bookmarkStart w:id="678" w:name="Tc_NFNJAeSRGEqR1FcSalRQRw_39_0"/>
      <w:bookmarkStart w:id="679" w:name="Tc_F399Lc7pOUaAwk7u1atN4A_38_0"/>
      <w:bookmarkStart w:id="680" w:name="Tc_toA6qyHh7U24hv_dcEnHgQ_37_0"/>
      <w:bookmarkStart w:id="681" w:name="Tc_xXpD-QdO1kqtdMXkC2d_EQ_36_6"/>
      <w:bookmarkStart w:id="682" w:name="Tc_olzp5IWyNU66PiC_QWn0Zg_36_0"/>
      <w:bookmarkStart w:id="683" w:name="Tc_GAwkG--8p0iVoTgV0pj0zA_35_0"/>
      <w:bookmarkStart w:id="684" w:name="Tc_6Ct_WmyIZEigvGrHz8PtRQ_34_0"/>
      <w:bookmarkStart w:id="685" w:name="Tc_4ByETd3ZPEyFon5A_5pzVQ_33_6"/>
      <w:bookmarkStart w:id="686" w:name="Tc_sP2qOIFCdEuoQ8GnlGQRpw_33_0"/>
      <w:bookmarkStart w:id="687" w:name="Tc_st7tVj2C0k2c4-dWb0jdOw_32_0"/>
      <w:bookmarkStart w:id="688" w:name="Tc_O7J3Va0Cs0i_wzct6-Ocvg_31_0"/>
      <w:bookmarkStart w:id="689" w:name="Tc_Ov-TI-QIdkOywgyCMeFk2g_30_0"/>
      <w:bookmarkStart w:id="690" w:name="Tc_-hMJ1eVL5U-x21cRTT-7yw_29_0"/>
      <w:bookmarkStart w:id="691" w:name="Tc_i0Zsid-NEUKjYH8vk_mxxA_28_0"/>
      <w:bookmarkStart w:id="692" w:name="Tc__nb7NKteeUWrVuOYhZEL-A_27_0"/>
      <w:bookmarkStart w:id="693" w:name="Tc_IlNOlKkKAkC9TX_cDirjBA_26_0"/>
      <w:bookmarkStart w:id="694" w:name="Tc_qpffR6zLV0-FQEx3AZux-A_25_0"/>
      <w:bookmarkStart w:id="695" w:name="Tc_L43Fj0YB0Ue_Dfai3nck9g_24_0"/>
      <w:bookmarkStart w:id="696" w:name="Tc_W74xXK7xY0qZ2Cv1KV7Hhw_23_0"/>
      <w:bookmarkStart w:id="697" w:name="Tc_6RA_uiN4FU-PAnrlcCwR8Q_22_0"/>
      <w:bookmarkStart w:id="698" w:name="Tc_-z0hgKMTh0aFmB4Bcg2qBQ_21_0"/>
      <w:bookmarkStart w:id="699" w:name="Tc_SoiKQBiJuU2RKxn-OEAB7g_20_0"/>
      <w:bookmarkStart w:id="700" w:name="Tc_BxjK2B9KGkKMsb46Zb55iQ_19_0"/>
      <w:bookmarkStart w:id="701" w:name="Tc_7x9TP3YOM0eLdkfuO1rBbw_18_0"/>
      <w:bookmarkStart w:id="702" w:name="Tc_yP7PTQPMiEO3hRafJi7R8Q_17_0"/>
      <w:bookmarkStart w:id="703" w:name="Tc_1FhzuyXlGEOWrmPv99mxdg_16_0"/>
      <w:bookmarkStart w:id="704" w:name="Tc_Av7emd7yUUGs8WLSXvPjeg_15_0"/>
      <w:bookmarkStart w:id="705" w:name="Tc_sn529pNruUGCXvu4giOWhw_14_0"/>
      <w:bookmarkStart w:id="706" w:name="Tc_Ve7_JVZUZEi3rO_8A_pI0w_13_0"/>
      <w:bookmarkStart w:id="707" w:name="Tc_nTOhfvqo8kea88oxkkedqQ_12_0"/>
      <w:bookmarkStart w:id="708" w:name="Tc_T2ljLoyXDUmz72JN2g1BQg_11_0"/>
      <w:bookmarkStart w:id="709" w:name="Tc_WMN0NOSKHk-AIzdQwiI-cg_10_0"/>
      <w:bookmarkStart w:id="710" w:name="Tc_wSuvLjrev0WJMprulO-zug_9_0"/>
      <w:bookmarkStart w:id="711" w:name="Tc_IpBnKf_qlUCRoAjX70RNlQ_8_0"/>
      <w:bookmarkStart w:id="712" w:name="Tc_Xk6c-8yJiEaf4xkaKkgH9g_7_0"/>
      <w:bookmarkStart w:id="713" w:name="Tc_pMLb5yWDMUOIFug32Q-sbg_6_0"/>
      <w:bookmarkStart w:id="714" w:name="Tc_L3CzfpOIg0KVfyoGzfQ1Xg_5_5"/>
      <w:bookmarkStart w:id="715" w:name="Tc_GkW2q1gkh0eiWo5u_OIobw_5_2"/>
      <w:bookmarkStart w:id="716" w:name="Tc_7-T0dqG3YEiWH6GhgV2pGg_5_0"/>
      <w:bookmarkStart w:id="717" w:name="Tc_GuyQg0HJD0iU4SlFVAzFfA_4_0"/>
      <w:bookmarkStart w:id="718" w:name="Tc_pc3h6FgALECKW5Id9NXxLw_3_5"/>
      <w:bookmarkStart w:id="719" w:name="Tc_9NBn9MZiHUuDGvlBsO1JBA_3_2"/>
      <w:bookmarkStart w:id="720" w:name="Tc_x7obO5uLsky6PkUcsTd3pA_2_2"/>
      <w:bookmarkStart w:id="721" w:name="Tc_wTE2mpKIV06HchbtMqaEag_1_2"/>
      <w:bookmarkStart w:id="722" w:name="_30307c34_96ca_4bce_bcd2_429cf05d67a6"/>
      <w:bookmarkStart w:id="723" w:name="Tc_IJZZBXTaiEa1EupdazwFcA_46_5"/>
      <w:bookmarkStart w:id="724" w:name="Tc_4q3BuJizEUKeAcCJd6tCgA_46_2"/>
      <w:bookmarkStart w:id="725" w:name="Tc_qiV77UsR1E6j983ZzqURFA_46_0"/>
      <w:bookmarkStart w:id="726" w:name="Tc_lo7OU1vcWE-eqW3lKfZLDA_45_0"/>
      <w:bookmarkStart w:id="727" w:name="Tc_FWqn1zjVKU6oclbNHOYuBg_44_0"/>
      <w:bookmarkStart w:id="728" w:name="Tc_3UOOU1N_A0iH30UlfF02nw_43_0"/>
      <w:bookmarkStart w:id="729" w:name="Tc_SVS1jMJEzEq_0Th-nOqtxQ_42_0"/>
      <w:bookmarkStart w:id="730" w:name="Tc_Qk0n7vjERE-yBH0MOQNBJg_41_0"/>
      <w:bookmarkStart w:id="731" w:name="Tc__CR-2Jazok2FilxF2dQGhg_40_0"/>
      <w:bookmarkStart w:id="732" w:name="Tc_NFNJAeSRGEqR1FcSalRQRw_39_0"/>
      <w:bookmarkStart w:id="733" w:name="Tc_F399Lc7pOUaAwk7u1atN4A_38_0"/>
      <w:bookmarkStart w:id="734" w:name="Tc_toA6qyHh7U24hv_dcEnHgQ_37_0"/>
      <w:bookmarkStart w:id="735" w:name="Tc_xXpD-QdO1kqtdMXkC2d_EQ_36_6"/>
      <w:bookmarkStart w:id="736" w:name="Tc_olzp5IWyNU66PiC_QWn0Zg_36_0"/>
      <w:bookmarkStart w:id="737" w:name="Tc_GAwkG--8p0iVoTgV0pj0zA_35_0"/>
      <w:bookmarkStart w:id="738" w:name="Tc_6Ct_WmyIZEigvGrHz8PtRQ_34_0"/>
      <w:bookmarkStart w:id="739" w:name="Tc_4ByETd3ZPEyFon5A_5pzVQ_33_6"/>
      <w:bookmarkStart w:id="740" w:name="Tc_sP2qOIFCdEuoQ8GnlGQRpw_33_0"/>
      <w:bookmarkStart w:id="741" w:name="Tc_st7tVj2C0k2c4-dWb0jdOw_32_0"/>
      <w:bookmarkStart w:id="742" w:name="Tc_O7J3Va0Cs0i_wzct6-Ocvg_31_0"/>
      <w:bookmarkStart w:id="743" w:name="Tc_Ov-TI-QIdkOywgyCMeFk2g_30_0"/>
      <w:bookmarkStart w:id="744" w:name="Tc_-hMJ1eVL5U-x21cRTT-7yw_29_0"/>
      <w:bookmarkStart w:id="745" w:name="Tc_i0Zsid-NEUKjYH8vk_mxxA_28_0"/>
      <w:bookmarkStart w:id="746" w:name="Tc__nb7NKteeUWrVuOYhZEL-A_27_0"/>
      <w:bookmarkStart w:id="747" w:name="Tc_IlNOlKkKAkC9TX_cDirjBA_26_0"/>
      <w:bookmarkStart w:id="748" w:name="Tc_qpffR6zLV0-FQEx3AZux-A_25_0"/>
      <w:bookmarkStart w:id="749" w:name="Tc_L43Fj0YB0Ue_Dfai3nck9g_24_0"/>
      <w:bookmarkStart w:id="750" w:name="Tc_W74xXK7xY0qZ2Cv1KV7Hhw_23_0"/>
      <w:bookmarkStart w:id="751" w:name="Tc_6RA_uiN4FU-PAnrlcCwR8Q_22_0"/>
      <w:bookmarkStart w:id="752" w:name="Tc_-z0hgKMTh0aFmB4Bcg2qBQ_21_0"/>
      <w:bookmarkStart w:id="753" w:name="Tc_SoiKQBiJuU2RKxn-OEAB7g_20_0"/>
      <w:bookmarkStart w:id="754" w:name="Tc_BxjK2B9KGkKMsb46Zb55iQ_19_0"/>
      <w:bookmarkStart w:id="755" w:name="Tc_7x9TP3YOM0eLdkfuO1rBbw_18_0"/>
      <w:bookmarkStart w:id="756" w:name="Tc_yP7PTQPMiEO3hRafJi7R8Q_17_0"/>
      <w:bookmarkStart w:id="757" w:name="Tc_1FhzuyXlGEOWrmPv99mxdg_16_0"/>
      <w:bookmarkStart w:id="758" w:name="Tc_Av7emd7yUUGs8WLSXvPjeg_15_0"/>
      <w:bookmarkStart w:id="759" w:name="Tc_sn529pNruUGCXvu4giOWhw_14_0"/>
      <w:bookmarkStart w:id="760" w:name="Tc_Ve7_JVZUZEi3rO_8A_pI0w_13_0"/>
      <w:bookmarkStart w:id="761" w:name="Tc_nTOhfvqo8kea88oxkkedqQ_12_0"/>
      <w:bookmarkStart w:id="762" w:name="Tc_T2ljLoyXDUmz72JN2g1BQg_11_0"/>
      <w:bookmarkStart w:id="763" w:name="Tc_WMN0NOSKHk-AIzdQwiI-cg_10_0"/>
      <w:bookmarkStart w:id="764" w:name="Tc_wSuvLjrev0WJMprulO-zug_9_0"/>
      <w:bookmarkStart w:id="765" w:name="Tc_IpBnKf_qlUCRoAjX70RNlQ_8_0"/>
      <w:bookmarkStart w:id="766" w:name="Tc_Xk6c-8yJiEaf4xkaKkgH9g_7_0"/>
      <w:bookmarkStart w:id="767" w:name="Tc_pMLb5yWDMUOIFug32Q-sbg_6_0"/>
      <w:bookmarkStart w:id="768" w:name="Tc_L3CzfpOIg0KVfyoGzfQ1Xg_5_5"/>
      <w:bookmarkStart w:id="769" w:name="Tc_GkW2q1gkh0eiWo5u_OIobw_5_2"/>
      <w:bookmarkStart w:id="770" w:name="Tc_7-T0dqG3YEiWH6GhgV2pGg_5_0"/>
      <w:bookmarkStart w:id="771" w:name="Tc_GuyQg0HJD0iU4SlFVAzFfA_4_0"/>
      <w:bookmarkStart w:id="772" w:name="Tc_pc3h6FgALECKW5Id9NXxLw_3_5"/>
      <w:bookmarkStart w:id="773" w:name="Tc_9NBn9MZiHUuDGvlBsO1JBA_3_2"/>
      <w:bookmarkStart w:id="774" w:name="Tc_x7obO5uLsky6PkUcsTd3pA_2_2"/>
      <w:bookmarkStart w:id="775" w:name="Tc_wTE2mpKIV06HchbtMqaEag_1_2"/>
      <w:bookmarkStart w:id="776" w:name="_30307c34_96ca_4bce_bcd2_429cf05d67a6"/>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tbl>
      <w:tblPr>
        <w:tblW w:w="9393" w:type="dxa"/>
        <w:jc w:val="left"/>
        <w:tblInd w:w="0" w:type="dxa"/>
        <w:tblLayout w:type="fixed"/>
        <w:tblCellMar>
          <w:top w:w="0" w:type="dxa"/>
          <w:left w:w="0" w:type="dxa"/>
          <w:bottom w:w="0" w:type="dxa"/>
          <w:right w:w="0" w:type="dxa"/>
        </w:tblCellMar>
      </w:tblPr>
      <w:tblGrid>
        <w:gridCol w:w="6481"/>
        <w:gridCol w:w="346"/>
        <w:gridCol w:w="196"/>
        <w:gridCol w:w="826"/>
        <w:gridCol w:w="346"/>
        <w:gridCol w:w="196"/>
        <w:gridCol w:w="811"/>
        <w:gridCol w:w="191"/>
      </w:tblGrid>
      <w:tr>
        <w:trPr/>
        <w:tc>
          <w:tcPr>
            <w:tcW w:w="6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115435" cy="175260"/>
                      <wp:effectExtent l="0" t="0" r="0" b="0"/>
                      <wp:wrapNone/>
                      <wp:docPr id="47" name="Frame47"/>
                      <a:graphic xmlns:a="http://schemas.openxmlformats.org/drawingml/2006/main">
                        <a:graphicData uri="http://schemas.microsoft.com/office/word/2010/wordprocessingShape">
                          <wps:wsp>
                            <wps:cNvSpPr txBox="1"/>
                            <wps:spPr>
                              <a:xfrm>
                                <a:off x="0" y="0"/>
                                <a:ext cx="411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24510" cy="175260"/>
                      <wp:effectExtent l="0" t="0" r="0" b="0"/>
                      <wp:wrapNone/>
                      <wp:docPr id="50" name="Frame5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2" name="Frame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14985" cy="175260"/>
                      <wp:effectExtent l="0" t="0" r="0" b="0"/>
                      <wp:wrapNone/>
                      <wp:docPr id="53" name="Frame5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1285" cy="175260"/>
                      <wp:effectExtent l="0" t="0" r="0" b="0"/>
                      <wp:wrapNone/>
                      <wp:docPr id="54" name="Frame5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811,980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400,137</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identifiable intangible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39,906</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28,866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right-of-use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14,968</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Bad debt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provision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1,097</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financing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sale of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(998)</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the fair value of 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7,831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12,193</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 net of effects of acquisitions and divestitures—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(633,131)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(239,680)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(11,420)</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Costs and estimated earnings in excess of billings and unbilled 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(163,567)</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(decrease) in—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other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215,497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(320,130)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Billings in excess of costs and estimated earnings and deferred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1,061,506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376,780</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1,528,254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164,545</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(288,837)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(53,481)</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acquisitions, net of cash acquired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(162,845)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(124,093)</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(66,123)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48,209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(467,464)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(182,988)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other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(6,015)</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dividends to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(30,033)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repurchases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(111,290)</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Shares received in lieu of tax withholding</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(6,599)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options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for contingent consideration arrangements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(187,894)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(199,786)</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872,896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(218,229)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4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981,898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549,939</w:t>
            </w:r>
          </w:p>
        </w:tc>
        <w:tc>
          <w:tcPr>
            <w:tcW w:w="191" w:type="dxa"/>
            <w:tcBorders/>
            <w:vAlign w:val="center"/>
          </w:tcPr>
          <w:p>
            <w:pPr>
              <w:pStyle w:val="TableContents"/>
              <w:bidi w:val="0"/>
              <w:spacing w:before="0" w:after="0"/>
              <w:ind w:left="0" w:right="0" w:hanging="0"/>
              <w:jc w:val="left"/>
              <w:rPr/>
            </w:pPr>
            <w:r>
              <w:rPr/>
              <w:t>​</w:t>
            </w:r>
          </w:p>
        </w:tc>
      </w:tr>
      <w:tr>
        <w:trPr/>
        <w:tc>
          <w:tcPr>
            <w:tcW w:w="64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1,854,794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331,710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lineRule="atLeast" w:line="180" w:before="0" w:after="0"/>
        <w:ind w:left="0" w:right="0" w:hanging="0"/>
        <w:jc w:val="center"/>
        <w:rPr/>
      </w:pPr>
      <w:r>
        <w:rPr/>
        <w:t>​</w:t>
      </w:r>
    </w:p>
    <w:p>
      <w:pPr>
        <w:pStyle w:val="TextBody"/>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lineRule="atLeast" w:line="180" w:before="0" w:after="0"/>
        <w:ind w:left="0" w:right="0" w:hanging="0"/>
        <w:jc w:val="center"/>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COMFORT SYSTEMS USA,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777" w:name="CONDENSEDNOTESTOCONSOLIDATEDFINANCIALSTA"/>
      <w:bookmarkEnd w:id="777"/>
      <w:r>
        <w:rPr>
          <w:rFonts w:ascii="Times New Roman;Times;serif" w:hAnsi="Times New Roman;Times;serif"/>
          <w:b/>
          <w:sz w:val="20"/>
        </w:rPr>
        <w:t>CONDENSED NOTES TO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Business and Organization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Comfort Systems USA, Inc., a Delaware corporation, provides comprehensive mechanical and electrical contracting services, which principally includes heating, ventilation, and air conditioning (“HVAC”), plumbing, electrical, piping, and controls, as well as off-site construction, monitoring, and fire protection. We build, install, maintain, repair, and replace mechanical, electrical, and plumbing systems throughout the United States. The terms “Comfort Systems,” “we,” “us,” “our,” or the “Company,” refer to Comfort Systems USA, Inc. or Comfort Systems USA, Inc. and its consolidated subsidiaries, as appropriate in the context.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 and Estimates</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interim statements should be read in conjunction with the historical Consolidated Financial Statements and related notes of Comfort Systems included in the Annual Report on Form 10-K as filed with the Securities and Exchange Commission (“SEC”) for the year ended December 31, 2025 (the “Form 10-K”).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accompanying unaudited consolidated financial statements were prepared using generally accepted accounting principles for interim financial information and the instructions to Form 10-Q and applicable rules of Regulation S-X of the SEC. Accordingly, these financial statements do not include all the footnotes required by generally accepted accounting principles for complete financial statements and should be read in conjunction with the Form 10-K. We believe all adjustments necessary for a fair presentation of these interim statements have been included and are of a normal and recurring nature. The results of operations for interim periods are not necessarily indicative of the results for the full fiscal year. </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generally accepted accounting principles requires the use of estimates and assumptions by management in determining the reported amounts of assets and liabilities, revenue and expenses, and disclosures regarding contingent assets and liabilities. Actual results could differ from those estimates. The most significant estimates used in our financial statements affect revenue and cost recognition for construction contracts, self-insurance accruals, accounting for income taxes, fair value accounting for acquisitions, and the quantification of fair value for reporting units in connection with our goodwill impairment testing. </w:t>
      </w:r>
    </w:p>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not identified any material developments related to recent accounting pronouncements since those disclosed in its Annual Report on Form 10-K for the year ended December 31, 2025.</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recognize revenue over time for all of our services as we perform them because (i) control continuously transfers to the customer as work progresses, and (ii) we have the right to bill the customer as costs are incurred. The customer typically controls the work in process, as evidenced either by contractual termination clauses or by our rights to payment for work performed to date, plus a reasonable profit, for delivery of products or services that do not have an alternative use to the Company.</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reasons listed above, revenue is recognized based on the extent of progress towards completion of the performance obligation. The selection of the method to measure progress towards completion requires judgment and is based on the nature of the products or services to be provided. We generally use a cost-to-cost input method to measure our progress towards satisfaction of the performance obligation for our contracts, as it best depicts the transfer of assets to the customer that occurs as we incur costs on our contracts. Under the cost-to-cost input method, the extent of progress towards completion is measured based on the ratio of costs incurred to date to the total estimated costs at completion of the performance obligation. Revenue, including estimated fees or profits, is recorded proportionally as costs are incurred. Costs to fulfill include labor, materials, subcontractors’ costs, other direct costs, and an allocation of indirect costs.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a small portion of our business in which our services are delivered in the form of service maintenance agreements for existing systems to be repaired and maintained, as opposed to constructed, our performance obligation is to maintain the customer’s mechanical system for a specific period of time. As with construction jobs, we recognize revenue over time; however, for service maintenance agreements in which the full cost to provide services may not be known, we generally use an input method to recognize revenue, which is based on the amount of time we have provided our services out of the total time we have been contracted to perform those services. Our revenue recognition policy is further discussed in Note 3, “Revenue from Contracts with Customers.”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Accounts Receivable and Allowance for Credit Losses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required to estimate and record the expected credit losses over the contractual life of our financial assets measured at amortized cost, including billed and unbilled accounts receivable, other receivables, and contract assets. Accounts receivable include amounts from work completed in which we have billed or have an unconditional right to bill our customers. Our trade receivables are contractually due in less than a year.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estimate our credit losses using a loss-rate method for each of our identified portfolio segments. Our portfolio segments are construction, service, and other. While our construction and service financial assets are often with the same subset of customers and industries, our construction financial assets will generally have a lower loss rate than service financial assets due to lien rights, which we are more likely to have on construction jobs. These lien rights result in lower credit loss expenses on average compared to receivables that do not have lien rights. Financial assets classified as “other” include receivables that are not related to our core revenue producing activities, such as receivables related to our acquisition activity from former owners, our vendor rebate program or receivables for estimated losses in excess of our insurance deductible, which are accrued with a corresponding accrued insurance liability.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Loss rates for our portfolios are based on numerous factors, including our history of credit loss expense by portfolio, the financial strength of our customers and counterparties in each portfolio, the aging of our receivables, our expectation of likelihood of payment, macroeconomic trends in the United States, and the current and forecasted nonresidential construction market trends in the United States.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loss-rate calculations discussed above, we also record allowance for credit losses for specific receivables that are deemed to have a higher risk profile than the rest of the respective pool of receivables (</w:t>
      </w:r>
      <w:r>
        <w:rPr>
          <w:rFonts w:ascii="Times New Roman;Times;serif" w:hAnsi="Times New Roman;Times;serif"/>
          <w:i/>
          <w:sz w:val="20"/>
        </w:rPr>
        <w:t>e.g.</w:t>
      </w:r>
      <w:r>
        <w:rPr>
          <w:rFonts w:ascii="Times New Roman;Times;serif" w:hAnsi="Times New Roman;Times;serif"/>
          <w:sz w:val="20"/>
        </w:rPr>
        <w:t>, when we have concerns about a specific customer going bankrupt and no longer being able to pay the receivables due to us).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Unbilled Accounts Receivable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Unbilled accounts receivable are amounts due to us that we have earned under a contract where our right to payment is unconditional. A right to consideration is unconditional if only the passage of time is required before payment of the consideration is due. These items are expected to be billed and collected in the normal course of business. Other unbilled receivables where payment is subject to factors beyond just the passage of time are included in contract assets.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conduct business throughout the United States in virtually all 50 states. Our effective tax rate changes based upon our relative profitability, or lack thereof, in the federal and various state jurisdictions with differing tax rates and rules. In addition, discrete items such as tax law changes, judgments and legal structures can impact our effective tax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rate. These items can also include the tax treatment for impairment of goodwill and other intangible assets, changes in fair value of acquisition-related assets and liabilities, uncertain tax positions, and accounting for losses associated with underperforming operations.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February 2023, we filed amended federal tax returns for 2019 and 2020 requesting refunds primarily from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claiming the credit for increasing research activities (the “R&amp;D tax credit”). We previously recorded benefits of $18.9 million for such refund claims in the year 2022. Following an Internal Revenue Service (“IRS”) examination, the Joint Committee on Taxation approved our refunds in May 2026. As a result, our provision for income taxes in the second quarter of 2026 included a $5.3 million benefit due to a reduction in unrecognized tax benefits plus $1.4 million (or $1.1 million, net of tax) of related interest income. The cash refunds totaling $29.8 million, which were received in July 2026, include $5.3 million (or $4.2 million, net of tax) of interest income.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early September 2023, the IRS issued interim guidance addressing, together with other topics, the treatment of research and experimental (“R&amp;E”) expenditures for taxpayers using the percentage of completion method to account for taxable income from long-term contracts. We relied on such guidance for the 2022 tax year, and the resulting reduction in taxable revenue offsets the deferral of tax deductions for R&amp;E expenditures pursuant to the Tax Cuts and Jobs Act (2017) for the 2022 tax year. We filed our 2022 federal tax return in October 2023 requesting a refund of our $107.1 million overpayment, which was received in April 2025. Along with the refund, we received $11.3 million (or $8.9 million, net of tax) of interest income that reduced our provision for income taxes in the first quarter of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One Big Beautiful Bill Act was enacted into law on July 4, 2025. The primary provisions of the law impacting us are the (i) reinstatement of immediate expensing of domestic R&amp;E expenditures, together with conforming amendments to the credit for increasing research activities, (ii) reinstatement of 100% bonus depreciation, and (iii) termination of the energy efficient commercial buildings deduction. However, these provisions did not, and we expect they will not, have a material effect on our operating results, cash flows, or financial condition.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Financial Instruments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financial instruments consist of cash and cash equivalents, U.S. Treasury bills, accounts receivable, other receivables, and accounts payable, for which we deem the carrying values approximate their fair values due to the short-term nature of these instruments, as well as notes to former owners and a revolving credit facility. </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we had a $51.6 million investment in U.S. Treasury bills with maturities greater than 90 days but less than one year, which is recorded at amortized cost and is included in “Prepaid expenses and other” in our Consolidated Balance Sheets.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 Revenue from Contracts with Customers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is recognized when control of the promised goods or services is transferred to our customers, in an amount that reflects the consideration to which we expect to be entitled in exchange for those goods or services. Sales-based taxes are excluded from 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provide mechanical and electrical contracting services. Our mechanical segment principally includes HVAC, plumbing, piping, and controls, as well as off-site construction, monitoring, and fire protection. Our electrical segment includes installation and servicing of electrical systems. We build, install, maintain, repair, and replace products and systems throughout the United States. All of our revenue is recognized over time as we deliver goods and services to our customers. Revenue can be earned based on an agreed-upon fixed price or based on actual costs incurred, marked up at an agreed-upon percentage.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either written authorization from the customer to proceed or an executed contract.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generally do not incur significant incremental costs related to obtaining or fulfilling a contract prior to the start of a project. On rare occasions, when significant pre-contract costs are incurred, they are capitalized and amortized over the life of the contract using a cost-to-cost input method to measure progress towards contract completion. We do not currently have any capitalized obtainment or fulfillment costs in our Consolidated Balance Sheets and have not incurred any impairment loss on such costs in the current year.</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Due to the nature of the work required to be performed on many of our performance obligations, the estimation of total revenue and cost at completion (the process described below in more detail) is complex, subject to many variables and requires significant judgment. The consideration to which we are entitled on our long-term contracts may include both fixed and variable amounts. Variable amounts can either increase or decrease the transaction price. A common example of variable amounts that can either increase or decrease contract value are pending change orders that represent contract modifications for which a change in scope has been authorized or acknowledged by our customer, but the final adjustment to contract price is yet to be negotiated. Other examples of positive variable revenue include amounts awarded upon achievement of certain performance metrics, program milestones, or cost of completion date targets and can be based upon customer discretion. Variable amounts can result in a deduction from contract revenue if we fail to meet stated performance requirements, such as complying with the construction schedule.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performance obligation(s). The effect of a contract modification on the transaction price, and our measure of progress for the performance obligation to which it relates, is recognized as an adjustment to revenue (either as an increase or decrease) on a cumulative catch-up basis.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Company-wide policy requiring periodic review of the Estimate at Completion in which management reviews the progress and execution of our performance obligations and estimated remaining obligations. As part of this process, management reviews information including, but not limited to, any outstanding key contract matters, progress towards completion and the related program schedule, identified risks and opportunities, and the related changes in estimates of revenue and costs. The risks and opportunities include management’s judgment about the ability and cost to achieve the schedule (</w:t>
      </w:r>
      <w:r>
        <w:rPr>
          <w:rFonts w:ascii="Times New Roman;Times;serif" w:hAnsi="Times New Roman;Times;serif"/>
          <w:i/>
          <w:sz w:val="20"/>
        </w:rPr>
        <w:t>e.g.</w:t>
      </w:r>
      <w:r>
        <w:rPr>
          <w:rFonts w:ascii="Times New Roman;Times;serif" w:hAnsi="Times New Roman;Times;serif"/>
          <w:sz w:val="20"/>
        </w:rPr>
        <w:t>, the number and type of milestone events), technical requirements (</w:t>
      </w:r>
      <w:r>
        <w:rPr>
          <w:rFonts w:ascii="Times New Roman;Times;serif" w:hAnsi="Times New Roman;Times;serif"/>
          <w:i/>
          <w:sz w:val="20"/>
        </w:rPr>
        <w:t>e.g.</w:t>
      </w:r>
      <w:r>
        <w:rPr>
          <w:rFonts w:ascii="Times New Roman;Times;serif" w:hAnsi="Times New Roman;Times;serif"/>
          <w:sz w:val="20"/>
        </w:rPr>
        <w:t>, a newly 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w:t>
      </w:r>
      <w:r>
        <w:rPr>
          <w:rFonts w:ascii="Times New Roman;Times;serif" w:hAnsi="Times New Roman;Times;serif"/>
          <w:i/>
          <w:sz w:val="20"/>
        </w:rPr>
        <w:t>e.g.</w:t>
      </w:r>
      <w:r>
        <w:rPr>
          <w:rFonts w:ascii="Times New Roman;Times;serif" w:hAnsi="Times New Roman;Times;serif"/>
          <w:sz w:val="20"/>
        </w:rPr>
        <w:t xml:space="preserve">, to estimate increases in wages and prices for materials and related support cost allocations), execution by our subcontractors, the availability and timing of funding from our customer, and overhead cost rates, among other variables.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on this analysis, any adjustments to revenue, cost of services, and the related impact to operating income are recognized as necessary in the quarter when they become known. These adjustments may result from positive program performance if we determine we will be successful in mitigating risks surrounding the technical, schedule, and cost aspects of those performance obligations or realizing related opportunities and may result in an increase in operating income during the performance of individual performance obligations. Likewise, if we determine we will not be successful in mitigating these risks or realizing related opportunities, these adjustments may result in a decrease in operating income. Changes in estimates of revenue, cost of services, and the related impact to operating income are recognized quarterly on a cumulative catch-up basis, meaning we recognize in the current period the cumulative effect of the changes on current and prior periods based on our </w:t>
      </w:r>
      <w:r>
        <w:rPr>
          <w:rFonts w:ascii="Times New Roman;Times;serif" w:hAnsi="Times New Roman;Times;serif"/>
          <w:sz w:val="20"/>
          <w:shd w:fill="FFFFFF" w:val="clear"/>
        </w:rPr>
        <w:t xml:space="preserve">progress towards complete satisfaction of a performance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78" w:name="Tc_yLxNiiEoJEWUcLWM3EoJqA_26_24"/>
      <w:bookmarkStart w:id="779" w:name="Tc_rgRGWRAuuUu_GsXf393LcQ_26_20"/>
      <w:bookmarkStart w:id="780" w:name="Tc_OuqJSKHJUU6Xt2plx1y6DA_26_18"/>
      <w:bookmarkStart w:id="781" w:name="Tc_oU3_dK2o4kmTFc9T74XicQ_26_14"/>
      <w:bookmarkStart w:id="782" w:name="Tc_1-zNdYfefUWDhyz4i88kYg_26_12"/>
      <w:bookmarkStart w:id="783" w:name="Tc_GX6c6c8K4Ey0vtw4EvABfg_26_8"/>
      <w:bookmarkStart w:id="784" w:name="Tc_bEhu0slZI0qtz-Bn1RleHA_26_6"/>
      <w:bookmarkStart w:id="785" w:name="Tc_D-aEgQ94p0KOdVpOT--cTw_26_2"/>
      <w:bookmarkStart w:id="786" w:name="Tc_GyNocCMcP0GA5NXCvmW3zQ_26_0"/>
      <w:bookmarkStart w:id="787" w:name="Tc_f5Kns68AgUu825coSh1MPw_25_24"/>
      <w:bookmarkStart w:id="788" w:name="Tc_0op-jm0as0m2gctkVfCeHw_25_18"/>
      <w:bookmarkStart w:id="789" w:name="Tc_Ic19U_ytH0a3gLTVwn-aTg_25_12"/>
      <w:bookmarkStart w:id="790" w:name="Tc_7ibN1NN8sUydvavA0Tuk6w_25_6"/>
      <w:bookmarkStart w:id="791" w:name="Tc_ON_MtmSVi0ak1j3-DqOJuA_25_0"/>
      <w:bookmarkStart w:id="792" w:name="Tc_KUyQH1cnW0qtXOHv75yGrw_24_24"/>
      <w:bookmarkStart w:id="793" w:name="Tc_KPfz4SmzZEiK7hbPvthdOg_24_18"/>
      <w:bookmarkStart w:id="794" w:name="Tc_lftSVyK5O0W41qVdsvx7RQ_24_12"/>
      <w:bookmarkStart w:id="795" w:name="Tc_NnwJXNfOeUSXX2rAhsBeqw_24_6"/>
      <w:bookmarkStart w:id="796" w:name="Tc_k0AUPwIC_0umsVxsAe9wQg_24_0"/>
      <w:bookmarkStart w:id="797" w:name="Tc_C9Zxu6BqHkympTY05XPLhw_23_24"/>
      <w:bookmarkStart w:id="798" w:name="Tc_EnS4plsygkqeNJtwGKxSAA_23_18"/>
      <w:bookmarkStart w:id="799" w:name="Tc_jWPFqk24ckywgCl-q47tSg_23_12"/>
      <w:bookmarkStart w:id="800" w:name="Tc_Oc9dZgmUH0OeeUZ8sIcNkg_23_6"/>
      <w:bookmarkStart w:id="801" w:name="Tc_yqlR2NQLLke_TbVyZhXB5Q_23_0"/>
      <w:bookmarkStart w:id="802" w:name="Tc_1IWGbz1mikCRqQ3_0knNdA_22_24"/>
      <w:bookmarkStart w:id="803" w:name="Tc_j1jYhOwDQkOhLhjZqBItvQ_22_20"/>
      <w:bookmarkStart w:id="804" w:name="Tc_abtMhTdOakiN5mUCygzA-g_22_18"/>
      <w:bookmarkStart w:id="805" w:name="Tc_gQNpW9uxQEm5B8YicU1vkw_22_14"/>
      <w:bookmarkStart w:id="806" w:name="Tc_iHd5ZQ-S-kmhD4nerSh1cA_22_12"/>
      <w:bookmarkStart w:id="807" w:name="Tc_FE8YgxeMbkmbvIkxAMvlOA_22_8"/>
      <w:bookmarkStart w:id="808" w:name="Tc_XDIAzGemCkmzcPC-YInEVQ_22_6"/>
      <w:bookmarkStart w:id="809" w:name="Tc_1K1f9hZSjkOjnzdpSYZyNw_22_2"/>
      <w:bookmarkStart w:id="810" w:name="Tc_7e6IEKik9UqLUrUZxdNCcQ_22_0"/>
      <w:bookmarkStart w:id="811" w:name="Tc_td6xZw2RPkq1uUsKazPxjw_21_20"/>
      <w:bookmarkStart w:id="812" w:name="Tc_Ou9QgILYK0CkAeoikf4o7w_21_14"/>
      <w:bookmarkStart w:id="813" w:name="Tc_UWo3lhvFNkeYh0gDy37R9Q_21_8"/>
      <w:bookmarkStart w:id="814" w:name="Tc_gxLRmzFzMUy3Bt7QER5c7A_21_2"/>
      <w:bookmarkStart w:id="815" w:name="Tc_hh1IBZq3TU2ML0rJ2t3N9w_21_0"/>
      <w:bookmarkStart w:id="816" w:name="Tc_GBwwqjS240ixpjyViQJvjg_20_14"/>
      <w:bookmarkStart w:id="817" w:name="Tc_2kxKzzl2VEm9OTlajgSavg_20_2"/>
      <w:bookmarkStart w:id="818" w:name="Tc_ZWfOoKXV8kmbAlos5UHhkg_18_24"/>
      <w:bookmarkStart w:id="819" w:name="Tc_dANwhEj64EqPWNQBm8mf8g_18_20"/>
      <w:bookmarkStart w:id="820" w:name="Tc_YGPgYSFStUy18OWcrK9Aww_18_18"/>
      <w:bookmarkStart w:id="821" w:name="Tc_zy763sD_40eFoxidNcmf2w_18_14"/>
      <w:bookmarkStart w:id="822" w:name="Tc_G4BP5c16WECxeTJWftNnOw_18_12"/>
      <w:bookmarkStart w:id="823" w:name="Tc_qCE5MWIcUEC6Gx0NmoGJHA_18_8"/>
      <w:bookmarkStart w:id="824" w:name="Tc_m5RFE90Qlkmmhikkj8bNbg_18_6"/>
      <w:bookmarkStart w:id="825" w:name="Tc_LZPR3ubN7k2p2s_5SErhDQ_18_2"/>
      <w:bookmarkStart w:id="826" w:name="Tc_U3KTdHTi10SrKF2VEi5G6Q_18_0"/>
      <w:bookmarkStart w:id="827" w:name="Tc_e5Zem7YpTU6Di_8YBuOxUw_17_24"/>
      <w:bookmarkStart w:id="828" w:name="Tc_qCIvGAUVfEOGp3CKhm3uZg_17_18"/>
      <w:bookmarkStart w:id="829" w:name="Tc_ZlZWLuzCgUes4HW-GTkahw_17_12"/>
      <w:bookmarkStart w:id="830" w:name="Tc_wS2RVno3KUevhZjr8YZIaQ_17_6"/>
      <w:bookmarkStart w:id="831" w:name="Tc_JPOy-YOJMEWIgaiNBlGc-Q_17_0"/>
      <w:bookmarkStart w:id="832" w:name="Tc_U1CrZA4YVUmeN_F7Sb65vg_16_24"/>
      <w:bookmarkStart w:id="833" w:name="Tc_24JuP9mXGUGDsZWLVfS4hg_16_18"/>
      <w:bookmarkStart w:id="834" w:name="Tc_a3pAMUU4uUK5_nfLKH0_sA_16_12"/>
      <w:bookmarkStart w:id="835" w:name="Tc_AneTKP_IKUmtKNuzX2_zrw_16_6"/>
      <w:bookmarkStart w:id="836" w:name="Tc_pThMaQJV40Cw0n-PPDze6A_16_0"/>
      <w:bookmarkStart w:id="837" w:name="Tc_q4yKEBrX8kuT17FmGfJoww_15_24"/>
      <w:bookmarkStart w:id="838" w:name="Tc_ofyes5xYAkKrx892hSf3Aw_15_18"/>
      <w:bookmarkStart w:id="839" w:name="Tc_HDwm2s8pwEqHqhopb1EiHQ_15_12"/>
      <w:bookmarkStart w:id="840" w:name="Tc_skgDNA7MuUmIjBbwZ9oTZA_15_6"/>
      <w:bookmarkStart w:id="841" w:name="Tc_ALPKbghY8EOt5_2FKm3REw_15_0"/>
      <w:bookmarkStart w:id="842" w:name="Tc_8P6_NKemQU-M9fG16n3ShQ_14_24"/>
      <w:bookmarkStart w:id="843" w:name="Tc_tjpTULG6E0y7NmE188FlOw_14_18"/>
      <w:bookmarkStart w:id="844" w:name="Tc_NL_eGwHVrEWlio0NgXKwhQ_14_12"/>
      <w:bookmarkStart w:id="845" w:name="Tc_nzoYse-fJ0ujxZxGxu0IMw_14_6"/>
      <w:bookmarkStart w:id="846" w:name="Tc_3IkljVg6y0aj1CycFwTt9Q_14_0"/>
      <w:bookmarkStart w:id="847" w:name="Tc_zX7XBlrvm0qeYYRMkrcVkQ_13_24"/>
      <w:bookmarkStart w:id="848" w:name="Tc_IzV7AVzWF0uHBof7lN-vKw_13_18"/>
      <w:bookmarkStart w:id="849" w:name="Tc_H9YKgHOnEUijAqrDqTef_w_13_12"/>
      <w:bookmarkStart w:id="850" w:name="Tc_XOq0dc_gFE-I_lnyU9NQRg_13_6"/>
      <w:bookmarkStart w:id="851" w:name="Tc_01dcMPWjTEqeKqMWI-bbsA_13_0"/>
      <w:bookmarkStart w:id="852" w:name="Tc_QE6nXkzUt0mcgm7Sx8vsvw_12_24"/>
      <w:bookmarkStart w:id="853" w:name="Tc_eX7Uub8kxECY1j_Ip3JrlQ_12_18"/>
      <w:bookmarkStart w:id="854" w:name="Tc_V0Kbpv2PzEqn7qmoTUKEDQ_12_12"/>
      <w:bookmarkStart w:id="855" w:name="Tc_nggsHqzThkGgwWJxIz3VAQ_12_6"/>
      <w:bookmarkStart w:id="856" w:name="Tc_BL9vIsvOnkGp2EKPFDbBXA_12_0"/>
      <w:bookmarkStart w:id="857" w:name="Tc_wxcZOMFpekiJdxFvGo1dsQ_11_24"/>
      <w:bookmarkStart w:id="858" w:name="Tc_eecftqebtU6L_C4QRctXtA_11_18"/>
      <w:bookmarkStart w:id="859" w:name="Tc__XPOpgEZE0ejTwRFlojFzw_11_12"/>
      <w:bookmarkStart w:id="860" w:name="Tc_4GVdAlPlyU6pz_hdYNHOdA_11_6"/>
      <w:bookmarkStart w:id="861" w:name="Tc_QmC2eiHhcU6ZDnli7jw8Ig_11_0"/>
      <w:bookmarkStart w:id="862" w:name="Tc_r6g5nN3dJ0aLfVYSg4soVg_10_24"/>
      <w:bookmarkStart w:id="863" w:name="Tc_AyEmeOzWZEuhwsJMmPrs6Q_10_18"/>
      <w:bookmarkStart w:id="864" w:name="Tc_411O0N6cNke8bG7SBxotcw_10_12"/>
      <w:bookmarkStart w:id="865" w:name="Tc_Lads8LAagkGMQaHfqsxweA_10_6"/>
      <w:bookmarkStart w:id="866" w:name="Tc_9mYdAiEVgEGBfSsVzFijaQ_10_0"/>
      <w:bookmarkStart w:id="867" w:name="Tc_za-nvROfx0qf94_FUzdiXQ_9_24"/>
      <w:bookmarkStart w:id="868" w:name="Tc_l4SmXkb5sUKvZVyGGWCaBQ_9_20"/>
      <w:bookmarkStart w:id="869" w:name="Tc_E5FjwCDnLUyGP7seNLZuzQ_9_18"/>
      <w:bookmarkStart w:id="870" w:name="Tc_5qc_xtW1fkiytLuDpgONug_9_14"/>
      <w:bookmarkStart w:id="871" w:name="Tc_cjtfS2b3BUCxd74OSzf-Pg_9_12"/>
      <w:bookmarkStart w:id="872" w:name="Tc_a8FODSo0X0mrOx490OQF8g_9_8"/>
      <w:bookmarkStart w:id="873" w:name="Tc_LpTpDNsOVkyqNN0WFebx2Q_9_6"/>
      <w:bookmarkStart w:id="874" w:name="Tc_Qsu05sqKv0mXHojKsyvrzQ_9_2"/>
      <w:bookmarkStart w:id="875" w:name="Tc_vRKreN2vbkq7BkJac0NgOA_9_0"/>
      <w:bookmarkStart w:id="876" w:name="Tc_JdCvF1zQbUuLStiWjEouBQ_8_20"/>
      <w:bookmarkStart w:id="877" w:name="Tc_peAm3gwQtk6JHiSQwbZnIw_8_14"/>
      <w:bookmarkStart w:id="878" w:name="Tc_ULH9OpnLX0SQHYu8QkOyWw_8_8"/>
      <w:bookmarkStart w:id="879" w:name="Tc_ECp3qaJzz0Sl0QmzmSDQOA_8_2"/>
      <w:bookmarkStart w:id="880" w:name="Tc_y6mosVPkg0WWFX8V9a1r-Q_8_0"/>
      <w:bookmarkStart w:id="881" w:name="Tc_UETEhdxH3U2-OfwKh6FIfQ_7_14"/>
      <w:bookmarkStart w:id="882" w:name="Tc_hZ4wK1-9s0i2kDPGINiU4Q_7_2"/>
      <w:bookmarkStart w:id="883" w:name="Tc_SGe56x0CrEOpxW-jta-3Qw_5_24"/>
      <w:bookmarkStart w:id="884" w:name="Tc_X7_xoubp706gpN39E7seIQ_5_20"/>
      <w:bookmarkStart w:id="885" w:name="Tc_U0S5zBYxhkubtM75TCM-Kw_5_18"/>
      <w:bookmarkStart w:id="886" w:name="Tc_K79SEeTaukeEoT3oU9dt5A_5_14"/>
      <w:bookmarkStart w:id="887" w:name="Tc_UZrUNDaeg02MznwhZ7h-bQ_5_12"/>
      <w:bookmarkStart w:id="888" w:name="Tc_pa620144BEOAYcJ_xtdQ2A_5_8"/>
      <w:bookmarkStart w:id="889" w:name="Tc_BLemPaSmPECksPzZDnlPUQ_5_6"/>
      <w:bookmarkStart w:id="890" w:name="Tc_aFXNCJHsl0e4v4PKsd--rg_5_2"/>
      <w:bookmarkStart w:id="891" w:name="Tc_lItbxzg-pke5laUeq7nTxQ_5_0"/>
      <w:bookmarkStart w:id="892" w:name="Tc_V53Trh_h50WhiHnP8tLKlA_4_24"/>
      <w:bookmarkStart w:id="893" w:name="Tc_Z9n6vAJ6k06UQjM5JsB8bw_4_18"/>
      <w:bookmarkStart w:id="894" w:name="Tc_TKRMAM1hPUOOLo1qHsSFbA_4_12"/>
      <w:bookmarkStart w:id="895" w:name="Tc_6z8mWcto10aWICARIg7C6A_4_6"/>
      <w:bookmarkStart w:id="896" w:name="Tc_XNp3cqLLEkmqw3mm3OqIOw_4_0"/>
      <w:bookmarkStart w:id="897" w:name="Tc_GsigqNQzqEWKPzU7xf-nQQ_3_24"/>
      <w:bookmarkStart w:id="898" w:name="Tc_AwYmZRfPg0aicxZe7060bA_3_20"/>
      <w:bookmarkStart w:id="899" w:name="Tc_ZqPuju6js02OO5Oyn4egXQ_3_18"/>
      <w:bookmarkStart w:id="900" w:name="Tc_ZFwDsg0hREOYaF6JF_TyjA_3_14"/>
      <w:bookmarkStart w:id="901" w:name="Tc_yDiqSSQ0eECLgENT8Uew_w_3_12"/>
      <w:bookmarkStart w:id="902" w:name="Tc_iV1kn5Y7PkmCr_G680ccMA_3_8"/>
      <w:bookmarkStart w:id="903" w:name="Tc_GXoOTI-S2Eym20TWq7p5CA_3_6"/>
      <w:bookmarkStart w:id="904" w:name="Tc_a-pB0X4mtkWsH-IKx4SQ-g_3_2"/>
      <w:bookmarkStart w:id="905" w:name="Tc_-wF7uvBPkk-gfi8Qyf0q8Q_3_0"/>
      <w:bookmarkStart w:id="906" w:name="Tc_mCU52ZD1x0uOLBxVSFX5mw_2_20"/>
      <w:bookmarkStart w:id="907" w:name="Tc_PPc_sHh36EinS_tVsTnoog_2_14"/>
      <w:bookmarkStart w:id="908" w:name="Tc_ETAxej6Dj0GjkQMl3dc0Uw_2_8"/>
      <w:bookmarkStart w:id="909" w:name="Tc_iV6WUYkXP02eULhIGB4QqA_2_2"/>
      <w:bookmarkStart w:id="910" w:name="Tc_gAafd86kUkGJnswrmGaoUg_2_0"/>
      <w:bookmarkStart w:id="911" w:name="Tc_pVTsaW-DZka3w_m5aYRn_g_1_14"/>
      <w:bookmarkStart w:id="912" w:name="Tc_YhgKMrn-YECvWx2Zov7f0g_1_2"/>
      <w:bookmarkStart w:id="913" w:name="_33fe3f48_630c_4261_9e66_cba89dd578a4"/>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rFonts w:ascii="Times New Roman;Times;serif" w:hAnsi="Times New Roman;Times;serif"/>
          <w:sz w:val="20"/>
          <w:shd w:fill="FFFFFF" w:val="clear"/>
        </w:rPr>
        <w:t>obligation</w:t>
      </w:r>
      <w:r>
        <w:rPr>
          <w:rFonts w:ascii="Times New Roman;Times;serif" w:hAnsi="Times New Roman;Times;serif"/>
          <w:sz w:val="20"/>
        </w:rPr>
        <w:t>. A significant change in one or more of these estimates could affect the profitability of one or more of our performance obligations. For projects in which estimates of total costs to be incurred on a performance obligation exceed total estimates of revenue to be earned, a provision for the entire loss on the performance obligation is recognized in the period the loss is determined.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months ended June 30, 2026 and 2025, net revenue recognized from our performance obligations partially satisfied in the previous period positively impacted revenue by 7.7% and 4.4%, respectively, as a result of changes in estimates associated with performance obligations on contracts. During the six months ended June 30, 2026 and 2025, net revenue recognized from our performance obligations partially satisfied in the previous period positively impacted revenue by 7.9% and 5.0%, respectively, as a result of changes in estimates associated with performance obligations on contracts.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consolidated 2026 revenue was derived from contracts to provide service activities in the mechanical and electrical segments we serve. Refer to Note 11, “Segment Information”, for additional information on our reportable segments. We disaggregate our revenue from contracts with customers by service provided, customer type, and activity type, as we believe it best depicts how the nature, amount, timing, and uncertainty of our revenue and cash flows are affected by economic factors. See details in the following tables (dollars in thousands):</w:t>
      </w:r>
    </w:p>
    <w:p>
      <w:pPr>
        <w:pStyle w:val="TextBody"/>
        <w:pBdr/>
        <w:bidi w:val="0"/>
        <w:spacing w:before="0" w:after="0"/>
        <w:ind w:left="720" w:right="0" w:hanging="360"/>
        <w:jc w:val="left"/>
        <w:rPr/>
      </w:pPr>
      <w:r>
        <w:rPr/>
        <w:t>​</w:t>
      </w:r>
    </w:p>
    <w:tbl>
      <w:tblPr>
        <w:tblW w:w="10660" w:type="dxa"/>
        <w:jc w:val="left"/>
        <w:tblInd w:w="0" w:type="dxa"/>
        <w:tblLayout w:type="fixed"/>
        <w:tblCellMar>
          <w:top w:w="0" w:type="dxa"/>
          <w:left w:w="0" w:type="dxa"/>
          <w:bottom w:w="0" w:type="dxa"/>
          <w:right w:w="0" w:type="dxa"/>
        </w:tblCellMar>
      </w:tblPr>
      <w:tblGrid>
        <w:gridCol w:w="1171"/>
        <w:gridCol w:w="286"/>
        <w:gridCol w:w="196"/>
        <w:gridCol w:w="826"/>
        <w:gridCol w:w="286"/>
        <w:gridCol w:w="511"/>
        <w:gridCol w:w="256"/>
        <w:gridCol w:w="286"/>
        <w:gridCol w:w="196"/>
        <w:gridCol w:w="826"/>
        <w:gridCol w:w="286"/>
        <w:gridCol w:w="511"/>
        <w:gridCol w:w="256"/>
        <w:gridCol w:w="286"/>
        <w:gridCol w:w="196"/>
        <w:gridCol w:w="826"/>
        <w:gridCol w:w="286"/>
        <w:gridCol w:w="511"/>
        <w:gridCol w:w="256"/>
        <w:gridCol w:w="286"/>
        <w:gridCol w:w="196"/>
        <w:gridCol w:w="826"/>
        <w:gridCol w:w="286"/>
        <w:gridCol w:w="511"/>
        <w:gridCol w:w="301"/>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743585" cy="175260"/>
                      <wp:effectExtent l="0" t="0" r="0" b="0"/>
                      <wp:wrapNone/>
                      <wp:docPr id="55" name="Frame5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81610" cy="175260"/>
                      <wp:effectExtent l="0" t="0" r="0" b="0"/>
                      <wp:wrapNone/>
                      <wp:docPr id="56" name="Frame5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4510" cy="175260"/>
                      <wp:effectExtent l="0" t="0" r="0" b="0"/>
                      <wp:wrapNone/>
                      <wp:docPr id="58" name="Frame5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1610" cy="175260"/>
                      <wp:effectExtent l="0" t="0" r="0" b="0"/>
                      <wp:wrapNone/>
                      <wp:docPr id="59" name="Frame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24485" cy="175260"/>
                      <wp:effectExtent l="0" t="0" r="0" b="0"/>
                      <wp:wrapNone/>
                      <wp:docPr id="60" name="Frame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62560" cy="175260"/>
                      <wp:effectExtent l="0" t="0" r="0" b="0"/>
                      <wp:wrapNone/>
                      <wp:docPr id="61" name="Frame6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81610" cy="175260"/>
                      <wp:effectExtent l="0" t="0" r="0" b="0"/>
                      <wp:wrapNone/>
                      <wp:docPr id="62" name="Frame6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24510" cy="175260"/>
                      <wp:effectExtent l="0" t="0" r="0" b="0"/>
                      <wp:wrapNone/>
                      <wp:docPr id="64" name="Frame6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1610" cy="175260"/>
                      <wp:effectExtent l="0" t="0" r="0" b="0"/>
                      <wp:wrapNone/>
                      <wp:docPr id="65" name="Frame6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24485" cy="175260"/>
                      <wp:effectExtent l="0" t="0" r="0" b="0"/>
                      <wp:wrapNone/>
                      <wp:docPr id="66" name="Frame6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2560" cy="175260"/>
                      <wp:effectExtent l="0" t="0" r="0" b="0"/>
                      <wp:wrapNone/>
                      <wp:docPr id="67" name="Frame67"/>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81610" cy="175260"/>
                      <wp:effectExtent l="0" t="0" r="0" b="0"/>
                      <wp:wrapNone/>
                      <wp:docPr id="68" name="Frame6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4460" cy="175260"/>
                      <wp:effectExtent l="0" t="0" r="0" b="0"/>
                      <wp:wrapNone/>
                      <wp:docPr id="69"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4510" cy="175260"/>
                      <wp:effectExtent l="0" t="0" r="0" b="0"/>
                      <wp:wrapNone/>
                      <wp:docPr id="70" name="Frame7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1610" cy="175260"/>
                      <wp:effectExtent l="0" t="0" r="0" b="0"/>
                      <wp:wrapNone/>
                      <wp:docPr id="71" name="Frame7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24485" cy="175260"/>
                      <wp:effectExtent l="0" t="0" r="0" b="0"/>
                      <wp:wrapNone/>
                      <wp:docPr id="72" name="Frame7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62560" cy="175260"/>
                      <wp:effectExtent l="0" t="0" r="0" b="0"/>
                      <wp:wrapNone/>
                      <wp:docPr id="73" name="Frame7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81610" cy="175260"/>
                      <wp:effectExtent l="0" t="0" r="0" b="0"/>
                      <wp:wrapNone/>
                      <wp:docPr id="74" name="Frame7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4460" cy="175260"/>
                      <wp:effectExtent l="0" t="0" r="0" b="0"/>
                      <wp:wrapNone/>
                      <wp:docPr id="75" name="Frame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24510" cy="175260"/>
                      <wp:effectExtent l="0" t="0" r="0" b="0"/>
                      <wp:wrapNone/>
                      <wp:docPr id="76" name="Frame7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81610" cy="175260"/>
                      <wp:effectExtent l="0" t="0" r="0" b="0"/>
                      <wp:wrapNone/>
                      <wp:docPr id="77" name="Frame7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24485" cy="175260"/>
                      <wp:effectExtent l="0" t="0" r="0" b="0"/>
                      <wp:wrapNone/>
                      <wp:docPr id="78" name="Frame7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91135" cy="175260"/>
                      <wp:effectExtent l="0" t="0" r="0" b="0"/>
                      <wp:wrapNone/>
                      <wp:docPr id="79" name="Frame7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Service Provided</w:t>
            </w:r>
          </w:p>
        </w:tc>
        <w:tc>
          <w:tcPr>
            <w:tcW w:w="286" w:type="dxa"/>
            <w:tcBorders/>
            <w:vAlign w:val="center"/>
          </w:tcPr>
          <w:p>
            <w:pPr>
              <w:pStyle w:val="TableContents"/>
              <w:bidi w:val="0"/>
              <w:spacing w:before="0" w:after="0"/>
              <w:ind w:left="0" w:right="0" w:hanging="0"/>
              <w:jc w:val="left"/>
              <w:rPr/>
            </w:pPr>
            <w:r>
              <w:rPr/>
              <w:t>  ​ ​</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  ​ ​</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Mechanical Segment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2,296,667</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1,638,672</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4,357,289</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3,040,887</w:t>
            </w:r>
          </w:p>
        </w:tc>
        <w:tc>
          <w:tcPr>
            <w:tcW w:w="286" w:type="dxa"/>
            <w:tcBorders/>
            <w:shd w:fill="CCEEFF" w:val="clear"/>
            <w:vAlign w:val="center"/>
          </w:tcPr>
          <w:p>
            <w:pPr>
              <w:pStyle w:val="TableContents"/>
              <w:bidi w:val="0"/>
              <w:spacing w:before="0" w:after="0"/>
              <w:ind w:left="0" w:right="0" w:hanging="0"/>
              <w:jc w:val="left"/>
              <w:rPr/>
            </w:pPr>
            <w:r>
              <w:rPr/>
              <w:t>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Electrical Segment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968,989</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534,647</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1,773,699</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963,718</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3,265,656</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2,173,319</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6,130,988</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4,004,605</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Type of Customer</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center"/>
              <w:rPr/>
            </w:pPr>
            <w:r>
              <w:rPr/>
              <w:t> </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Technology</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1,917,354</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934,199</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3,533,869</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1,611,752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Manufacturing</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535,357</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473,040</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1,071,799</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925,826</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Healthcare</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230,783</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200,341</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451,317</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382,883</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Education</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168,252</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194,845</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301,669</w:t>
            </w:r>
          </w:p>
        </w:tc>
        <w:tc>
          <w:tcPr>
            <w:tcW w:w="28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356,087</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Government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145,507</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107,753</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275,820</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204,034</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Office Buildings</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92,468</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110,461</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172,808</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232,987</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Retail, Restaurants, and Entertainment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89,893</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85,107</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171,179</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162,116</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Multi-Family and Residential</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44,678</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33,214</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79,713</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61,567</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41,364</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34,359</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72,814</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67,353</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3,265,656</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2,173,319</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6,130,988</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4,004,605</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18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c>
          <w:tcPr>
            <w:tcW w:w="301" w:type="dxa"/>
            <w:tcBorders/>
            <w:vAlign w:val="center"/>
          </w:tcPr>
          <w:p>
            <w:pPr>
              <w:pStyle w:val="TableContents"/>
              <w:bidi w:val="0"/>
              <w:spacing w:before="0" w:after="0"/>
              <w:ind w:left="0" w:right="0" w:hanging="0"/>
              <w:jc w:val="left"/>
              <w:rPr/>
            </w:pPr>
            <w:r>
              <w:rPr/>
              <w:t>​</w:t>
            </w:r>
          </w:p>
        </w:tc>
      </w:tr>
      <w:tr>
        <w:trPr/>
        <w:tc>
          <w:tcPr>
            <w:tcW w:w="1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Revenue by Activity Type</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56" w:type="dxa"/>
            <w:tcBorders/>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5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8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01" w:type="dxa"/>
            <w:tcBorders/>
            <w:vAlign w:val="center"/>
          </w:tcPr>
          <w:p>
            <w:pPr>
              <w:pStyle w:val="TableContents"/>
              <w:bidi w:val="0"/>
              <w:spacing w:before="0" w:after="0"/>
              <w:ind w:left="0" w:right="0" w:hanging="0"/>
              <w:jc w:val="center"/>
              <w:rPr/>
            </w:pPr>
            <w:r>
              <w:rPr/>
              <w:t> </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New Construction</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2,454,064</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1,256,866</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57.9</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4,587,558</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74.8</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2,321,950</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Existing Building Construction</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483,469</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607,236</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920,070</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1,099,839</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Projects</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144,742</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146,271</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282,830</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265,485</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 Calls, Maintenance, and Monitoring</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183,381</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162,946</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340,530</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317,331</w:t>
            </w:r>
          </w:p>
        </w:tc>
        <w:tc>
          <w:tcPr>
            <w:tcW w:w="28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1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3,265,656</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2,173,319</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6,130,988</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4,004,605</w:t>
            </w:r>
          </w:p>
        </w:tc>
        <w:tc>
          <w:tcPr>
            <w:tcW w:w="28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Contract Assets and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Contract assets include unbilled amounts typically resulting from sales under long term contracts when the cost-to-cost method of revenue recognition is used, revenue recognized exceeds the amount billed to the customer, and right to payment is conditional or subject to completing a milestone, such as a phase of the project. Contract assets are not considered to have a significant financing component, as they are intended to protect the customer in the event that we do not perform our obligations under the contract. </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914" w:name="Tc_VMbrpJbl5E6INSmxCiH-aA_5_4"/>
      <w:bookmarkStart w:id="915" w:name="Tc_hTnya06cHkir1PKYRkY06Q_5_1"/>
      <w:bookmarkStart w:id="916" w:name="Tc_DlEgBqnyDECPw53SNDZlSQ_5_0"/>
      <w:bookmarkStart w:id="917" w:name="Tc_47C_wa_o6kCxSzMKaajvRw_4_0"/>
      <w:bookmarkStart w:id="918" w:name="Tc_ZE-lbHy6HUegaPPeNcPMXg_3_4"/>
      <w:bookmarkStart w:id="919" w:name="Tc_dkRqaCdCRUONrsydWGi6Sw_3_1"/>
      <w:bookmarkStart w:id="920" w:name="Tc_7RG_Evr83EW2TGTJLDqfSg_3_0"/>
      <w:bookmarkStart w:id="921" w:name="Tc_iMQN8_DYbkay_i2Qbmd7Kg_2_0"/>
      <w:bookmarkStart w:id="922" w:name="Tc_mZrTPYclqUeB-ydJ0_BiwQ_1_4"/>
      <w:bookmarkStart w:id="923" w:name="Tc_hcCqC8EQ2UCTJBYPaPLs1w_1_1"/>
      <w:bookmarkStart w:id="924" w:name="_28648184_f42e_4921_a4d8_c7d0c6c12caf"/>
      <w:bookmarkEnd w:id="914"/>
      <w:bookmarkEnd w:id="915"/>
      <w:bookmarkEnd w:id="916"/>
      <w:bookmarkEnd w:id="917"/>
      <w:bookmarkEnd w:id="918"/>
      <w:bookmarkEnd w:id="919"/>
      <w:bookmarkEnd w:id="920"/>
      <w:bookmarkEnd w:id="921"/>
      <w:bookmarkEnd w:id="922"/>
      <w:bookmarkEnd w:id="923"/>
      <w:bookmarkEnd w:id="924"/>
      <w:r>
        <w:rPr>
          <w:rFonts w:ascii="Times New Roman;Times;serif" w:hAnsi="Times New Roman;Times;serif"/>
          <w:sz w:val="20"/>
        </w:rPr>
        <w:t xml:space="preserve">Contract liabilities consist of advance payments and billings in excess of revenue recognized. Advance payments from customers related to work not yet started are classified as deferred revenue. Contract liabilities are not considered to have a significant financing component, as they are used to meet working capital requirements that are generally higher in the early stages of a contract and are intended to protect us from the other party failing to meet its obligations under the contract. Our contract assets and liabilities are reported in a net position on a contract-by-contract basis at the end of each reporting period.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 assets and liabilities in the Consolidated Balance Sheets consisted of the following amounts as of June 30, 2026 and December 31, 2025 (in thousands):</w:t>
      </w:r>
    </w:p>
    <w:p>
      <w:pPr>
        <w:pStyle w:val="TextBody"/>
        <w:bidi w:val="0"/>
        <w:spacing w:before="0" w:after="0"/>
        <w:ind w:left="0" w:right="0" w:firstLine="720"/>
        <w:jc w:val="left"/>
        <w:rPr/>
      </w:pPr>
      <w:r>
        <w:rPr/>
        <w:t>​</w:t>
      </w:r>
    </w:p>
    <w:tbl>
      <w:tblPr>
        <w:tblW w:w="9502" w:type="dxa"/>
        <w:jc w:val="left"/>
        <w:tblInd w:w="0" w:type="dxa"/>
        <w:tblLayout w:type="fixed"/>
        <w:tblCellMar>
          <w:top w:w="0" w:type="dxa"/>
          <w:left w:w="0" w:type="dxa"/>
          <w:bottom w:w="0" w:type="dxa"/>
          <w:right w:w="0" w:type="dxa"/>
        </w:tblCellMar>
      </w:tblPr>
      <w:tblGrid>
        <w:gridCol w:w="6706"/>
        <w:gridCol w:w="211"/>
        <w:gridCol w:w="931"/>
        <w:gridCol w:w="109"/>
        <w:gridCol w:w="259"/>
        <w:gridCol w:w="1286"/>
      </w:tblGrid>
      <w:tr>
        <w:trPr/>
        <w:tc>
          <w:tcPr>
            <w:tcW w:w="670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895"/>
                      <wp:effectExtent l="0" t="0" r="0" b="0"/>
                      <wp:wrapNone/>
                      <wp:docPr id="80" name="Frame8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91185" cy="175895"/>
                      <wp:effectExtent l="0" t="0" r="0" b="0"/>
                      <wp:wrapNone/>
                      <wp:docPr id="81" name="Frame81"/>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895"/>
                      <wp:effectExtent l="0" t="0" r="0" b="0"/>
                      <wp:wrapNone/>
                      <wp:docPr id="82" name="Frame8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64465" cy="175895"/>
                      <wp:effectExtent l="0" t="0" r="0" b="0"/>
                      <wp:wrapNone/>
                      <wp:docPr id="83" name="Frame83"/>
                      <a:graphic xmlns:a="http://schemas.openxmlformats.org/drawingml/2006/main">
                        <a:graphicData uri="http://schemas.microsoft.com/office/word/2010/wordprocessingShape">
                          <wps:wsp>
                            <wps:cNvSpPr txBox="1"/>
                            <wps:spPr>
                              <a:xfrm>
                                <a:off x="0" y="0"/>
                                <a:ext cx="1644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16610" cy="175895"/>
                      <wp:effectExtent l="0" t="0" r="0" b="0"/>
                      <wp:wrapNone/>
                      <wp:docPr id="84" name="Frame84"/>
                      <a:graphic xmlns:a="http://schemas.openxmlformats.org/drawingml/2006/main">
                        <a:graphicData uri="http://schemas.microsoft.com/office/word/2010/wordprocessingShape">
                          <wps:wsp>
                            <wps:cNvSpPr txBox="1"/>
                            <wps:spPr>
                              <a:xfrm>
                                <a:off x="0" y="0"/>
                                <a:ext cx="816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before="1"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1" w:after="1"/>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70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9" w:type="dxa"/>
            <w:tcBorders/>
            <w:shd w:fill="CCEEFF" w:val="clear"/>
            <w:vAlign w:val="center"/>
          </w:tcPr>
          <w:p>
            <w:pPr>
              <w:pStyle w:val="TableContents"/>
              <w:bidi w:val="0"/>
              <w:spacing w:before="1" w:after="1"/>
              <w:ind w:left="0" w:right="0" w:hanging="0"/>
              <w:jc w:val="left"/>
              <w:rPr/>
            </w:pPr>
            <w:r>
              <w:rPr/>
              <w:t>​</w:t>
            </w:r>
          </w:p>
        </w:tc>
        <w:tc>
          <w:tcPr>
            <w:tcW w:w="1286" w:type="dxa"/>
            <w:tcBorders/>
            <w:shd w:fill="CCEEFF" w:val="clear"/>
            <w:vAlign w:val="center"/>
          </w:tcPr>
          <w:p>
            <w:pPr>
              <w:pStyle w:val="TableContents"/>
              <w:bidi w:val="0"/>
              <w:spacing w:before="1" w:after="1"/>
              <w:ind w:left="0" w:right="0" w:hanging="0"/>
              <w:jc w:val="left"/>
              <w:rPr/>
            </w:pPr>
            <w:r>
              <w:rPr/>
              <w:t>​</w:t>
            </w:r>
          </w:p>
        </w:tc>
      </w:tr>
      <w:tr>
        <w:trPr/>
        <w:tc>
          <w:tcPr>
            <w:tcW w:w="670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Costs and estimated earnings in excess of billings, less allowance for credit losses</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144,553</w:t>
            </w:r>
          </w:p>
        </w:tc>
        <w:tc>
          <w:tcPr>
            <w:tcW w:w="109" w:type="dxa"/>
            <w:tcBorders/>
            <w:vAlign w:val="center"/>
          </w:tcPr>
          <w:p>
            <w:pPr>
              <w:pStyle w:val="TableContents"/>
              <w:bidi w:val="0"/>
              <w:spacing w:before="1" w:after="1"/>
              <w:ind w:left="0" w:right="0" w:hanging="0"/>
              <w:jc w:val="left"/>
              <w:rPr/>
            </w:pPr>
            <w:r>
              <w:rPr/>
              <w:t>​</w:t>
            </w:r>
          </w:p>
        </w:tc>
        <w:tc>
          <w:tcPr>
            <w:tcW w:w="25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88,817</w:t>
            </w:r>
          </w:p>
        </w:tc>
      </w:tr>
      <w:tr>
        <w:trPr/>
        <w:tc>
          <w:tcPr>
            <w:tcW w:w="670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59" w:type="dxa"/>
            <w:tcBorders/>
            <w:shd w:fill="CCEEFF" w:val="clear"/>
            <w:vAlign w:val="center"/>
          </w:tcPr>
          <w:p>
            <w:pPr>
              <w:pStyle w:val="TableContents"/>
              <w:bidi w:val="0"/>
              <w:spacing w:before="1" w:after="1"/>
              <w:ind w:left="0" w:right="0" w:hanging="0"/>
              <w:jc w:val="left"/>
              <w:rPr/>
            </w:pPr>
            <w:r>
              <w:rPr/>
              <w:t>​</w:t>
            </w:r>
          </w:p>
        </w:tc>
        <w:tc>
          <w:tcPr>
            <w:tcW w:w="1286" w:type="dxa"/>
            <w:tcBorders/>
            <w:shd w:fill="CCEEFF" w:val="clear"/>
            <w:vAlign w:val="center"/>
          </w:tcPr>
          <w:p>
            <w:pPr>
              <w:pStyle w:val="TableContents"/>
              <w:bidi w:val="0"/>
              <w:spacing w:before="1" w:after="1"/>
              <w:ind w:left="0" w:right="0" w:hanging="0"/>
              <w:jc w:val="left"/>
              <w:rPr/>
            </w:pPr>
            <w:r>
              <w:rPr/>
              <w:t>​</w:t>
            </w:r>
          </w:p>
        </w:tc>
      </w:tr>
      <w:tr>
        <w:trPr/>
        <w:tc>
          <w:tcPr>
            <w:tcW w:w="670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Billings in excess of costs and estimated earnings and deferred revenue</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3,231,104</w:t>
            </w:r>
          </w:p>
        </w:tc>
        <w:tc>
          <w:tcPr>
            <w:tcW w:w="109" w:type="dxa"/>
            <w:tcBorders/>
            <w:vAlign w:val="center"/>
          </w:tcPr>
          <w:p>
            <w:pPr>
              <w:pStyle w:val="TableContents"/>
              <w:bidi w:val="0"/>
              <w:spacing w:before="1" w:after="1"/>
              <w:ind w:left="0" w:right="0" w:hanging="0"/>
              <w:jc w:val="left"/>
              <w:rPr/>
            </w:pPr>
            <w:r>
              <w:rPr/>
              <w:t>​</w:t>
            </w:r>
          </w:p>
        </w:tc>
        <w:tc>
          <w:tcPr>
            <w:tcW w:w="259"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6" w:type="dxa"/>
            <w:tcBorders/>
            <w:vAlign w:val="center"/>
          </w:tcPr>
          <w:p>
            <w:pPr>
              <w:pStyle w:val="TableContents"/>
              <w:bidi w:val="0"/>
              <w:spacing w:before="1" w:after="1"/>
              <w:ind w:left="0" w:right="70" w:hanging="0"/>
              <w:jc w:val="right"/>
              <w:rPr>
                <w:rFonts w:ascii="Times New Roman;Times;serif" w:hAnsi="Times New Roman;Times;serif"/>
                <w:sz w:val="20"/>
              </w:rPr>
            </w:pPr>
            <w:r>
              <w:rPr>
                <w:rFonts w:ascii="Times New Roman;Times;serif" w:hAnsi="Times New Roman;Times;serif"/>
                <w:sz w:val="20"/>
              </w:rPr>
              <w:t>2,120,262</w:t>
            </w:r>
          </w:p>
        </w:tc>
      </w:tr>
    </w:tbl>
    <w:p>
      <w:pPr>
        <w:pStyle w:val="TextBody"/>
        <w:bidi w:val="0"/>
        <w:spacing w:before="100" w:after="100"/>
        <w:ind w:left="0" w:right="0" w:firstLine="720"/>
        <w:jc w:val="left"/>
        <w:rPr/>
      </w:pPr>
      <w:r>
        <w:rPr/>
        <w:t>​</w:t>
      </w:r>
    </w:p>
    <w:p>
      <w:pPr>
        <w:pStyle w:val="TextBody"/>
        <w:bidi w:val="0"/>
        <w:spacing w:before="0" w:after="264"/>
        <w:ind w:left="0" w:right="0" w:firstLine="720"/>
        <w:jc w:val="left"/>
        <w:rPr>
          <w:rFonts w:ascii="Times New Roman;Times;serif" w:hAnsi="Times New Roman;Times;serif"/>
          <w:sz w:val="20"/>
        </w:rPr>
      </w:pPr>
      <w:r>
        <w:rPr>
          <w:rFonts w:ascii="Times New Roman;Times;serif" w:hAnsi="Times New Roman;Times;serif"/>
          <w:sz w:val="20"/>
        </w:rPr>
        <w:t>In the first six months of 2026 and 2025, we recognized revenue of $1.58 billion and $871.6 million, respectively, related to our contract liabilities at January 1, 2026 and January 1, 2025,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did not have any impairment losses recognized on our receivables or contract assets in the first six months of 2026 and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Remaining Performance Obligations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Remaining construction performance obligations represent the remaining transaction price of firm orders for which work has not been performed and exclude unexercised contract options. As of June 30, 2026, the aggregate amount of the transaction price allocated to remaining performance obligations was $14.06 billion. The Company expects to recognize revenue on approximately 65-75% of the remaining performance obligations over the next 12 months, with the remaining recognized thereafter. Our service maintenance agreements are generally one-year renewable agreements. We have adopted the practical expedient that allows us to not include service maintenance contracts with a total term of one year or less; therefore, we do not report unfulfilled performance obligations for service maintenance agreements.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4. 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Rate Risk Management and Derivative Instruments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times, we use derivative instruments to manage exposure to market risk, including interest rate risk. We currently do not have any derivatives that are accounted for as hedges under Accounting Standards Codification (“ASC”) 815.</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Measurement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classify and disclose assets and liabilities carried at fair value in one of the following three categories:</w:t>
      </w:r>
    </w:p>
    <w:p>
      <w:pPr>
        <w:pStyle w:val="TextBody"/>
        <w:bidi w:val="0"/>
        <w:spacing w:before="0" w:after="0"/>
        <w:ind w:left="0" w:right="0" w:firstLine="720"/>
        <w:jc w:val="left"/>
        <w:rPr/>
      </w:pPr>
      <w:r>
        <w:rPr/>
        <w:t>​</w:t>
      </w:r>
    </w:p>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and liabilities;</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2—observable market-based inputs or unobservable inputs that are corroborated by market data;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3—significant unobservable inputs in which little or no market data exists, therefore requiring an entity to develop its own assumptions.</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925" w:name="Tc_uY1vWW5OEEKdnvx83jmvZg_7_5"/>
      <w:bookmarkStart w:id="926" w:name="Tc_rm4tQRqvQUeXAedzjoXtcg_7_2"/>
      <w:bookmarkStart w:id="927" w:name="Tc_nO1BCOAWX0CIXB40IImPSA_7_0"/>
      <w:bookmarkStart w:id="928" w:name="Tc_Ar0tgrk00EiLoY8otk1Yww_6_0"/>
      <w:bookmarkStart w:id="929" w:name="Tc_XmnP-O2lBkei5vWKMqvd3w_5_0"/>
      <w:bookmarkStart w:id="930" w:name="Tc_kUpmgqkTZkuvJdtvBs0GMA_4_0"/>
      <w:bookmarkStart w:id="931" w:name="Tc_WiHTJhsBNkm4kIVXPmCv4g_3_5"/>
      <w:bookmarkStart w:id="932" w:name="Tc_TvvgGSiqjkefitfUl9h08w_3_2"/>
      <w:bookmarkStart w:id="933" w:name="Tc_-qwFvaxhZkin04wal3D76w_3_0"/>
      <w:bookmarkStart w:id="934" w:name="Tc_HqDtQTdRfkGypFvXMN6kWA_2_5"/>
      <w:bookmarkStart w:id="935" w:name="Tc_HDkvORJ9g0aATPl6JstrBQ_2_2"/>
      <w:bookmarkStart w:id="936" w:name="Tc_FXOQ8jeBSEG7hcnnrr-XeQ_1_5"/>
      <w:bookmarkStart w:id="937" w:name="Tc_N2h0a60z5kKHU9HyRhU8jQ_1_2"/>
      <w:bookmarkStart w:id="938" w:name="_cc28969e_8dd9_42a7_a7b3_102ed407e71d"/>
      <w:bookmarkStart w:id="939" w:name="Tc_c542wRfy6UaEXkxHCr2aKg_11_11"/>
      <w:bookmarkStart w:id="940" w:name="Tc_ogkVktPgr0uYaC8FghZaVw_11_8"/>
      <w:bookmarkStart w:id="941" w:name="Tc_SYfqK7fmBUqviWKOjogSdw_11_6"/>
      <w:bookmarkStart w:id="942" w:name="Tc_r6yUbDh8NUepGB-p8hmsnA_11_5"/>
      <w:bookmarkStart w:id="943" w:name="Tc_3klsgk7XTES6490MYhCHjA_11_3"/>
      <w:bookmarkStart w:id="944" w:name="Tc_ButwEJiE8EOb6STY3WmobA_11_2"/>
      <w:bookmarkStart w:id="945" w:name="Tc_jt4_pfjVj06yQb4ZqOxlnw_11_0"/>
      <w:bookmarkStart w:id="946" w:name="Tc_VxeAJqOpN0G-LmYbkB-AKw_10_11"/>
      <w:bookmarkStart w:id="947" w:name="Tc_CazAYdVugkeWmHsPqyN_-Q_10_9"/>
      <w:bookmarkStart w:id="948" w:name="Tc_4Z8UByGdkkSq6uynxK2Kpg_10_8"/>
      <w:bookmarkStart w:id="949" w:name="Tc_U45EOAaY10GTTu-ZIOZAew_10_5"/>
      <w:bookmarkStart w:id="950" w:name="Tc_0xpAjXIOE0KuRgtxAg0Q_g_10_3"/>
      <w:bookmarkStart w:id="951" w:name="Tc_mlpXoOO4NESFND6vw9Q0ow_10_2"/>
      <w:bookmarkStart w:id="952" w:name="Tc_j7GQMTu_YkCjdg7_SbR2tA_10_0"/>
      <w:bookmarkStart w:id="953" w:name="Tc_bfp6xBW-Lk-zZ_U1ooiQOw_9_11"/>
      <w:bookmarkStart w:id="954" w:name="Tc_mdESDzgx_kKvwFEd8mTnZg_9_9"/>
      <w:bookmarkStart w:id="955" w:name="Tc_K1M9X-KQgU2y7swphqNMOQ_9_8"/>
      <w:bookmarkStart w:id="956" w:name="Tc_V4INr5A-h0KVXa15ltFGbg_9_6"/>
      <w:bookmarkStart w:id="957" w:name="Tc_-6C62l4ap0CbsI5u5Mqhlw_9_5"/>
      <w:bookmarkStart w:id="958" w:name="Tc_4eeNBtHgm0OtxpJBg98-dA_9_2"/>
      <w:bookmarkStart w:id="959" w:name="Tc_k_K2ST0U6UC3IfdiDijtjA_9_0"/>
      <w:bookmarkStart w:id="960" w:name="Tc_gixaA_LJzkek-f77HsdRLQ_8_11"/>
      <w:bookmarkStart w:id="961" w:name="Tc_0BqVfY-6W0uYnyxetbd4Aw_8_8"/>
      <w:bookmarkStart w:id="962" w:name="Tc_J-gbbCI68069nxSqTD5qVg_8_5"/>
      <w:bookmarkStart w:id="963" w:name="Tc_l16Ns0Xru0qDJUc1EpkXEQ_8_2"/>
      <w:bookmarkStart w:id="964" w:name="Tc_KUZfIn_FSUWpreyo8GLluA_7_2"/>
      <w:bookmarkStart w:id="965" w:name="Tc_SMT_QAH4yUiuE-xpNbwZtg_5_11"/>
      <w:bookmarkStart w:id="966" w:name="Tc_DyR-easJ-0WsAj08XtIIFw_5_8"/>
      <w:bookmarkStart w:id="967" w:name="Tc_EhD8nVLdmUun1vrpQsKxtQ_5_6"/>
      <w:bookmarkStart w:id="968" w:name="Tc_5QTYiD32m0uKaNJ21TCYog_5_5"/>
      <w:bookmarkStart w:id="969" w:name="Tc_L39dYSVcmES9pDnLiwHUSA_5_3"/>
      <w:bookmarkStart w:id="970" w:name="Tc_3IwzXsqtSk2kXOHvD6_plQ_5_2"/>
      <w:bookmarkStart w:id="971" w:name="Tc_ktSXaIrfkU-EDyMAfsHhvQ_5_0"/>
      <w:bookmarkStart w:id="972" w:name="Tc_wgRQrO-jYUSWE_s3GI-etw_4_11"/>
      <w:bookmarkStart w:id="973" w:name="Tc_RW18yb_hwk2n0eYWynqFVQ_4_9"/>
      <w:bookmarkStart w:id="974" w:name="Tc_Yz-sQuLeWUi8VkukKZHROQ_4_8"/>
      <w:bookmarkStart w:id="975" w:name="Tc_bpFfcmF0tE27RQV6CInCNg_4_5"/>
      <w:bookmarkStart w:id="976" w:name="Tc_la-NZKg0tkWQAhgImBQMlQ_4_3"/>
      <w:bookmarkStart w:id="977" w:name="Tc_0-cPtyj-ekGRI0PmxdH04Q_4_2"/>
      <w:bookmarkStart w:id="978" w:name="Tc_0sSajOK1TUa8djrrvGx36g_4_0"/>
      <w:bookmarkStart w:id="979" w:name="Tc_KqJEB2M_ZUykGKF1IMJGWg_3_11"/>
      <w:bookmarkStart w:id="980" w:name="Tc_D2RsnSqi7E-4F8Ip0z099w_3_9"/>
      <w:bookmarkStart w:id="981" w:name="Tc_Sb0MBS5lF0a975tEhMg6Pg_3_8"/>
      <w:bookmarkStart w:id="982" w:name="Tc_lKdlda1GXUeFJv2wJFkQAQ_3_6"/>
      <w:bookmarkStart w:id="983" w:name="Tc_pDW3HDj2YU2bBWWrZN4gPA_3_5"/>
      <w:bookmarkStart w:id="984" w:name="Tc_S2_oSt8kJ0ycisI_v1UluQ_3_2"/>
      <w:bookmarkStart w:id="985" w:name="Tc_Qb16l0zyd0iMKSL-odT-pA_3_0"/>
      <w:bookmarkStart w:id="986" w:name="Tc_L7boMXLtpESDjGS1mhahmA_2_11"/>
      <w:bookmarkStart w:id="987" w:name="Tc_StUof4KxFEKCtqFKEK1M4g_2_8"/>
      <w:bookmarkStart w:id="988" w:name="Tc_Wd5O8nmOIUCv0HXcPpZY1A_2_5"/>
      <w:bookmarkStart w:id="989" w:name="Tc_uLr9KDj_wUi8sFkRqezStA_2_2"/>
      <w:bookmarkStart w:id="990" w:name="Tc_QubHni4_pUWmD6yHCQ-W9w_1_2"/>
      <w:bookmarkStart w:id="991" w:name="_1b7474af_fc4e_472b_a043_c18a0a52138d"/>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Times New Roman;Times;serif" w:hAnsi="Times New Roman;Times;serif"/>
          <w:sz w:val="20"/>
        </w:rPr>
        <w:t>The following table summarizes the fair values, and levels within the fair value hierarchy in which the fair value measurements are included, for assets and liabilities measured on a recurring basis as of June 30, 2026 and December 31, 2025 (in thousands):</w:t>
      </w:r>
    </w:p>
    <w:p>
      <w:pPr>
        <w:pStyle w:val="TextBody"/>
        <w:bidi w:val="0"/>
        <w:spacing w:before="0" w:after="0"/>
        <w:ind w:left="0" w:right="0" w:hanging="0"/>
        <w:jc w:val="left"/>
        <w:rPr/>
      </w:pPr>
      <w:r>
        <w:rPr/>
        <w:t>​</w:t>
      </w:r>
    </w:p>
    <w:tbl>
      <w:tblPr>
        <w:tblW w:w="8233" w:type="dxa"/>
        <w:jc w:val="left"/>
        <w:tblInd w:w="0" w:type="dxa"/>
        <w:tblLayout w:type="fixed"/>
        <w:tblCellMar>
          <w:top w:w="0" w:type="dxa"/>
          <w:left w:w="0" w:type="dxa"/>
          <w:bottom w:w="0" w:type="dxa"/>
          <w:right w:w="0" w:type="dxa"/>
        </w:tblCellMar>
      </w:tblPr>
      <w:tblGrid>
        <w:gridCol w:w="2746"/>
        <w:gridCol w:w="346"/>
        <w:gridCol w:w="211"/>
        <w:gridCol w:w="931"/>
        <w:gridCol w:w="346"/>
        <w:gridCol w:w="211"/>
        <w:gridCol w:w="676"/>
        <w:gridCol w:w="346"/>
        <w:gridCol w:w="211"/>
        <w:gridCol w:w="676"/>
        <w:gridCol w:w="346"/>
        <w:gridCol w:w="211"/>
        <w:gridCol w:w="97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743710" cy="175260"/>
                      <wp:effectExtent l="0" t="0" r="0" b="0"/>
                      <wp:wrapNone/>
                      <wp:docPr id="85" name="Frame85"/>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6"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591185" cy="175260"/>
                      <wp:effectExtent l="0" t="0" r="0" b="0"/>
                      <wp:wrapNone/>
                      <wp:docPr id="88" name="Frame8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29260" cy="175260"/>
                      <wp:effectExtent l="0" t="0" r="0" b="0"/>
                      <wp:wrapNone/>
                      <wp:docPr id="91" name="Frame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29260" cy="175260"/>
                      <wp:effectExtent l="0" t="0" r="0" b="0"/>
                      <wp:wrapNone/>
                      <wp:docPr id="94" name="Frame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19760" cy="175260"/>
                      <wp:effectExtent l="0" t="0" r="0" b="0"/>
                      <wp:wrapNone/>
                      <wp:docPr id="97" name="Frame9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June 30, 2026</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1,854,794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1,854,794</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51,604</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44,727</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4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2025</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981,898</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bills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34,357</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34,842</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Cash and cash equivalents are held at a variety of well</w:t>
        <w:noBreakHyphen/>
        <w:t>known institutions and consist primarily of (i) deposit accounts, (ii) U.S. Treasury bills, and (iii) highly-rated money market funds. Cash equivalents described in (ii) and (iii) above have original maturities of three months or less. The original cost of these assets approximates fair value due to their short-term maturity. We believe the carrying value of our debt associated with our revolving credit facility approximates its fair value due to the variable rate on such debt. We believe the carrying values of our notes to former owners approximate their fair values due to the relatively short remaining terms on these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own U.S. Treasury bills with maturities greater than 90 days but less than one year, which we classify as held-to-maturity in accordance with ASC 320 “Investments – Debt Securities,” given that the Company has the ability and intent to hold the investments until maturity. These investments are included within “Prepaid expenses and other” in the Consolidated Balance Sheets. Due to their short-term maturity, the amortized cost of our U.S. Treasury bills approximates their fair value.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value contingent earn-out obligations using a probability weighted discounted cash flow method. This fair value measurement is based on significant unobservable inputs in the market and thus represents a Level 3 measurement within the fair value hierarchy. This analysis reflects the contractual terms of the purchase agreements (</w:t>
      </w:r>
      <w:r>
        <w:rPr>
          <w:rFonts w:ascii="Times New Roman;Times;serif" w:hAnsi="Times New Roman;Times;serif"/>
          <w:i/>
          <w:sz w:val="20"/>
        </w:rPr>
        <w:t>e.g.</w:t>
      </w:r>
      <w:r>
        <w:rPr>
          <w:rFonts w:ascii="Times New Roman;Times;serif" w:hAnsi="Times New Roman;Times;serif"/>
          <w:sz w:val="20"/>
        </w:rPr>
        <w:t>, minimum and maximum payments, length of earn-out periods, manner of calculating any amounts due, etc.) and utilizes assumptions with regard to future cash flows and operating income, probabilities of achieving such future cash flows and operating income, and a weighted-average cost of capital. Significant changes in any of these assumptions could result in a significantly higher or lower potential liability. The contingent earn-out obligations are measured at fair value each reporting period, and changes in estimates of fair value are recognized in earnings.</w:t>
      </w:r>
      <w:r>
        <w:rPr>
          <w:rFonts w:ascii="Times New Roman;Times;serif" w:hAnsi="Times New Roman;Times;serif"/>
          <w:sz w:val="20"/>
          <w:shd w:fill="FFFFFF" w:val="clear"/>
        </w:rPr>
        <w:t> As of June 30, 2026, cash flows were discounted using a weighted-average cost of capital of 17.5%.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presents a reconciliation of the fair value of our contingent earn-out obligations that use significant unobservable inputs (Level 3) (in thousands):</w:t>
      </w:r>
    </w:p>
    <w:p>
      <w:pPr>
        <w:pStyle w:val="TextBody"/>
        <w:bidi w:val="0"/>
        <w:spacing w:before="0" w:after="0"/>
        <w:ind w:left="0" w:right="0" w:firstLine="720"/>
        <w:jc w:val="left"/>
        <w:rPr/>
      </w:pPr>
      <w:r>
        <w:rPr/>
        <w:t>​</w:t>
      </w:r>
    </w:p>
    <w:tbl>
      <w:tblPr>
        <w:tblW w:w="6479" w:type="dxa"/>
        <w:jc w:val="left"/>
        <w:tblInd w:w="0" w:type="dxa"/>
        <w:tblLayout w:type="fixed"/>
        <w:tblCellMar>
          <w:top w:w="0" w:type="dxa"/>
          <w:left w:w="0" w:type="dxa"/>
          <w:bottom w:w="0" w:type="dxa"/>
          <w:right w:w="0" w:type="dxa"/>
        </w:tblCellMar>
      </w:tblPr>
      <w:tblGrid>
        <w:gridCol w:w="2641"/>
        <w:gridCol w:w="346"/>
        <w:gridCol w:w="305"/>
        <w:gridCol w:w="1150"/>
        <w:gridCol w:w="346"/>
        <w:gridCol w:w="284"/>
        <w:gridCol w:w="1216"/>
        <w:gridCol w:w="191"/>
      </w:tblGrid>
      <w:tr>
        <w:trPr/>
        <w:tc>
          <w:tcPr>
            <w:tcW w:w="2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77035" cy="175260"/>
                      <wp:effectExtent l="0" t="0" r="0" b="0"/>
                      <wp:wrapNone/>
                      <wp:docPr id="98" name="Frame98"/>
                      <a:graphic xmlns:a="http://schemas.openxmlformats.org/drawingml/2006/main">
                        <a:graphicData uri="http://schemas.microsoft.com/office/word/2010/wordprocessingShape">
                          <wps:wsp>
                            <wps:cNvSpPr txBox="1"/>
                            <wps:spPr>
                              <a:xfrm>
                                <a:off x="0" y="0"/>
                                <a:ext cx="167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3675" cy="175260"/>
                      <wp:effectExtent l="0" t="0" r="0" b="0"/>
                      <wp:wrapNone/>
                      <wp:docPr id="100" name="Frame100"/>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730250" cy="175260"/>
                      <wp:effectExtent l="0" t="0" r="0" b="0"/>
                      <wp:wrapNone/>
                      <wp:docPr id="101" name="Frame101"/>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80340" cy="175260"/>
                      <wp:effectExtent l="0" t="0" r="0" b="0"/>
                      <wp:wrapNone/>
                      <wp:docPr id="103" name="Frame103"/>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772160" cy="175260"/>
                      <wp:effectExtent l="0" t="0" r="0" b="0"/>
                      <wp:wrapNone/>
                      <wp:docPr id="104" name="Frame10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1285" cy="175260"/>
                      <wp:effectExtent l="0" t="0" r="0" b="0"/>
                      <wp:wrapNone/>
                      <wp:docPr id="105" name="Frame10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191" w:type="dxa"/>
            <w:tcBorders/>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91" w:type="dxa"/>
            <w:tcBorders/>
            <w:vAlign w:val="center"/>
          </w:tcPr>
          <w:p>
            <w:pPr>
              <w:pStyle w:val="TableContents"/>
              <w:bidi w:val="0"/>
              <w:spacing w:before="0" w:after="0"/>
              <w:ind w:left="0" w:right="0" w:hanging="0"/>
              <w:jc w:val="lef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46" w:type="dxa"/>
            <w:tcBorders/>
            <w:shd w:fill="CCEEFF" w:val="clear"/>
            <w:vAlign w:val="center"/>
          </w:tcPr>
          <w:p>
            <w:pPr>
              <w:pStyle w:val="TableContents"/>
              <w:bidi w:val="0"/>
              <w:spacing w:before="0" w:after="0"/>
              <w:ind w:left="0" w:right="0" w:hanging="0"/>
              <w:jc w:val="left"/>
              <w:rPr/>
            </w:pPr>
            <w:r>
              <w:rPr/>
              <w:t>  ​ ​ ​</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c>
          <w:tcPr>
            <w:tcW w:w="346" w:type="dxa"/>
            <w:tcBorders/>
            <w:shd w:fill="CCEEFF" w:val="clear"/>
            <w:vAlign w:val="center"/>
          </w:tcPr>
          <w:p>
            <w:pPr>
              <w:pStyle w:val="TableContents"/>
              <w:bidi w:val="0"/>
              <w:spacing w:before="0" w:after="0"/>
              <w:ind w:left="0" w:right="0" w:hanging="0"/>
              <w:jc w:val="left"/>
              <w:rPr/>
            </w:pPr>
            <w:r>
              <w:rPr/>
              <w:t>  ​ ​ ​</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140,156</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Issuances</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 </w:t>
            </w:r>
          </w:p>
        </w:tc>
        <w:tc>
          <w:tcPr>
            <w:tcW w:w="11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17,618</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4,059</w:t>
            </w:r>
          </w:p>
        </w:tc>
        <w:tc>
          <w:tcPr>
            <w:tcW w:w="191" w:type="dxa"/>
            <w:tcBorders/>
            <w:vAlign w:val="center"/>
          </w:tcPr>
          <w:p>
            <w:pPr>
              <w:pStyle w:val="TableContents"/>
              <w:bidi w:val="0"/>
              <w:spacing w:before="0" w:after="0"/>
              <w:ind w:left="0" w:right="0" w:hanging="0"/>
              <w:jc w:val="lef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(20,148)</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(142,846)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fair value</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12,415</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33,473</w:t>
            </w:r>
          </w:p>
        </w:tc>
        <w:tc>
          <w:tcPr>
            <w:tcW w:w="191" w:type="dxa"/>
            <w:tcBorders/>
            <w:vAlign w:val="center"/>
          </w:tcPr>
          <w:p>
            <w:pPr>
              <w:pStyle w:val="TableContents"/>
              <w:bidi w:val="0"/>
              <w:spacing w:before="0" w:after="0"/>
              <w:ind w:left="0" w:right="0" w:hanging="0"/>
              <w:jc w:val="left"/>
              <w:rPr/>
            </w:pPr>
            <w:r>
              <w:rPr/>
              <w:t>​</w:t>
            </w:r>
          </w:p>
        </w:tc>
      </w:tr>
      <w:tr>
        <w:trPr/>
        <w:tc>
          <w:tcPr>
            <w:tcW w:w="2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44,727</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34,842</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5. Acquisitions</w:t>
      </w:r>
      <w:r>
        <w:rPr>
          <w:rFonts w:ascii="Times New Roman;Times;serif" w:hAnsi="Times New Roman;Times;serif"/>
          <w:sz w:val="20"/>
        </w:rPr>
        <w:t xml:space="preserve"> </w:t>
      </w:r>
    </w:p>
    <w:p>
      <w:pPr>
        <w:pStyle w:val="TextBody"/>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May 1, 2026 we acquired all of the issued and outstanding membership interests of R.C. Hunt Electric, LLC (“Hunt”), headquartered in Utah, for a total preliminary purchase price of $206.0 million, which included $167.2 million of cash paid on the closing date, $15.0 million in notes payable to the former owners, an earn-out that will be paid if certain financial targets are met after the acquisition date, and a working capital adjustment. Hunt operates in the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Western United States and provides electrical design and construction services primarily to the industrial, technology, commercial, and infrastructure sectors. As a result of the acquisition, Hunt is a wholly owned subsidiary of the Company reported in our electrical segment. The goodwill recognized as a result of the Hunt acquisition is deductible for tax purposes.</w:t>
      </w:r>
    </w:p>
    <w:p>
      <w:pPr>
        <w:pStyle w:val="TextBody"/>
        <w:shd w:fill="FFFFFF" w:val="clear"/>
        <w:bidi w:val="0"/>
        <w:spacing w:before="100" w:after="10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October 1, 2025, we acquired all of the issued and outstanding membership interests of Feyen-Zylstra Holdings, LLC (“Feyen Zylstra”), headquartered in Michigan, for a total preliminary purchase price of $109.8 million, which included $99.0 million of cash paid on the closing date, $4.3 million in notes payable to the former owners, an earn-out that will be paid if certain financial targets are met after the acquisition date, and a working capital adjustment. Feyen Zylstra operates in the Midwest and Southern United States and provides electrical design, installation, and maintenance services primarily to the industrial, technology, and healthcare sectors. As a result of the acquisition, Feyen Zylstra is a wholly owned subsidiary of the Company reported in our electrical segment. The goodwill recognized as a result of the Feyen Zylstra acquisition is deductible for tax purposes.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October 1, 2025, we acquired all of the issued and outstanding shares of capital stock of Meisner Electric, Inc. (“Meisner”), headquartered in Florida, for a total preliminary purchase price of $74.9 million, which included $64.5 million of cash paid on the closing date, $5.0 million in notes payable to the former owners, and a working capital adjustment. Meisner operates in Florida and provides greenfield construction services and electrical design, installation, and renovation services primarily to the healthcare, commercial, and government sectors. As a result of the acquisition, Meisner is a wholly owned subsidiary of the Company reported in our electrical segment. The goodwill recognized as a result of the Meisner acquisition is not deductible for tax purposes.</w:t>
      </w:r>
    </w:p>
    <w:p>
      <w:pPr>
        <w:pStyle w:val="TextBody"/>
        <w:shd w:fill="FFFFFF" w:val="clear"/>
        <w:bidi w:val="0"/>
        <w:spacing w:before="100" w:after="10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31, 2025, we acquired all of the issued and outstanding shares of capital stock of a mechanical service provider in New York for a total purchase price of $2.8 million, which is reported in our mechanical segment. The goodwill recognized as a result of this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May 1, 2025, we acquired all of the issued and outstanding membership interests of Right Way Plumbing &amp; Mechanical LLC (“Right Way”), headquartered in Florida, for a total purchase price of $65.0 million, which included $49.5 million of cash paid on the closing date, $5.0 million in notes payable to the former owners, an earn-out that will be paid if certain financial targets are met after the acquisition date, and a working capital adjustment. Right Way operates in the Southeastern United States and provides plumbing installation and maintenance services. As a result of the acquisition, Right Way is included in our mechanical segment. The goodwill recognized as a result of the Right Way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 2025, we acquired all of the issued and outstanding membership interests of Century Contractors, LLC (“Century”), headquartered in North Carolina, for a total purchase price of $84.2 million, which included $73.1 million of cash paid on the closing date, $5.5 million in notes payable to the former owners, an earn-out that will be paid if certain financial targets are met after the acquisition date, and a working capital adjustment. Century operates in the Southeastern United States and specializes in self-performing mechanical installation, pipe fabrication and installation, steel erection, equipment setting, and concrete installations. As a result of the acquisition, Century is a wholly owned subsidiary of the Company reported in our mechanical segment. The goodwill recognized as a result of the Century acquisition is deductible for tax purposes.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results of operations of acquisitions are included in our consolidated financial statements from their respective acquisition dates. Our Consolidated Balance Sheets include preliminary allocations of the purchase price to the assets acquired and liabilities assumed for the applicable acquisitions pending the completion of the final valuation of intangible assets and accrued liabilities. The acquisitions completed in the current and prior year, respectively, were not material either individually or in the aggregate. Additional contingent purchase price (“earn-out”) has been or will be paid if certain acquisitions achieve predetermined profitability targets. Such earn-outs, when they are not subject to the continued employment of the sellers, are estimated as of the purchase date and included as part of the consideration paid for the acquisition. If we have an earn-out under which continued employment is a condition to receipt of payment, then the earn-out is recorded as compensation expense over the period earned. </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92" w:name="Tc_ptlY1a_k40mB-n-3H345Xg_8_2"/>
      <w:bookmarkStart w:id="993" w:name="Tc_kSt55b7RJU20-bqZ3v9McQ_8_0"/>
      <w:bookmarkStart w:id="994" w:name="Tc_-TzujeO5u0-v7u0yrvi0QQ_7_0"/>
      <w:bookmarkStart w:id="995" w:name="Tc_nAlrI5-1Qk6lVk1H8WZXXQ_6_0"/>
      <w:bookmarkStart w:id="996" w:name="Tc_zYoGcJclqk6WZJhHaLyTMw_5_0"/>
      <w:bookmarkStart w:id="997" w:name="Tc_zMsLkVTNzEmJ9a3S0-3ifQ_4_0"/>
      <w:bookmarkStart w:id="998" w:name="Tc_hTMuAKFc3UKaOT6_a3QnuA_3_0"/>
      <w:bookmarkStart w:id="999" w:name="Tc_J-U7nr-n_kOk3w5RW_VsjA_2_2"/>
      <w:bookmarkStart w:id="1000" w:name="Tc_6jIogvnOw0eMXqqPwOIzQA_2_0"/>
      <w:bookmarkStart w:id="1001" w:name="Tc_20ozanVmX0a2mkBDYCHD5g_1_0"/>
      <w:bookmarkStart w:id="1002" w:name="_aa58815d_0025_40c8_aaed_e2743c6e7464"/>
      <w:bookmarkStart w:id="1003" w:name="Tc_lonnsWjmRESyRLjJEDukog_6_8"/>
      <w:bookmarkStart w:id="1004" w:name="Tc_lXvCUq0SvUmRm42GiO6Oag_6_5"/>
      <w:bookmarkStart w:id="1005" w:name="Tc_7sb3lvrzNk25N0Nlh5eVsw_6_2"/>
      <w:bookmarkStart w:id="1006" w:name="Tc_P-S_KC3PYEW93iKKb2xv7w_6_0"/>
      <w:bookmarkStart w:id="1007" w:name="Tc_AysRfJ2eT02y-N02wCHHvA_5_0"/>
      <w:bookmarkStart w:id="1008" w:name="Tc_ScLuP9pF8ECkxtifZdfNgg_4_0"/>
      <w:bookmarkStart w:id="1009" w:name="Tc_LK6-1z44BUWpk27AYsIVSA_3_0"/>
      <w:bookmarkStart w:id="1010" w:name="Tc__2_igzGiIkWlKcCX4meMpQ_2_8"/>
      <w:bookmarkStart w:id="1011" w:name="Tc_ucMZSTklWk-3sXB-BMYceA_2_5"/>
      <w:bookmarkStart w:id="1012" w:name="Tc_h-qWKiDlCUm4zI-xW_3HpA_2_2"/>
      <w:bookmarkStart w:id="1013" w:name="Tc_hLTeMPWJ2kqV0D_X07hGKw_2_0"/>
      <w:bookmarkStart w:id="1014" w:name="Tc_58KmOA15JkSemz1TFx9jgw_1_8"/>
      <w:bookmarkStart w:id="1015" w:name="Tc_Ev_ITVcupEmmnh0gIDGGjQ_1_5"/>
      <w:bookmarkStart w:id="1016" w:name="Tc_QnIZy5XJsUeElTeT8tjnbw_1_2"/>
      <w:bookmarkStart w:id="1017" w:name="_ff0040db_08ba_4166_a7ee_aba778466585"/>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r>
        <w:rPr>
          <w:rFonts w:ascii="Times New Roman;Times;serif" w:hAnsi="Times New Roman;Times;serif"/>
          <w:b/>
          <w:sz w:val="20"/>
        </w:rPr>
        <w:t>6. Goodwill and Identifiable Intangible Assets, Net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the carrying amount of goodwill are as follows (in thousands):</w:t>
      </w:r>
    </w:p>
    <w:p>
      <w:pPr>
        <w:pStyle w:val="TextBody"/>
        <w:bidi w:val="0"/>
        <w:spacing w:before="0" w:after="0"/>
        <w:ind w:left="0" w:right="0" w:firstLine="720"/>
        <w:jc w:val="left"/>
        <w:rPr/>
      </w:pPr>
      <w:r>
        <w:rPr/>
        <w:t>​</w:t>
      </w:r>
    </w:p>
    <w:tbl>
      <w:tblPr>
        <w:tblW w:w="10111" w:type="dxa"/>
        <w:jc w:val="left"/>
        <w:tblInd w:w="0" w:type="dxa"/>
        <w:tblLayout w:type="fixed"/>
        <w:tblCellMar>
          <w:top w:w="0" w:type="dxa"/>
          <w:left w:w="0" w:type="dxa"/>
          <w:bottom w:w="0" w:type="dxa"/>
          <w:right w:w="0" w:type="dxa"/>
        </w:tblCellMar>
      </w:tblPr>
      <w:tblGrid>
        <w:gridCol w:w="4771"/>
        <w:gridCol w:w="346"/>
        <w:gridCol w:w="338"/>
        <w:gridCol w:w="1252"/>
        <w:gridCol w:w="346"/>
        <w:gridCol w:w="309"/>
        <w:gridCol w:w="1146"/>
        <w:gridCol w:w="346"/>
        <w:gridCol w:w="211"/>
        <w:gridCol w:w="1046"/>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029585" cy="175260"/>
                      <wp:effectExtent l="0" t="0" r="0" b="0"/>
                      <wp:wrapNone/>
                      <wp:docPr id="106" name="Frame106"/>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4630" cy="175260"/>
                      <wp:effectExtent l="0" t="0" r="0" b="0"/>
                      <wp:wrapNone/>
                      <wp:docPr id="108" name="Frame108"/>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795020" cy="175260"/>
                      <wp:effectExtent l="0" t="0" r="0" b="0"/>
                      <wp:wrapNone/>
                      <wp:docPr id="109" name="Frame109"/>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96215" cy="175260"/>
                      <wp:effectExtent l="0" t="0" r="0" b="0"/>
                      <wp:wrapNone/>
                      <wp:docPr id="111" name="Frame111"/>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27710" cy="175260"/>
                      <wp:effectExtent l="0" t="0" r="0" b="0"/>
                      <wp:wrapNone/>
                      <wp:docPr id="112" name="Frame112"/>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64210" cy="175260"/>
                      <wp:effectExtent l="0" t="0" r="0" b="0"/>
                      <wp:wrapNone/>
                      <wp:docPr id="115" name="Frame115"/>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center"/>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601,512</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273,758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875,270</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 and purchase price adjustments (See Note 5)</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52,897</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97,348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150,245</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654,409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371,106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1,025,515</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 and purchase price adjustments (See Note 5)</w:t>
            </w:r>
          </w:p>
        </w:tc>
        <w:tc>
          <w:tcPr>
            <w:tcW w:w="346" w:type="dxa"/>
            <w:tcBorders/>
            <w:vAlign w:val="center"/>
          </w:tcPr>
          <w:p>
            <w:pPr>
              <w:pStyle w:val="TableContents"/>
              <w:bidi w:val="0"/>
              <w:spacing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75,960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75,960</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3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654,409</w:t>
            </w:r>
          </w:p>
        </w:tc>
        <w:tc>
          <w:tcPr>
            <w:tcW w:w="346"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447,066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1,101,475</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Identifiable Intangible Assets, Net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2026, future amortization expense of identifiable intangible assets is as follows (in thousands):</w:t>
      </w:r>
    </w:p>
    <w:p>
      <w:pPr>
        <w:pStyle w:val="TextBody"/>
        <w:bidi w:val="0"/>
        <w:spacing w:before="0" w:after="0"/>
        <w:ind w:left="0" w:right="0" w:hanging="0"/>
        <w:jc w:val="left"/>
        <w:rPr/>
      </w:pPr>
      <w:r>
        <w:rPr/>
        <w:t>​</w:t>
      </w:r>
    </w:p>
    <w:tbl>
      <w:tblPr>
        <w:tblW w:w="3923" w:type="dxa"/>
        <w:jc w:val="left"/>
        <w:tblInd w:w="0" w:type="dxa"/>
        <w:tblLayout w:type="fixed"/>
        <w:tblCellMar>
          <w:top w:w="0" w:type="dxa"/>
          <w:left w:w="0" w:type="dxa"/>
          <w:bottom w:w="0" w:type="dxa"/>
          <w:right w:w="0" w:type="dxa"/>
        </w:tblCellMar>
      </w:tblPr>
      <w:tblGrid>
        <w:gridCol w:w="2416"/>
        <w:gridCol w:w="346"/>
        <w:gridCol w:w="226"/>
        <w:gridCol w:w="781"/>
        <w:gridCol w:w="154"/>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34160" cy="175260"/>
                      <wp:effectExtent l="0" t="0" r="0" b="0"/>
                      <wp:wrapNone/>
                      <wp:docPr id="116" name="Frame116"/>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3510" cy="175260"/>
                      <wp:effectExtent l="0" t="0" r="0" b="0"/>
                      <wp:wrapNone/>
                      <wp:docPr id="118" name="Frame11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495935" cy="175260"/>
                      <wp:effectExtent l="0" t="0" r="0" b="0"/>
                      <wp:wrapNone/>
                      <wp:docPr id="119"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7790" cy="175260"/>
                      <wp:effectExtent l="0" t="0" r="0" b="0"/>
                      <wp:wrapNone/>
                      <wp:docPr id="120" name="Frame12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  ​ ​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(remainder of the year)</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47,332</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81,587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70,629</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64,362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51,827</w:t>
            </w:r>
          </w:p>
        </w:tc>
        <w:tc>
          <w:tcPr>
            <w:tcW w:w="154" w:type="dxa"/>
            <w:tcBorders/>
            <w:vAlign w:val="center"/>
          </w:tcPr>
          <w:p>
            <w:pPr>
              <w:pStyle w:val="TableContents"/>
              <w:bidi w:val="0"/>
              <w:spacing w:before="0" w:after="0"/>
              <w:ind w:left="0" w:right="0" w:hanging="0"/>
              <w:jc w:val="left"/>
              <w:rPr/>
            </w:pPr>
            <w:r>
              <w:rPr/>
              <w:t>​</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534,580</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18" w:name="Tc_KdbFm2JK3kSxqZHG4ofGOw_7_5"/>
      <w:bookmarkStart w:id="1019" w:name="Tc_2xtB8a38Wkyk4ZchGjhm7w_7_2"/>
      <w:bookmarkStart w:id="1020" w:name="Tc_CfWWpkeuLEiqi5FU_OZe5A_7_0"/>
      <w:bookmarkStart w:id="1021" w:name="Tc_2sOnkSXE90CifmiuLew-Vg_6_0"/>
      <w:bookmarkStart w:id="1022" w:name="Tc_N41pfqDj4UalJaWvgAD4Jw_5_0"/>
      <w:bookmarkStart w:id="1023" w:name="Tc_mxrc-2QaEkeqWOZa2uVWhg_4_0"/>
      <w:bookmarkStart w:id="1024" w:name="Tc_Xx66Q7fRMU2lWyi8AvQ6xg_3_0"/>
      <w:bookmarkStart w:id="1025" w:name="Tc_KfXiGVW0TEyuNH0MFBUzoA_2_5"/>
      <w:bookmarkStart w:id="1026" w:name="Tc_LCgQeURnwkCb8qkXKaY_Zw_2_3"/>
      <w:bookmarkStart w:id="1027" w:name="Tc_Mt6RR9vbHEen4nZJnQXGMQ_2_2"/>
      <w:bookmarkStart w:id="1028" w:name="Tc_370wdNCJ2kaRHlLszjBXSQ_2_0"/>
      <w:bookmarkStart w:id="1029" w:name="Tc_nI-CxtGYjUG5NFb1GNd_XQ_1_5"/>
      <w:bookmarkStart w:id="1030" w:name="Tc_Zoot9692mEmA968r_AWaYQ_1_2"/>
      <w:bookmarkStart w:id="1031" w:name="_45c0daac_3c47_42f8_a9e0_de14591cbaf9"/>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r>
        <w:rPr>
          <w:rFonts w:ascii="Times New Roman;Times;serif" w:hAnsi="Times New Roman;Times;serif"/>
          <w:b/>
          <w:sz w:val="20"/>
        </w:rPr>
        <w:t>7. Debt Obligations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Debt obligations consist of the following (in thousands):</w:t>
      </w:r>
    </w:p>
    <w:p>
      <w:pPr>
        <w:pStyle w:val="TextBody"/>
        <w:bidi w:val="0"/>
        <w:spacing w:before="0" w:after="0"/>
        <w:ind w:left="0" w:right="0" w:hanging="0"/>
        <w:jc w:val="left"/>
        <w:rPr/>
      </w:pPr>
      <w:r>
        <w:rPr/>
        <w:t>​</w:t>
      </w:r>
    </w:p>
    <w:tbl>
      <w:tblPr>
        <w:tblW w:w="6164" w:type="dxa"/>
        <w:jc w:val="left"/>
        <w:tblInd w:w="0" w:type="dxa"/>
        <w:tblLayout w:type="fixed"/>
        <w:tblCellMar>
          <w:top w:w="0" w:type="dxa"/>
          <w:left w:w="0" w:type="dxa"/>
          <w:bottom w:w="0" w:type="dxa"/>
          <w:right w:w="0" w:type="dxa"/>
        </w:tblCellMar>
      </w:tblPr>
      <w:tblGrid>
        <w:gridCol w:w="2656"/>
        <w:gridCol w:w="346"/>
        <w:gridCol w:w="267"/>
        <w:gridCol w:w="858"/>
        <w:gridCol w:w="346"/>
        <w:gridCol w:w="319"/>
        <w:gridCol w:w="1181"/>
        <w:gridCol w:w="191"/>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686560" cy="175260"/>
                      <wp:effectExtent l="0" t="0" r="0" b="0"/>
                      <wp:wrapNone/>
                      <wp:docPr id="121" name="Frame12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69545" cy="175260"/>
                      <wp:effectExtent l="0" t="0" r="0" b="0"/>
                      <wp:wrapNone/>
                      <wp:docPr id="123" name="Frame12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44830" cy="175260"/>
                      <wp:effectExtent l="0" t="0" r="0" b="0"/>
                      <wp:wrapNone/>
                      <wp:docPr id="124" name="Frame124"/>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2565" cy="175260"/>
                      <wp:effectExtent l="0" t="0" r="0" b="0"/>
                      <wp:wrapNone/>
                      <wp:docPr id="126" name="Frame126"/>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749935" cy="175260"/>
                      <wp:effectExtent l="0" t="0" r="0" b="0"/>
                      <wp:wrapNone/>
                      <wp:docPr id="127" name="Frame127"/>
                      <a:graphic xmlns:a="http://schemas.openxmlformats.org/drawingml/2006/main">
                        <a:graphicData uri="http://schemas.microsoft.com/office/word/2010/wordprocessingShape">
                          <wps:wsp>
                            <wps:cNvSpPr txBox="1"/>
                            <wps:spPr>
                              <a:xfrm>
                                <a:off x="0" y="0"/>
                                <a:ext cx="74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1285" cy="175260"/>
                      <wp:effectExtent l="0" t="0" r="0" b="0"/>
                      <wp:wrapNone/>
                      <wp:docPr id="128" name="Frame12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91" w:type="dxa"/>
            <w:tcBorders/>
            <w:vAlign w:val="center"/>
          </w:tcPr>
          <w:p>
            <w:pPr>
              <w:pStyle w:val="TableContents"/>
              <w:bidi w:val="0"/>
              <w:spacing w:before="0" w:after="0"/>
              <w:ind w:left="0" w:right="0" w:hanging="0"/>
              <w:jc w:val="left"/>
              <w:rPr/>
            </w:pPr>
            <w:r>
              <w:rPr/>
              <w:t> </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Notes to former owners</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53,450</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right"/>
              <w:rPr/>
            </w:pPr>
            <w:r>
              <w:rPr/>
              <w:t> </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44,575</w:t>
            </w:r>
          </w:p>
        </w:tc>
        <w:tc>
          <w:tcPr>
            <w:tcW w:w="1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debt</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54,064</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right"/>
              <w:rPr/>
            </w:pPr>
            <w:r>
              <w:rPr/>
              <w:t>​</w:t>
            </w:r>
          </w:p>
        </w:tc>
        <w:tc>
          <w:tcPr>
            <w:tcW w:w="11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145,226</w:t>
            </w:r>
          </w:p>
        </w:tc>
        <w:tc>
          <w:tcPr>
            <w:tcW w:w="191" w:type="dxa"/>
            <w:tcBorders/>
            <w:vAlign w:val="center"/>
          </w:tcPr>
          <w:p>
            <w:pPr>
              <w:pStyle w:val="TableContents"/>
              <w:bidi w:val="0"/>
              <w:spacing w:before="0" w:after="0"/>
              <w:ind w:left="0" w:right="0" w:hanging="0"/>
              <w:jc w:val="left"/>
              <w:rPr/>
            </w:pPr>
            <w:r>
              <w:rPr/>
              <w: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portion of debt</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53,849</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139,063</w:t>
            </w:r>
          </w:p>
        </w:tc>
        <w:tc>
          <w:tcPr>
            <w:tcW w:w="191" w:type="dxa"/>
            <w:tcBorders/>
            <w:vAlign w:val="center"/>
          </w:tcPr>
          <w:p>
            <w:pPr>
              <w:pStyle w:val="TableContents"/>
              <w:bidi w:val="0"/>
              <w:spacing w:before="0" w:after="0"/>
              <w:ind w:left="24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Revolving Credit Facility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27, 2025, we amended our senior credit facility (as amended, the “Facility”) arranged by Wells Fargo Bank, National Association, as administrative agent, and provided by a syndicate of banks, which increases our borrowing capacity from $850.0 million to $1.10 billion. The Facility is composed of a revolving credit line guaranteed by certain of our subsidiaries, in the amount of $1.10 billion. The Facility also provides for an accordion or increase option not to exceed the greater of (a) $500.0 million and (b) 1.0x Credit Facility Adjusted EBITDA (as defined in the Facility), in the form of additional revolving commitments or incremental term loans. The line of credit includes a sublimit for up to $200.0 million of letters of credit and a sublimit for up to $75.0 million of swingline loans. The Facility expires on October 1, 2030 and is secured by a first lien on substantially all of our personal property, except for assets related to projects subject to surety bonds and the equity of and assets held by certain unrestricted subsidiaries and our wholly owned captive insurance company and a second lien on our assets related to projects subject to surety bonds. As a result of the amendment, $0.3 million of unamortized costs associated with lenders who exited the Facility were written off to interest expense in the third quarter of 2025. The remaining $1.0 million of unamortized costs from the previous facility will be deferred and amortized over the term of the new Facility. In 2025, we incurred approximately $3.7 million in financing and professional costs in connection with the amendment to the Facility, which, combined with previously unamortized costs of $1.0 million, are being amortized on a straight-line basis as a non-cash charge to interest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32" w:name="Tc_505tsG668kmzWRBSJDPf6w_6_2"/>
      <w:bookmarkStart w:id="1033" w:name="Tc_iL3a30QTaUeuFPFtfCn9qQ_6_0"/>
      <w:bookmarkStart w:id="1034" w:name="Tc_dfrTqTeSIkSa7WUMvaPsyg_5_6"/>
      <w:bookmarkStart w:id="1035" w:name="Tc_4CEG78ys3EKM81XS_BLqug_5_0"/>
      <w:bookmarkStart w:id="1036" w:name="Tc_9B_gcoZJd0-X6uYau2zcBg_4_6"/>
      <w:bookmarkStart w:id="1037" w:name="Tc_vbP4As9_4k2b3m7FC8AdLQ_4_5"/>
      <w:bookmarkStart w:id="1038" w:name="Tc_zjBySEULGEOQhYDaQverMw_4_0"/>
      <w:bookmarkStart w:id="1039" w:name="Tc_oJ34r5rMukGyr6qNQKq-Qg_3_6"/>
      <w:bookmarkStart w:id="1040" w:name="Tc_vUbnl_BWfU6VsJcxA2sCHQ_3_5"/>
      <w:bookmarkStart w:id="1041" w:name="Tc_ctKI3pTBUkSlPV7LEmNoqA_3_2"/>
      <w:bookmarkStart w:id="1042" w:name="Tc_AfQb0A2Vb0OtNtCXu0nF8A_3_0"/>
      <w:bookmarkStart w:id="1043" w:name="Tc_yezlVaZ3zUqbALAS2Xb6HA_2_5"/>
      <w:bookmarkStart w:id="1044" w:name="Tc_INXyiVnmVEmj8mHHT9yBSg_2_2"/>
      <w:bookmarkStart w:id="1045" w:name="Tc_y9MwZF02T0my8tssfFpr_A_1_5"/>
      <w:bookmarkStart w:id="1046" w:name="Tc_IGkSKVYGNkmFICz8T5c7ig_1_2"/>
      <w:bookmarkStart w:id="1047" w:name="Tc_niSL67BSjkuNpqAeCAmGLw_5_11"/>
      <w:bookmarkStart w:id="1048" w:name="Tc_eHsrwh4BYkK3JRxoWsLBgw_5_9"/>
      <w:bookmarkStart w:id="1049" w:name="Tc_IVwWeLitR0-3ZHEdHkS2Ag_5_7"/>
      <w:bookmarkStart w:id="1050" w:name="Tc_D8SJJkDA0UusvtISzmhPOA_5_5"/>
      <w:bookmarkStart w:id="1051" w:name="Tc_hFMcRCTBp02F-uDHUH6pIQ_5_3"/>
      <w:bookmarkStart w:id="1052" w:name="Tc_2blAyG3ekUCkgfJm2N84zQ_5_0"/>
      <w:bookmarkStart w:id="1053" w:name="Tc_4sNHW7aThUaUr02iPZBl9g_4_11"/>
      <w:bookmarkStart w:id="1054" w:name="Tc_PHLpsli8wkC51JqJA_Y4XA_4_9"/>
      <w:bookmarkStart w:id="1055" w:name="Tc_eTdOwlQVRE-JN3W91baZLw_4_7"/>
      <w:bookmarkStart w:id="1056" w:name="Tc_otX3TsS7i0OU-V5Q_DCOSw_4_5"/>
      <w:bookmarkStart w:id="1057" w:name="Tc_NcQayDy3VEi1ItpnmnaZIw_4_3"/>
      <w:bookmarkStart w:id="1058" w:name="Tc_Zc3LU-124U-C8TdYecUCtQ_4_0"/>
      <w:bookmarkStart w:id="1059" w:name="Tc_2HPycV-yq0K1bgfAB1Y_JA_3_0"/>
      <w:bookmarkStart w:id="1060" w:name="Tc_IIrEmTVNmEqV2ylVehumTA_2_10"/>
      <w:bookmarkStart w:id="1061" w:name="Tc_6MSYxHgFOU-KoJ8iUXVcdw_2_8"/>
      <w:bookmarkStart w:id="1062" w:name="Tc_pGLEgW5REkWKuq3b_svGeA_2_6"/>
      <w:bookmarkStart w:id="1063" w:name="Tc_RLEbxFyhM0ycea16bSbY0Q_2_4"/>
      <w:bookmarkStart w:id="1064" w:name="Tc_xBGfos33REGbH0ylOyxvmw_2_2"/>
      <w:bookmarkStart w:id="1065" w:name="Tc_QctWLBry7E68i7et7pMHqg_1_2"/>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ascii="Times New Roman;Times;serif" w:hAnsi="Times New Roman;Times;serif"/>
          <w:sz w:val="20"/>
        </w:rPr>
        <w:t>expense over the remaining term of the Facility. As of June 30, 2026, we had no outstanding borrowings on the revolving credit facility, $87.8 million in letters of credit outstanding, and $1.01 billion of credit available.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are two interest rate options for borrowings under the Facility, the Base Rate Loan (as defined in the Facility) option and the Secured Overnight Financing Rate (“SOFR”) Loan option. </w:t>
      </w:r>
      <w:r>
        <w:rPr>
          <w:rFonts w:ascii="Times New Roman;Times;serif" w:hAnsi="Times New Roman;Times;serif"/>
          <w:sz w:val="20"/>
          <w:shd w:fill="FFFFFF" w:val="clear"/>
        </w:rPr>
        <w:t>These interest rates are floating rates determined by the broad financial markets, meaning they can and do move up and down from time to time. </w:t>
      </w:r>
      <w:r>
        <w:rPr>
          <w:rFonts w:ascii="Times New Roman;Times;serif" w:hAnsi="Times New Roman;Times;serif"/>
          <w:sz w:val="20"/>
        </w:rPr>
        <w:t>Additional margins are then added to these two interest rates: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822"/>
        <w:gridCol w:w="346"/>
        <w:gridCol w:w="826"/>
        <w:gridCol w:w="346"/>
        <w:gridCol w:w="1291"/>
        <w:gridCol w:w="361"/>
        <w:gridCol w:w="1157"/>
        <w:gridCol w:w="361"/>
        <w:gridCol w:w="1157"/>
        <w:gridCol w:w="271"/>
        <w:gridCol w:w="948"/>
        <w:gridCol w:w="319"/>
      </w:tblGrid>
      <w:tr>
        <w:trPr/>
        <w:tc>
          <w:tcPr>
            <w:tcW w:w="2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791970" cy="175260"/>
                      <wp:effectExtent l="0" t="0" r="0" b="0"/>
                      <wp:wrapNone/>
                      <wp:docPr id="129" name="Frame129"/>
                      <a:graphic xmlns:a="http://schemas.openxmlformats.org/drawingml/2006/main">
                        <a:graphicData uri="http://schemas.microsoft.com/office/word/2010/wordprocessingShape">
                          <wps:wsp>
                            <wps:cNvSpPr txBox="1"/>
                            <wps:spPr>
                              <a:xfrm>
                                <a:off x="0" y="0"/>
                                <a:ext cx="179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24510" cy="175260"/>
                      <wp:effectExtent l="0" t="0" r="0" b="0"/>
                      <wp:wrapNone/>
                      <wp:docPr id="131" name="Frame13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819785" cy="175260"/>
                      <wp:effectExtent l="0" t="0" r="0" b="0"/>
                      <wp:wrapNone/>
                      <wp:docPr id="133" name="Frame133"/>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29235" cy="175260"/>
                      <wp:effectExtent l="0" t="0" r="0" b="0"/>
                      <wp:wrapNone/>
                      <wp:docPr id="134" name="Frame1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34695" cy="175260"/>
                      <wp:effectExtent l="0" t="0" r="0" b="0"/>
                      <wp:wrapNone/>
                      <wp:docPr id="135" name="Frame135"/>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9235" cy="175260"/>
                      <wp:effectExtent l="0" t="0" r="0" b="0"/>
                      <wp:wrapNone/>
                      <wp:docPr id="136" name="Frame1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34695" cy="175260"/>
                      <wp:effectExtent l="0" t="0" r="0" b="0"/>
                      <wp:wrapNone/>
                      <wp:docPr id="137" name="Frame137"/>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2085" cy="175260"/>
                      <wp:effectExtent l="0" t="0" r="0" b="0"/>
                      <wp:wrapNone/>
                      <wp:docPr id="138" name="Frame13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01980" cy="175260"/>
                      <wp:effectExtent l="0" t="0" r="0" b="0"/>
                      <wp:wrapNone/>
                      <wp:docPr id="139" name="Frame139"/>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2565" cy="175260"/>
                      <wp:effectExtent l="0" t="0" r="0" b="0"/>
                      <wp:wrapNone/>
                      <wp:docPr id="140" name="Frame14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18"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Leverage Ratio</w:t>
            </w:r>
          </w:p>
        </w:tc>
        <w:tc>
          <w:tcPr>
            <w:tcW w:w="319" w:type="dxa"/>
            <w:tcBorders/>
            <w:vAlign w:val="center"/>
          </w:tcPr>
          <w:p>
            <w:pPr>
              <w:pStyle w:val="TableContents"/>
              <w:bidi w:val="0"/>
              <w:spacing w:before="0" w:after="0"/>
              <w:ind w:left="0" w:right="0" w:hanging="0"/>
              <w:jc w:val="center"/>
              <w:rPr/>
            </w:pPr>
            <w:r>
              <w:rPr/>
              <w:t>​</w:t>
            </w:r>
          </w:p>
        </w:tc>
      </w:tr>
      <w:tr>
        <w:trPr/>
        <w:tc>
          <w:tcPr>
            <w:tcW w:w="28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 </w:t>
              <w:br/>
              <w:t>1.00</w:t>
            </w:r>
          </w:p>
        </w:tc>
        <w:tc>
          <w:tcPr>
            <w:tcW w:w="346" w:type="dxa"/>
            <w:tcBorders/>
            <w:vAlign w:val="center"/>
          </w:tcPr>
          <w:p>
            <w:pPr>
              <w:pStyle w:val="TableContents"/>
              <w:bidi w:val="0"/>
              <w:spacing w:before="0" w:after="0"/>
              <w:ind w:left="0" w:right="0" w:hanging="0"/>
              <w:jc w:val="center"/>
              <w:rPr/>
            </w:pPr>
            <w:r>
              <w:rPr/>
              <w:t>  ​ ​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1.00 to less than 1.75</w:t>
            </w:r>
          </w:p>
        </w:tc>
        <w:tc>
          <w:tcPr>
            <w:tcW w:w="361" w:type="dxa"/>
            <w:tcBorders/>
            <w:vAlign w:val="center"/>
          </w:tcPr>
          <w:p>
            <w:pPr>
              <w:pStyle w:val="TableContents"/>
              <w:bidi w:val="0"/>
              <w:spacing w:before="0" w:after="0"/>
              <w:ind w:left="0" w:right="0" w:hanging="0"/>
              <w:jc w:val="left"/>
              <w:rPr/>
            </w:pPr>
            <w:r>
              <w:rPr/>
              <w:t>  ​ ​ ​</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1.75 to less than 2.50</w:t>
            </w:r>
          </w:p>
        </w:tc>
        <w:tc>
          <w:tcPr>
            <w:tcW w:w="361" w:type="dxa"/>
            <w:tcBorders/>
            <w:vAlign w:val="center"/>
          </w:tcPr>
          <w:p>
            <w:pPr>
              <w:pStyle w:val="TableContents"/>
              <w:bidi w:val="0"/>
              <w:spacing w:before="0" w:after="0"/>
              <w:ind w:left="0" w:right="0" w:hanging="0"/>
              <w:jc w:val="left"/>
              <w:rPr/>
            </w:pPr>
            <w:r>
              <w:rPr/>
              <w:t>  ​ ​ ​</w:t>
            </w:r>
          </w:p>
        </w:tc>
        <w:tc>
          <w:tcPr>
            <w:tcW w:w="11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2.50 to less than 3.00</w:t>
            </w:r>
          </w:p>
        </w:tc>
        <w:tc>
          <w:tcPr>
            <w:tcW w:w="271" w:type="dxa"/>
            <w:tcBorders/>
            <w:vAlign w:val="center"/>
          </w:tcPr>
          <w:p>
            <w:pPr>
              <w:pStyle w:val="TableContents"/>
              <w:bidi w:val="0"/>
              <w:spacing w:before="0" w:after="0"/>
              <w:ind w:left="0" w:right="0" w:hanging="0"/>
              <w:jc w:val="left"/>
              <w:rPr/>
            </w:pPr>
            <w:r>
              <w:rPr/>
              <w:t> </w:t>
            </w:r>
          </w:p>
        </w:tc>
        <w:tc>
          <w:tcPr>
            <w:tcW w:w="9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3.00 or greater</w:t>
            </w:r>
          </w:p>
        </w:tc>
        <w:tc>
          <w:tcPr>
            <w:tcW w:w="319" w:type="dxa"/>
            <w:tcBorders/>
            <w:vAlign w:val="center"/>
          </w:tcPr>
          <w:p>
            <w:pPr>
              <w:pStyle w:val="TableContents"/>
              <w:bidi w:val="0"/>
              <w:spacing w:before="0" w:after="0"/>
              <w:ind w:left="0" w:right="0" w:hanging="0"/>
              <w:jc w:val="left"/>
              <w:rPr/>
            </w:pPr>
            <w:r>
              <w:rPr/>
              <w:t>​</w:t>
            </w:r>
          </w:p>
        </w:tc>
      </w:tr>
      <w:tr>
        <w:trPr/>
        <w:tc>
          <w:tcPr>
            <w:tcW w:w="28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Per Annum Interest Margin Added Under:</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157"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28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 Rate Loan Option</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0.00 </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SOFR Loan Option</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outstanding borrowings on the revolving credit facility as of June 30, 2026. The weighted-average interest rate applicable to the borrowings under the revolving credit facility was approximately 5.0% as of December 31,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 The letter of credit fees range from 1.00% to 2.00% per annum, based on the Net Leverage Ratio.</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Commitment fees are payable on the portion of the revolving loan capacity not in use for borrowings or letters of credit at any given time. These fees range from 0.15% to 0.25% per annum, based on the Net Leverage Ratio.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Facility contains financial covenants defining various financial measures and the level of these measures with which we must comply. Covenant compliance is assessed as of each quarter end. We were in compliance with all of our financial covenants as of June 30, 2026.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Notes to Former Owners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outstanding notes to the former owners of our acquired companies. Together, these notes had an outstanding balance of $53.5 million as of June 30, 2026. On June 30, 2026, future principal payments of notes to former owners by maturity year were as follows (dollars in thousands):</w:t>
      </w:r>
    </w:p>
    <w:p>
      <w:pPr>
        <w:pStyle w:val="TextBody"/>
        <w:bidi w:val="0"/>
        <w:spacing w:before="0" w:after="0"/>
        <w:ind w:left="0" w:right="0" w:hanging="0"/>
        <w:jc w:val="left"/>
        <w:rPr/>
      </w:pPr>
      <w:r>
        <w:rPr/>
        <w:t>​</w:t>
      </w:r>
    </w:p>
    <w:tbl>
      <w:tblPr>
        <w:tblW w:w="3456" w:type="dxa"/>
        <w:jc w:val="left"/>
        <w:tblInd w:w="0" w:type="dxa"/>
        <w:tblLayout w:type="fixed"/>
        <w:tblCellMar>
          <w:top w:w="0" w:type="dxa"/>
          <w:left w:w="0" w:type="dxa"/>
          <w:bottom w:w="0" w:type="dxa"/>
          <w:right w:w="0" w:type="dxa"/>
        </w:tblCellMar>
      </w:tblPr>
      <w:tblGrid>
        <w:gridCol w:w="556"/>
        <w:gridCol w:w="346"/>
        <w:gridCol w:w="267"/>
        <w:gridCol w:w="858"/>
        <w:gridCol w:w="109"/>
        <w:gridCol w:w="935"/>
        <w:gridCol w:w="385"/>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53060" cy="175260"/>
                      <wp:effectExtent l="0" t="0" r="0" b="0"/>
                      <wp:wrapNone/>
                      <wp:docPr id="141" name="Frame141"/>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9545" cy="175260"/>
                      <wp:effectExtent l="0" t="0" r="0" b="0"/>
                      <wp:wrapNone/>
                      <wp:docPr id="143" name="Frame14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44830" cy="175260"/>
                      <wp:effectExtent l="0" t="0" r="0" b="0"/>
                      <wp:wrapNone/>
                      <wp:docPr id="144" name="Frame144"/>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93725" cy="175260"/>
                      <wp:effectExtent l="0" t="0" r="0" b="0"/>
                      <wp:wrapNone/>
                      <wp:docPr id="146" name="Frame146"/>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44475" cy="175260"/>
                      <wp:effectExtent l="0" t="0" r="0" b="0"/>
                      <wp:wrapNone/>
                      <wp:docPr id="147" name="Frame147"/>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 of Stated</w: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Rates</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4.0 - 5.5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4.3 - 5.5</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53,450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
        </w:rPr>
      </w:pPr>
      <w:r>
        <w:rPr>
          <w:rFonts w:ascii="Times New Roman;Times;serif" w:hAnsi="Times New Roman;Times;serif"/>
          <w:sz w:val="2"/>
        </w:rPr>
        <w:t>F</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 Leases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lease certain facilities, vehicles and equipment primarily under noncancelable operating leases. The most significant portion of these noncancelable operating leases is for the facilities occupied by our corporate office and our operating locations. Leases with an initial term of 12 months or less are not recorded in the Consolidated Balance Sheets.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66" w:name="Tc_JyOUgKyNdEuYk14DJDH37g_10_2"/>
      <w:bookmarkStart w:id="1067" w:name="Tc_4esx49vNckOi5yWIVuamsQ_10_0"/>
      <w:bookmarkStart w:id="1068" w:name="Tc_DAZrsfJ8F0irehCbNxI6WA_9_0"/>
      <w:bookmarkStart w:id="1069" w:name="Tc_3YNiTcItWku7hqn656PPAA_8_0"/>
      <w:bookmarkStart w:id="1070" w:name="Tc_lQ9avwqfOkOQGpE4j0pvyQ_7_0"/>
      <w:bookmarkStart w:id="1071" w:name="Tc_CS9EjBjXCUS28ibpR8F6vw_6_0"/>
      <w:bookmarkStart w:id="1072" w:name="Tc_IvxHt6LbzkWy0dVJTawkHA_5_0"/>
      <w:bookmarkStart w:id="1073" w:name="Tc_3KRwbWiow0mumMkunkbFIQ_4_0"/>
      <w:bookmarkStart w:id="1074" w:name="Tc_Ubx7tY04UEWhW0a8eqz1Eg_3_0"/>
      <w:bookmarkStart w:id="1075" w:name="Tc_5TtTgPBaYUKkcyEjI1xjzw_2_2"/>
      <w:bookmarkStart w:id="1076" w:name="Tc_z9HmYjInn0y3I7z4YUHciQ_2_0"/>
      <w:bookmarkStart w:id="1077" w:name="Tc_tiJKdLLgQ0O8hhEdmbjjQQ_1_0"/>
      <w:bookmarkStart w:id="1078" w:name="_c341eaa3_b3b8_426f_8627_f54331ad036c"/>
      <w:bookmarkStart w:id="1079" w:name="Tc_KxTqOsfVDEmuFiTX2HElqw_6_4"/>
      <w:bookmarkStart w:id="1080" w:name="Tc_kfAZ4CrTvE6_QSQxF_oo8w_6_1"/>
      <w:bookmarkStart w:id="1081" w:name="Tc_NO1dtfOf_UCdV6ZHPLPAeQ_6_0"/>
      <w:bookmarkStart w:id="1082" w:name="Tc_eDtuVYDwXkSLA98nFR06-w_5_0"/>
      <w:bookmarkStart w:id="1083" w:name="Tc_2Ht99EAZNEq92v_rxCl1gw_4_4"/>
      <w:bookmarkStart w:id="1084" w:name="Tc_uGNWw3TYzUeDo6zwXlEdMQ_4_1"/>
      <w:bookmarkStart w:id="1085" w:name="Tc_wAH8fAdLHUORzM-pKozZgg_3_0"/>
      <w:bookmarkStart w:id="1086" w:name="Tc_UUxY8xZwek6jzzHZ6RAADg_2_4"/>
      <w:bookmarkStart w:id="1087" w:name="Tc_6yEei8SWg0mdFbw9JRItaA_2_1"/>
      <w:bookmarkStart w:id="1088" w:name="Tc_vWkjlWdOf0a8xsqNvGhV5w_2_0"/>
      <w:bookmarkStart w:id="1089" w:name="Tc_r4xZDfVaVUyCNVvLw47TVA_1_4"/>
      <w:bookmarkStart w:id="1090" w:name="Tc_dHEJfMUh_06_nj8tJ_BGVA_1_1"/>
      <w:bookmarkStart w:id="1091" w:name="_3ab3ce82_50b1_4b2d_8106_a65da6030339"/>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r>
        <w:rPr>
          <w:rFonts w:ascii="Times New Roman;Times;serif" w:hAnsi="Times New Roman;Times;serif"/>
          <w:sz w:val="20"/>
        </w:rPr>
        <w:t xml:space="preserve">We do not separate lease components from their associated non-lease components pursuant to lease accounting guidance. We have certain leases with variable payments based on an index as well as short-term leases on equipment and facilities. Variable lease expense and short-term lease expense aggregated to $62.1 million and $27.3 million for the three months ended June 30, 2026 and 2025, respectively. Variable lease expense and short-term lease expense aggregated to $110.2 million and $53.1 million in the first six months of 2026 and 2025, respectively. These expenses were primarily related to short-term equipment rentals. Lease right-of-use assets and liabilities are recognized at commencement date based on the present value of lease payments over the lease term. As most of our leases do not provide an implicit rate, we generally use our incremental borrowing rate based on the information available at commencement date in determining the present value of lease payments. The weighted-average discount rate for our operating leases as of June 30, 2026 and December 31, 2025 was 5.8% and 6.0%, respectively. We recognize operating lease expense, including escalating lease payments and lease incentives, on a straight-line basis over the lease term. Operating lease expense for the three months ended June 30, 2026 and 2025 was $78.4 million and $38.3 million, respectively. Operating lease expense for the six months ended June 30, 2026 and 2025 was $142.0 million and $75.2 million, respectively.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lease terms generally range from </w:t>
      </w: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 to 15 years. Some leases include one or more options to renew, which may be exercised to extend the lease term. We include the exercise of lease renewal options in the lease term when it is reasonably certain that we will exercise the option and such exercise is at our sole discretion. The weighted-average remaining lease term for our operating leases was 9.3 years at June 30, 2026 and 11.7 years at December 31, 2025.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majority of the Company’s real property leases are with individuals or entities with whom we have no other business relationship. However, in certain instances the Company enters into real property leases with current or former employees. Rent paid to related parties for the three months ended June 30, 2026 and 2025 was approximately $2.7 million and $2.5 million, respectively. Rent paid to related parties for the six months ended June 30, 2026 and 2025 was approximately $5.2 million and $5.0 million, respectively.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we decide to cancel or terminate a lease before the end of its term, we would typically owe the lessor the remaining lease payments under the term of the lease. Our lease agreements do not contain any material residual value guarantees or material restrictive covenants. On rare occasions, we rent or sublease certain real estate assets that we no longer use to third parties.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operating lease assets and liabilities included in the Consolidated Balance Sheets as follows (in thousands):</w:t>
      </w:r>
    </w:p>
    <w:p>
      <w:pPr>
        <w:pStyle w:val="TextBody"/>
        <w:bidi w:val="0"/>
        <w:spacing w:before="0" w:after="0"/>
        <w:ind w:left="0" w:right="0" w:firstLine="720"/>
        <w:jc w:val="left"/>
        <w:rPr/>
      </w:pPr>
      <w:r>
        <w:rPr/>
        <w:t>​</w:t>
      </w:r>
    </w:p>
    <w:tbl>
      <w:tblPr>
        <w:tblW w:w="5855" w:type="dxa"/>
        <w:jc w:val="left"/>
        <w:tblInd w:w="0" w:type="dxa"/>
        <w:tblLayout w:type="fixed"/>
        <w:tblCellMar>
          <w:top w:w="0" w:type="dxa"/>
          <w:left w:w="0" w:type="dxa"/>
          <w:bottom w:w="0" w:type="dxa"/>
          <w:right w:w="0" w:type="dxa"/>
        </w:tblCellMar>
      </w:tblPr>
      <w:tblGrid>
        <w:gridCol w:w="3076"/>
        <w:gridCol w:w="239"/>
        <w:gridCol w:w="886"/>
        <w:gridCol w:w="109"/>
        <w:gridCol w:w="294"/>
        <w:gridCol w:w="1251"/>
      </w:tblGrid>
      <w:tr>
        <w:trPr/>
        <w:tc>
          <w:tcPr>
            <w:tcW w:w="307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51765" cy="175260"/>
                      <wp:effectExtent l="0" t="0" r="0" b="0"/>
                      <wp:wrapNone/>
                      <wp:docPr id="148" name="Frame14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62610" cy="175260"/>
                      <wp:effectExtent l="0" t="0" r="0" b="0"/>
                      <wp:wrapNone/>
                      <wp:docPr id="149" name="Frame1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86690" cy="175260"/>
                      <wp:effectExtent l="0" t="0" r="0" b="0"/>
                      <wp:wrapNone/>
                      <wp:docPr id="151" name="Frame151"/>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94385" cy="175260"/>
                      <wp:effectExtent l="0" t="0" r="0" b="0"/>
                      <wp:wrapNone/>
                      <wp:docPr id="152" name="Frame152"/>
                      <a:graphic xmlns:a="http://schemas.openxmlformats.org/drawingml/2006/main">
                        <a:graphicData uri="http://schemas.microsoft.com/office/word/2010/wordprocessingShape">
                          <wps:wsp>
                            <wps:cNvSpPr txBox="1"/>
                            <wps:spPr>
                              <a:xfrm>
                                <a:off x="0" y="0"/>
                                <a:ext cx="79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299,638</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322,922</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239"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1251" w:type="dxa"/>
            <w:tcBorders/>
            <w:vAlign w:val="center"/>
          </w:tcPr>
          <w:p>
            <w:pPr>
              <w:pStyle w:val="TableContents"/>
              <w:bidi w:val="0"/>
              <w:spacing w:before="0" w:after="0"/>
              <w:ind w:left="0" w:right="0" w:hanging="0"/>
              <w:jc w:val="lef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41,876</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35,542</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273,969</w:t>
            </w:r>
          </w:p>
        </w:tc>
        <w:tc>
          <w:tcPr>
            <w:tcW w:w="109"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302,590</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315,845</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338,132</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maturities of operating lease liabilities are as follows (in thousands):</w:t>
      </w:r>
    </w:p>
    <w:p>
      <w:pPr>
        <w:pStyle w:val="TextBody"/>
        <w:bidi w:val="0"/>
        <w:spacing w:before="0" w:after="0"/>
        <w:ind w:left="0" w:right="0" w:hanging="0"/>
        <w:jc w:val="left"/>
        <w:rPr/>
      </w:pPr>
      <w:r>
        <w:rPr/>
        <w:t>​</w:t>
      </w:r>
    </w:p>
    <w:tbl>
      <w:tblPr>
        <w:tblW w:w="4777" w:type="dxa"/>
        <w:jc w:val="left"/>
        <w:tblInd w:w="0" w:type="dxa"/>
        <w:tblLayout w:type="fixed"/>
        <w:tblCellMar>
          <w:top w:w="0" w:type="dxa"/>
          <w:left w:w="0" w:type="dxa"/>
          <w:bottom w:w="0" w:type="dxa"/>
          <w:right w:w="0" w:type="dxa"/>
        </w:tblCellMar>
      </w:tblPr>
      <w:tblGrid>
        <w:gridCol w:w="3511"/>
        <w:gridCol w:w="109"/>
        <w:gridCol w:w="211"/>
        <w:gridCol w:w="94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229485" cy="175260"/>
                      <wp:effectExtent l="0" t="0" r="0" b="0"/>
                      <wp:wrapNone/>
                      <wp:docPr id="153" name="Frame153"/>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00710" cy="175260"/>
                      <wp:effectExtent l="0" t="0" r="0" b="0"/>
                      <wp:wrapNone/>
                      <wp:docPr id="156" name="Frame15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(remainder of the year)</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29,186</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56,437</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49,582</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43,275</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37,521</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201,067</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417,068</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Less—present value discount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(101,223)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315,845</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bookmarkStart w:id="1092" w:name="Tc_SAgAi_zaXUm6NGvuGy9qUA_4_10"/>
      <w:bookmarkStart w:id="1093" w:name="Tc_byx-LS8J4UawLTiigoeU1w_4_7"/>
      <w:bookmarkStart w:id="1094" w:name="Tc_Zmyq2WczdU-zY2GNU4GccA_4_4"/>
      <w:bookmarkStart w:id="1095" w:name="Tc_dK72LwYk7Ei-LpjjbdXfsA_4_1"/>
      <w:bookmarkStart w:id="1096" w:name="Tc_h5xhYiOjM0qbwfyAY2CVrw_4_0"/>
      <w:bookmarkStart w:id="1097" w:name="Tc_8AqFyEEBi0qwU1XtIT0MMA_3_10"/>
      <w:bookmarkStart w:id="1098" w:name="Tc_2FKv8Bpdx0m2fsFkXFIEDg_3_7"/>
      <w:bookmarkStart w:id="1099" w:name="Tc_xyuPGLfzi06jq79EjMrCvA_3_4"/>
      <w:bookmarkStart w:id="1100" w:name="Tc_sGpsZnh4CUOiCLGnQKIx2g_3_1"/>
      <w:bookmarkStart w:id="1101" w:name="Tc_-axslzwS6EmMF3VuQy9PpA_3_0"/>
      <w:bookmarkStart w:id="1102" w:name="Tc_2S7d9SagX0qwt27BVNJSWg_2_10"/>
      <w:bookmarkStart w:id="1103" w:name="Tc_SCXYV1Z1RkCQ1NuQ1cTLzA_2_7"/>
      <w:bookmarkStart w:id="1104" w:name="Tc_k9-OZVm7pUG3B8jNcbi-wQ_2_4"/>
      <w:bookmarkStart w:id="1105" w:name="Tc_oIskeYlclES18zy5AfQgtg_2_1"/>
      <w:bookmarkStart w:id="1106" w:name="Tc_4NKFF1ZOhkibI0T5cAV9Vw_1_7"/>
      <w:bookmarkStart w:id="1107" w:name="Tc_E6k0LVFGRkaXAD3pvswvuQ_1_1"/>
      <w:bookmarkStart w:id="1108" w:name="_8964c8c8_8680_42d6_ab42_3e0453e84769"/>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ascii="Times New Roman;Times;serif" w:hAnsi="Times New Roman;Times;serif"/>
          <w:sz w:val="20"/>
        </w:rPr>
        <w:t>Supplemental information related to operating leases was as follows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5501"/>
        <w:gridCol w:w="236"/>
        <w:gridCol w:w="880"/>
        <w:gridCol w:w="121"/>
        <w:gridCol w:w="236"/>
        <w:gridCol w:w="757"/>
        <w:gridCol w:w="346"/>
        <w:gridCol w:w="224"/>
        <w:gridCol w:w="719"/>
        <w:gridCol w:w="115"/>
        <w:gridCol w:w="224"/>
        <w:gridCol w:w="846"/>
      </w:tblGrid>
      <w:tr>
        <w:trPr/>
        <w:tc>
          <w:tcPr>
            <w:tcW w:w="5501"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9860" cy="175260"/>
                      <wp:effectExtent l="0" t="0" r="0" b="0"/>
                      <wp:wrapNone/>
                      <wp:docPr id="157" name="Frame157"/>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58800" cy="175260"/>
                      <wp:effectExtent l="0" t="0" r="0" b="0"/>
                      <wp:wrapNone/>
                      <wp:docPr id="158" name="Frame158"/>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6835" cy="175260"/>
                      <wp:effectExtent l="0" t="0" r="0" b="0"/>
                      <wp:wrapNone/>
                      <wp:docPr id="159" name="Frame159"/>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49860" cy="175260"/>
                      <wp:effectExtent l="0" t="0" r="0" b="0"/>
                      <wp:wrapNone/>
                      <wp:docPr id="160" name="Frame16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80695" cy="175260"/>
                      <wp:effectExtent l="0" t="0" r="0" b="0"/>
                      <wp:wrapNone/>
                      <wp:docPr id="161" name="Frame161"/>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2240" cy="175260"/>
                      <wp:effectExtent l="0" t="0" r="0" b="0"/>
                      <wp:wrapNone/>
                      <wp:docPr id="163" name="Frame16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56565" cy="175260"/>
                      <wp:effectExtent l="0" t="0" r="0" b="0"/>
                      <wp:wrapNone/>
                      <wp:docPr id="164" name="Frame164"/>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3025" cy="175260"/>
                      <wp:effectExtent l="0" t="0" r="0" b="0"/>
                      <wp:wrapNone/>
                      <wp:docPr id="165" name="Frame165"/>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2240" cy="175260"/>
                      <wp:effectExtent l="0" t="0" r="0" b="0"/>
                      <wp:wrapNone/>
                      <wp:docPr id="166" name="Frame16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37210" cy="175260"/>
                      <wp:effectExtent l="0" t="0" r="0" b="0"/>
                      <wp:wrapNone/>
                      <wp:docPr id="167" name="Frame167"/>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1" w:type="dxa"/>
            <w:tcBorders/>
            <w:vAlign w:val="center"/>
          </w:tcPr>
          <w:p>
            <w:pPr>
              <w:pStyle w:val="TableContents"/>
              <w:bidi w:val="0"/>
              <w:spacing w:before="0" w:after="0"/>
              <w:ind w:left="0" w:right="0" w:hanging="0"/>
              <w:jc w:val="left"/>
              <w:rPr/>
            </w:pPr>
            <w:r>
              <w:rPr/>
              <w:t>​</w:t>
            </w:r>
          </w:p>
        </w:tc>
        <w:tc>
          <w:tcPr>
            <w:tcW w:w="22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June 30, </w:t>
            </w:r>
          </w:p>
        </w:tc>
        <w:tc>
          <w:tcPr>
            <w:tcW w:w="346" w:type="dxa"/>
            <w:tcBorders/>
            <w:vAlign w:val="center"/>
          </w:tcPr>
          <w:p>
            <w:pPr>
              <w:pStyle w:val="TableContents"/>
              <w:bidi w:val="0"/>
              <w:spacing w:before="0" w:after="0"/>
              <w:ind w:left="0" w:right="0" w:hanging="0"/>
              <w:jc w:val="left"/>
              <w:rPr/>
            </w:pPr>
            <w:r>
              <w:rPr/>
              <w:t>​</w:t>
            </w:r>
          </w:p>
        </w:tc>
        <w:tc>
          <w:tcPr>
            <w:tcW w:w="21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June 30, </w:t>
            </w:r>
          </w:p>
        </w:tc>
      </w:tr>
      <w:tr>
        <w:trPr/>
        <w:tc>
          <w:tcPr>
            <w:tcW w:w="5501" w:type="dxa"/>
            <w:tcBorders/>
            <w:vAlign w:val="center"/>
          </w:tcPr>
          <w:p>
            <w:pPr>
              <w:pStyle w:val="TableContents"/>
              <w:bidi w:val="0"/>
              <w:spacing w:before="0" w:after="0"/>
              <w:ind w:left="0" w:right="0" w:hanging="0"/>
              <w:jc w:val="left"/>
              <w:rPr/>
            </w:pPr>
            <w:r>
              <w:rPr/>
              <w:t>​</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1" w:type="dxa"/>
            <w:tcBorders/>
            <w:vAlign w:val="center"/>
          </w:tcPr>
          <w:p>
            <w:pPr>
              <w:pStyle w:val="TableContents"/>
              <w:bidi w:val="0"/>
              <w:spacing w:before="0" w:after="0"/>
              <w:ind w:left="0" w:right="0" w:hanging="0"/>
              <w:jc w:val="left"/>
              <w:rPr/>
            </w:pPr>
            <w:r>
              <w:rPr/>
              <w:t>​</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15" w:type="dxa"/>
            <w:tcBorders/>
            <w:vAlign w:val="center"/>
          </w:tcPr>
          <w:p>
            <w:pPr>
              <w:pStyle w:val="TableContents"/>
              <w:bidi w:val="0"/>
              <w:spacing w:before="0" w:after="0"/>
              <w:ind w:left="0" w:right="0" w:hanging="0"/>
              <w:jc w:val="left"/>
              <w:rPr/>
            </w:pPr>
            <w:r>
              <w:rPr/>
              <w:t>​</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operating lease liabilities</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14,356</w:t>
            </w:r>
          </w:p>
        </w:tc>
        <w:tc>
          <w:tcPr>
            <w:tcW w:w="121"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10,599</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29,262</w:t>
            </w:r>
          </w:p>
        </w:tc>
        <w:tc>
          <w:tcPr>
            <w:tcW w:w="115"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21,302</w:t>
            </w:r>
          </w:p>
        </w:tc>
      </w:tr>
      <w:tr>
        <w:trPr/>
        <w:tc>
          <w:tcPr>
            <w:tcW w:w="5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obtained in exchange for lease liabilities</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(10,963)</w:t>
            </w:r>
          </w:p>
        </w:tc>
        <w:tc>
          <w:tcPr>
            <w:tcW w:w="121"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7,120</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w:t>
            </w:r>
          </w:p>
        </w:tc>
        <w:tc>
          <w:tcPr>
            <w:tcW w:w="115"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12,292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amount of operating lease right-of-use assets obtained in exchange for lease liabilities presented in the table above reflects all lease-related changes affecting right-of-use assets during the period, including new lease commencements, modifications of existing leases that result in changes to lease terms, and lease terminations. As a result, the amount reported for a given period may be negative if reductions in right-of-use assets from lease terminations and other lease modifications exceed additions from new leases and lease remeasurements.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 Commitments and Contingencies</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Claims and Lawsuits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the accompanying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we recorded an accrual for unresolved matters, which is not material to our financial statements, based on our analysis of likely outcomes related to the respective matters; however, it is possible that the ultimate outcome and associated costs will deviate from our estimates and that, in the event of an unexpectedly adverse outcome, we may experience additional costs and expenses in future periods.</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Surety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surety for any expenses or outlays it incurs.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Current market conditions for surety markets and bonding capacity are adequate, with acceptable terms and conditions. Historically, approximately 10% to 20% of our business has required bonds. While we currently have strong surety relationships to support our bonding needs, future market conditions or changes in the sureties’ assessments of our operating and financial risk could cause the sureties to decline to issue bonds for our work. If that were to occur, the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Self-Insurance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are substantially self-insured for workers’ compensation, employer’s liability, auto liability, general liability, and other ancillary coverages, due to the relatively high per-incident deductibles and retained losses that we absorb under our insurance arrangements for these risks. We primarily manage and maintain our insured risks through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our wholly owned captive insurance company. Loss estimates associated with the larger and longer-developing risks, such as workers’ compensation, auto liability, and general liability, are reviewed and estimated by a third-party actuary quarterly, and we accrue for these exposures based on that analysis.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109" w:name="Tc_qeS66Fdur0uGTl5MBME8xw_9_0"/>
      <w:bookmarkStart w:id="1110" w:name="Tc_TZikDhpmvE2QiTnWiZ9xDQ_8_0"/>
      <w:bookmarkStart w:id="1111" w:name="Tc_jsmR_esLSUaUKDKbSMAu8w_7_2"/>
      <w:bookmarkStart w:id="1112" w:name="Tc_VFcjdf5dRUCcqSwUxXP4BA_7_0"/>
      <w:bookmarkStart w:id="1113" w:name="Tc_5r1Yy9ouh0-upqYQsMW0tg_6_0"/>
      <w:bookmarkStart w:id="1114" w:name="Tc_a9xrP_sAh0OQyldC3RQqtw_5_0"/>
      <w:bookmarkStart w:id="1115" w:name="Tc_Gp5W9mEY40iEdwH87iwqTw_4_0"/>
      <w:bookmarkStart w:id="1116" w:name="Tc_fANUchxkBESWxYeVLCAthg_3_8"/>
      <w:bookmarkStart w:id="1117" w:name="Tc_p9lQuw-ziEWTrr9Rpy_zbw_3_6"/>
      <w:bookmarkStart w:id="1118" w:name="Tc_lk48ltNTIEqaaXHlS5g_Ww_3_4"/>
      <w:bookmarkStart w:id="1119" w:name="Tc_x7Oqdd7CTU629HvD0SNyjA_3_2"/>
      <w:bookmarkStart w:id="1120" w:name="Tc_GA9xb58p2EeuCtiqpc3ntg_2_6"/>
      <w:bookmarkStart w:id="1121" w:name="Tc_4M631_b2Zk-NOQyR0Gs7UA_2_2"/>
      <w:bookmarkStart w:id="1122" w:name="Tc_7xp4p2DVc0y-d_EugOjNcQ_1_6"/>
      <w:bookmarkStart w:id="1123" w:name="Tc_RgOrV-WRx0ejX0nI2NpiWw_1_2"/>
      <w:bookmarkStart w:id="1124" w:name="_d2c4d89f_aa4f_407d_9d72_486b948c97c7"/>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r>
        <w:rPr>
          <w:rFonts w:ascii="Times New Roman;Times;serif" w:hAnsi="Times New Roman;Times;serif"/>
          <w:b/>
          <w:sz w:val="20"/>
        </w:rPr>
        <w:t>10. Stockholders’ Equity</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Earnings Per Share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earnings per share (“EPS”) is computed by dividing net income by the weighted-average number of shares of common stock outstanding during the year. Diluted EPS is computed considering the dilutive effect of stock options, restricted stock, restricted stock units, and performance stock units. The vesting of contingently issuable performance stock units is based on the achievement of certain EPS targets and total shareholder return. These shares are considered contingently issuable shares for purposes of calculating diluted EPS. These shares are not included in the diluted EPS denominator until the performance criteria are met, if it is assumed that the end of the reporting period was the end of the contingency period.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Unvested restricted stock, restricted stock units and performance stock units are included in diluted EPS weighted outstanding until the shares and units vest. Upon vesting, the vested restricted stock, restricted stock units and performance stock units are included in basic EPS weighted outstanding from the vesting date.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number of anti-dilutive stock-based awards excluded from the calculation of diluted EPS was less than 0.1 million for the three and six months ended June 30, 2026 and 2025.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reconciles the number of shares outstanding with the number of shares used in computing basic and diluted EPS for each of the periods presented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6770"/>
        <w:gridCol w:w="109"/>
        <w:gridCol w:w="759"/>
        <w:gridCol w:w="122"/>
        <w:gridCol w:w="759"/>
        <w:gridCol w:w="109"/>
        <w:gridCol w:w="676"/>
        <w:gridCol w:w="109"/>
        <w:gridCol w:w="792"/>
      </w:tblGrid>
      <w:tr>
        <w:trPr/>
        <w:tc>
          <w:tcPr>
            <w:tcW w:w="6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298950" cy="175260"/>
                      <wp:effectExtent l="0" t="0" r="0" b="0"/>
                      <wp:wrapNone/>
                      <wp:docPr id="168" name="Frame168"/>
                      <a:graphic xmlns:a="http://schemas.openxmlformats.org/drawingml/2006/main">
                        <a:graphicData uri="http://schemas.microsoft.com/office/word/2010/wordprocessingShape">
                          <wps:wsp>
                            <wps:cNvSpPr txBox="1"/>
                            <wps:spPr>
                              <a:xfrm>
                                <a:off x="0" y="0"/>
                                <a:ext cx="429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81965" cy="175260"/>
                      <wp:effectExtent l="0" t="0" r="0" b="0"/>
                      <wp:wrapNone/>
                      <wp:docPr id="170" name="Frame170"/>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7470" cy="175260"/>
                      <wp:effectExtent l="0" t="0" r="0" b="0"/>
                      <wp:wrapNone/>
                      <wp:docPr id="171" name="Frame171"/>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81965" cy="175260"/>
                      <wp:effectExtent l="0" t="0" r="0" b="0"/>
                      <wp:wrapNone/>
                      <wp:docPr id="172" name="Frame172"/>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74" name="Frame1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02920" cy="175260"/>
                      <wp:effectExtent l="0" t="0" r="0" b="0"/>
                      <wp:wrapNone/>
                      <wp:docPr id="176" name="Frame176"/>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4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57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7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vAlign w:val="center"/>
          </w:tcPr>
          <w:p>
            <w:pPr>
              <w:pStyle w:val="TableContents"/>
              <w:bidi w:val="0"/>
              <w:spacing w:before="0" w:after="0"/>
              <w:ind w:left="0" w:right="0" w:hanging="0"/>
              <w:jc w:val="left"/>
              <w:rPr/>
            </w:pPr>
            <w:r>
              <w:rPr/>
              <w:t>​</w:t>
            </w:r>
          </w:p>
        </w:tc>
        <w:tc>
          <w:tcPr>
            <w:tcW w:w="157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r>
      <w:tr>
        <w:trPr/>
        <w:tc>
          <w:tcPr>
            <w:tcW w:w="67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2" w:type="dxa"/>
            <w:tcBorders/>
            <w:vAlign w:val="center"/>
          </w:tcPr>
          <w:p>
            <w:pPr>
              <w:pStyle w:val="TableContents"/>
              <w:bidi w:val="0"/>
              <w:spacing w:before="0" w:after="0"/>
              <w:ind w:left="0" w:right="0" w:hanging="0"/>
              <w:jc w:val="left"/>
              <w:rPr/>
            </w:pPr>
            <w:r>
              <w:rPr/>
              <w:t>​</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 outstanding,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35,200</w:t>
            </w:r>
          </w:p>
        </w:tc>
        <w:tc>
          <w:tcPr>
            <w:tcW w:w="122"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35,281</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35,200</w:t>
            </w:r>
          </w:p>
        </w:tc>
        <w:tc>
          <w:tcPr>
            <w:tcW w:w="109"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35,281</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using weighted-average common shares outstanding</w:t>
            </w:r>
          </w:p>
        </w:tc>
        <w:tc>
          <w:tcPr>
            <w:tcW w:w="109" w:type="dxa"/>
            <w:tcBorders/>
            <w:vAlign w:val="center"/>
          </w:tcPr>
          <w:p>
            <w:pPr>
              <w:pStyle w:val="TableContents"/>
              <w:bidi w:val="0"/>
              <w:spacing w:before="0" w:after="0"/>
              <w:ind w:left="0" w:right="0" w:hanging="0"/>
              <w:jc w:val="left"/>
              <w:rPr/>
            </w:pPr>
            <w:r>
              <w:rPr/>
              <w:t>​</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22" w:type="dxa"/>
            <w:tcBorders/>
            <w:vAlign w:val="center"/>
          </w:tcPr>
          <w:p>
            <w:pPr>
              <w:pStyle w:val="TableContents"/>
              <w:bidi w:val="0"/>
              <w:spacing w:before="0" w:after="0"/>
              <w:ind w:left="0" w:right="0" w:hanging="0"/>
              <w:jc w:val="left"/>
              <w:rPr/>
            </w:pPr>
            <w:r>
              <w:rPr/>
              <w:t>​</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vAlign w:val="center"/>
          </w:tcPr>
          <w:p>
            <w:pPr>
              <w:pStyle w:val="TableContents"/>
              <w:bidi w:val="0"/>
              <w:spacing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earnings per share—basic</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35,221</w:t>
            </w:r>
          </w:p>
        </w:tc>
        <w:tc>
          <w:tcPr>
            <w:tcW w:w="122"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35,307</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35,216</w:t>
            </w:r>
          </w:p>
        </w:tc>
        <w:tc>
          <w:tcPr>
            <w:tcW w:w="109" w:type="dxa"/>
            <w:tcBorders/>
            <w:shd w:fill="CCEEFF" w:val="clear"/>
            <w:vAlign w:val="center"/>
          </w:tcPr>
          <w:p>
            <w:pPr>
              <w:pStyle w:val="TableContents"/>
              <w:bidi w:val="0"/>
              <w:spacing w:before="0" w:after="0"/>
              <w:ind w:left="0" w:right="0" w:hanging="0"/>
              <w:jc w:val="left"/>
              <w:rPr/>
            </w:pPr>
            <w:r>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35,415</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shares issuable under stock option plans based on the treasury stock method</w:t>
            </w:r>
          </w:p>
        </w:tc>
        <w:tc>
          <w:tcPr>
            <w:tcW w:w="109"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0"/>
              <w:ind w:left="0" w:right="0" w:hanging="0"/>
              <w:jc w:val="left"/>
              <w:rPr/>
            </w:pPr>
            <w:r>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67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restricted and contingently issuable shares</w:t>
            </w:r>
          </w:p>
        </w:tc>
        <w:tc>
          <w:tcPr>
            <w:tcW w:w="109" w:type="dxa"/>
            <w:tcBorders/>
            <w:shd w:fill="CCEEFF" w:val="cle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22" w:type="dxa"/>
            <w:tcBorders/>
            <w:shd w:fill="CCEEFF" w:val="cle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shd w:fill="CCEEFF" w:val="clear"/>
            <w:vAlign w:val="center"/>
          </w:tcPr>
          <w:p>
            <w:pPr>
              <w:pStyle w:val="TableContents"/>
              <w:bidi w:val="0"/>
              <w:spacing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6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earnings per share—diluted</w:t>
            </w:r>
          </w:p>
        </w:tc>
        <w:tc>
          <w:tcPr>
            <w:tcW w:w="109" w:type="dxa"/>
            <w:tcBorders/>
            <w:vAlign w:val="center"/>
          </w:tcPr>
          <w:p>
            <w:pPr>
              <w:pStyle w:val="TableContents"/>
              <w:bidi w:val="0"/>
              <w:spacing w:before="0" w:after="0"/>
              <w:ind w:left="0" w:right="0" w:hanging="0"/>
              <w:jc w:val="left"/>
              <w:rPr/>
            </w:pPr>
            <w:r>
              <w:rPr/>
              <w:t>​</w:t>
            </w:r>
          </w:p>
        </w:tc>
        <w:tc>
          <w:tcPr>
            <w:tcW w:w="7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35,254</w:t>
            </w:r>
          </w:p>
        </w:tc>
        <w:tc>
          <w:tcPr>
            <w:tcW w:w="122" w:type="dxa"/>
            <w:tcBorders/>
            <w:vAlign w:val="center"/>
          </w:tcPr>
          <w:p>
            <w:pPr>
              <w:pStyle w:val="TableContents"/>
              <w:bidi w:val="0"/>
              <w:spacing w:before="0" w:after="0"/>
              <w:ind w:left="0" w:right="0" w:hanging="0"/>
              <w:jc w:val="left"/>
              <w:rPr/>
            </w:pPr>
            <w:r>
              <w:rPr/>
              <w:t>​</w:t>
            </w:r>
          </w:p>
        </w:tc>
        <w:tc>
          <w:tcPr>
            <w:tcW w:w="7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35,369</w:t>
            </w:r>
          </w:p>
        </w:tc>
        <w:tc>
          <w:tcPr>
            <w:tcW w:w="109"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35,255</w:t>
            </w:r>
          </w:p>
        </w:tc>
        <w:tc>
          <w:tcPr>
            <w:tcW w:w="109" w:type="dxa"/>
            <w:tcBorders/>
            <w:vAlign w:val="center"/>
          </w:tcPr>
          <w:p>
            <w:pPr>
              <w:pStyle w:val="TableContents"/>
              <w:bidi w:val="0"/>
              <w:spacing w:before="0" w:after="0"/>
              <w:ind w:left="0" w:right="0" w:hanging="0"/>
              <w:jc w:val="left"/>
              <w:rPr/>
            </w:pPr>
            <w:r>
              <w:rPr/>
              <w:t>​</w:t>
            </w:r>
          </w:p>
        </w:tc>
        <w:tc>
          <w:tcPr>
            <w:tcW w:w="79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35,486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June 30, 2026, we have repurchased a cumulative total of 10.9 million shares at an average price of $50.88 per share under the repurchase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terminate the program at any time. During the six months ended June 30, 2026, we repurchased less than 0.1 million shares for approximately $8.2 million, inclusive of the applicable excise tax, at an average price of $1,438.19 per share. </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25" w:name="Tc_-Kn5ePgLnkidOXU2pZIs7A_31_11"/>
      <w:bookmarkStart w:id="1126" w:name="Tc_pZzSOa3LnkShHQZ0QZTo-g_31_8"/>
      <w:bookmarkStart w:id="1127" w:name="Tc_v1aCCulCbUCmuFtIU51bqA_31_5"/>
      <w:bookmarkStart w:id="1128" w:name="Tc_za8ybYCtxEqFn2jbnWLdAw_31_2"/>
      <w:bookmarkStart w:id="1129" w:name="Tc_agrFkLaNWUaKCkQhOzR4gg_31_0"/>
      <w:bookmarkStart w:id="1130" w:name="Tc_5LmpZ7AAl0aKMgq5Fbvyiw_30_11"/>
      <w:bookmarkStart w:id="1131" w:name="Tc_4_Nrzf5vp0q8D5cKw_jItw_30_8"/>
      <w:bookmarkStart w:id="1132" w:name="Tc_02ZXfnbC-k6mKEvGlD0z_A_30_5"/>
      <w:bookmarkStart w:id="1133" w:name="Tc_lgpQrRzcWkWaRo5-3o6RQA_30_2"/>
      <w:bookmarkStart w:id="1134" w:name="Tc_OqTfKuUINUSHV9ERiZnUFg_30_0"/>
      <w:bookmarkStart w:id="1135" w:name="Tc_EqfSG9w87US7Q1ID0kx-Ag_29_11"/>
      <w:bookmarkStart w:id="1136" w:name="Tc_Jhi-MJhGJEKsBEEQvZ8aDg_29_9"/>
      <w:bookmarkStart w:id="1137" w:name="Tc_XwBH9R__EEuuBZMAh8SVXA_29_8"/>
      <w:bookmarkStart w:id="1138" w:name="Tc_Bz-WRmkuAUe3M8nshSclqA_29_5"/>
      <w:bookmarkStart w:id="1139" w:name="Tc_gCydbRNT7US3tNxcW0JkmA_29_2"/>
      <w:bookmarkStart w:id="1140" w:name="Tc_ZMvnb63M5kKLX4YDkz8h7Q_29_0"/>
      <w:bookmarkStart w:id="1141" w:name="Tc__v0bdfWOmUyDmwWs-r75iw_27_11"/>
      <w:bookmarkStart w:id="1142" w:name="Tc_YhqiJ9dKlkSAZ1Rzr1WTAg_27_0"/>
      <w:bookmarkStart w:id="1143" w:name="Tc_C562gUZ1b0WnL7hMqLFE0w_26_0"/>
      <w:bookmarkStart w:id="1144" w:name="Tc_f4IBcw1u30GwAJqCGv6YRg_25_0"/>
      <w:bookmarkStart w:id="1145" w:name="Tc_4sy7yLuEkUS3IIr_UtN3Kg_24_11"/>
      <w:bookmarkStart w:id="1146" w:name="Tc_l3W0kx988kCYgp6WCm7vOw_24_8"/>
      <w:bookmarkStart w:id="1147" w:name="Tc_ujg38nvMBEKLIyE3lBCTWw_24_5"/>
      <w:bookmarkStart w:id="1148" w:name="Tc_ghhFjUaQXkC5RbRI5peoYA_24_2"/>
      <w:bookmarkStart w:id="1149" w:name="Tc_wJ9IbvMueUCFXKC5vTwyiw_24_0"/>
      <w:bookmarkStart w:id="1150" w:name="Tc_p3Q0s9GMP0e0KpmOCsDr2Q_23_9"/>
      <w:bookmarkStart w:id="1151" w:name="Tc_7WB7P3F1MkiJ7eOWqnJzjA_23_0"/>
      <w:bookmarkStart w:id="1152" w:name="Tc_8o2cyj_RtUm2WEUxi6cYFA_22_0"/>
      <w:bookmarkStart w:id="1153" w:name="Tc_Q4wddHgCAEiVHTKOqctcUw_21_9"/>
      <w:bookmarkStart w:id="1154" w:name="Tc_YSzKysq0T0inie24EhQ-Sw_21_0"/>
      <w:bookmarkStart w:id="1155" w:name="Tc_doKdZywjCU6A6fusb8XsGA_20_9"/>
      <w:bookmarkStart w:id="1156" w:name="Tc__l7LSVW5e0SSxVpf9aeNkQ_20_0"/>
      <w:bookmarkStart w:id="1157" w:name="Tc_OP1oF3d-ykOgRV1gkYt8JA_19_11"/>
      <w:bookmarkStart w:id="1158" w:name="Tc_H9XaFOJgdkmYgWAyU-ck_w_19_9"/>
      <w:bookmarkStart w:id="1159" w:name="Tc_Pn4mk9d-pkeoVoMfXzbz0Q_19_8"/>
      <w:bookmarkStart w:id="1160" w:name="Tc_pjtVgn6uX0-dFWAcB85_pg_19_5"/>
      <w:bookmarkStart w:id="1161" w:name="Tc_QexdRfJIGEeEOI0F6KbV1A_19_2"/>
      <w:bookmarkStart w:id="1162" w:name="Tc_F58RXtzZWUaS66vneIxXog_19_0"/>
      <w:bookmarkStart w:id="1163" w:name="Tc_3ytEsWr3uk2XngwmjgjQIw_18_11"/>
      <w:bookmarkStart w:id="1164" w:name="Tc_kmCPwxz4tEyyfFCBVqRGKg_18_8"/>
      <w:bookmarkStart w:id="1165" w:name="Tc_wS_doHp8ZEmPRItS62b8fA_18_5"/>
      <w:bookmarkStart w:id="1166" w:name="Tc__wcgl98Veku5_QAjuKE2-A_18_2"/>
      <w:bookmarkStart w:id="1167" w:name="Tc_jQpAjfupzEioeweb9a9qzQ_17_2"/>
      <w:bookmarkStart w:id="1168" w:name="Tc_V8vRuUI1lk6J9N7R4zNMHw_15_11"/>
      <w:bookmarkStart w:id="1169" w:name="Tc_UTc5TLlAmky-kosv0LyPbg_15_8"/>
      <w:bookmarkStart w:id="1170" w:name="Tc_C9A6KAwK8kS0U7LjhG91nQ_15_5"/>
      <w:bookmarkStart w:id="1171" w:name="Tc__RGSOmqwCEu5g7u6tzeMcA_15_2"/>
      <w:bookmarkStart w:id="1172" w:name="Tc_avIViitrf02gQLlyfrYYsA_15_0"/>
      <w:bookmarkStart w:id="1173" w:name="Tc_41NbLZ6Lh0mGkr5eCHkvEA_14_11"/>
      <w:bookmarkStart w:id="1174" w:name="Tc_6DNWm7mZYESnVdNvLbzOrQ_14_8"/>
      <w:bookmarkStart w:id="1175" w:name="Tc_ci9tDVdDaUaQO30tgpp9kQ_14_5"/>
      <w:bookmarkStart w:id="1176" w:name="Tc_gqU_-lyAiEa-yux9D6nQmw_14_2"/>
      <w:bookmarkStart w:id="1177" w:name="Tc_Nw4M2PaQPUeHKegijRLCKA_14_0"/>
      <w:bookmarkStart w:id="1178" w:name="Tc_gKF5el5J-UW-47vkkKAdXQ_13_11"/>
      <w:bookmarkStart w:id="1179" w:name="Tc_d1LezrS5ukqXBE8rIbtB2g_13_9"/>
      <w:bookmarkStart w:id="1180" w:name="Tc_VrNo6GJvg0yvEqSgczxpow_13_8"/>
      <w:bookmarkStart w:id="1181" w:name="Tc_aghdX9rJ0Eir6z6Pvd68yg_13_5"/>
      <w:bookmarkStart w:id="1182" w:name="Tc_pHlDCanoTUSFjwoKnw0_7g_13_2"/>
      <w:bookmarkStart w:id="1183" w:name="Tc_1QXBsoguZUKYm2Uz6YIgsg_13_0"/>
      <w:bookmarkStart w:id="1184" w:name="Tc_Jou1jR_txEKQITuFkNQd5g_11_11"/>
      <w:bookmarkStart w:id="1185" w:name="Tc_S98YzOyIVUiQMdGX2anh3g_11_0"/>
      <w:bookmarkStart w:id="1186" w:name="Tc_ax343V0cE0imrcU2z1VMug_10_0"/>
      <w:bookmarkStart w:id="1187" w:name="Tc_v6CehyrfxUyYrzQttXUruw_9_0"/>
      <w:bookmarkStart w:id="1188" w:name="Tc_BpTcIexcFUiI0Hlk65sgjg_8_11"/>
      <w:bookmarkStart w:id="1189" w:name="Tc_CxPs8eH-Rk6Oe1UaWpoVWQ_8_8"/>
      <w:bookmarkStart w:id="1190" w:name="Tc_JI0AO-oAeEOf0GQrsmwItw_8_5"/>
      <w:bookmarkStart w:id="1191" w:name="Tc_9tH0oPeXEEyAnsSTk5wXiA_8_2"/>
      <w:bookmarkStart w:id="1192" w:name="Tc_8GbAxQa3i0u3q5PZiWBsVA_8_0"/>
      <w:bookmarkStart w:id="1193" w:name="Tc_bITg_ORZu0exFc7oPwYJqA_7_9"/>
      <w:bookmarkStart w:id="1194" w:name="Tc_t7GQy0vhH0m_bAbcZUi2cA_7_0"/>
      <w:bookmarkStart w:id="1195" w:name="Tc_8jqhU4Mh-U2zKt16EjsR6w_6_0"/>
      <w:bookmarkStart w:id="1196" w:name="Tc_kUwRKIVCEEm2rSKT4wwk6Q_5_9"/>
      <w:bookmarkStart w:id="1197" w:name="Tc_TmjeWgZfYU2R-cST6SMbnQ_5_0"/>
      <w:bookmarkStart w:id="1198" w:name="Tc_GByuAUL_tU6AO7IYlCoroQ_4_9"/>
      <w:bookmarkStart w:id="1199" w:name="Tc_zGPYiH9BB0u5Bhbe-bujoQ_4_0"/>
      <w:bookmarkStart w:id="1200" w:name="Tc_Icl04mnjpUmt3mR6KnWakQ_3_11"/>
      <w:bookmarkStart w:id="1201" w:name="Tc_pkETTBcUNUGLZK2VUVJEHQ_3_9"/>
      <w:bookmarkStart w:id="1202" w:name="Tc_HVg_FeP8PUuUrWwMrsGP9g_3_8"/>
      <w:bookmarkStart w:id="1203" w:name="Tc_eMkEzUe2z0OMf4Pv7krBcg_3_5"/>
      <w:bookmarkStart w:id="1204" w:name="Tc_ncsDAyy6aE6SfXPMsz9BZA_3_2"/>
      <w:bookmarkStart w:id="1205" w:name="Tc_prxKUdOWWEqObkEEoGsTUw_3_0"/>
      <w:bookmarkStart w:id="1206" w:name="Tc_bGU8XdQSgEeJjrcWityFww_2_11"/>
      <w:bookmarkStart w:id="1207" w:name="Tc_rFbkChKEIkuWt_VnbNS5Iw_2_8"/>
      <w:bookmarkStart w:id="1208" w:name="Tc_McSn81UXx0mKeZk0F2q1gA_2_5"/>
      <w:bookmarkStart w:id="1209" w:name="Tc_moCyTwFs80yXYZliVXpy7g_2_2"/>
      <w:bookmarkStart w:id="1210" w:name="Tc_Jsd8Y0zD1kifDUuAS9dmAg_1_2"/>
      <w:bookmarkStart w:id="1211" w:name="_9032d02e_28e4_4314_82e6_9513907fcf62"/>
      <w:bookmarkStart w:id="1212" w:name="Tc_pXWnaL2iNE2rImy2ZEYamg_3_11"/>
      <w:bookmarkStart w:id="1213" w:name="Tc_XZ-tKs7KV0Gs-IoBV4KxdQ_3_8"/>
      <w:bookmarkStart w:id="1214" w:name="Tc_DMZOvStJ1k6EgjXnB3KcLA_3_5"/>
      <w:bookmarkStart w:id="1215" w:name="Tc_vgq2kq3WT0289IyqfPBX5Q_3_2"/>
      <w:bookmarkStart w:id="1216" w:name="Tc_De7t2UAtfUye-DfcpA3qwg_3_0"/>
      <w:bookmarkStart w:id="1217" w:name="Tc_OB2TpL8yFU6k8X__kYuvsg_2_11"/>
      <w:bookmarkStart w:id="1218" w:name="Tc_n0xaWKC5-EGVtCEGjH8lcA_2_8"/>
      <w:bookmarkStart w:id="1219" w:name="Tc_Zdl1lnaGzEuiaIuPua4WCA_2_5"/>
      <w:bookmarkStart w:id="1220" w:name="Tc_prSjEU6Yq0G9vKsAtmxxRA_2_2"/>
      <w:bookmarkStart w:id="1221" w:name="Tc_F3zIckS73EqoP-qj4kKo0A_2_0"/>
      <w:bookmarkStart w:id="1222" w:name="Tc_9rHtFr0880q0DgAihC1ZzQ_1_11"/>
      <w:bookmarkStart w:id="1223" w:name="Tc_gp_dvhOQcU-f-_dWh9KLaw_1_8"/>
      <w:bookmarkStart w:id="1224" w:name="Tc_IC_doPoGWUGvmRkYloUNYw_1_5"/>
      <w:bookmarkStart w:id="1225" w:name="Tc_ZSzvZTAH20WC15z-4VxDOA_1_2"/>
      <w:bookmarkStart w:id="1226" w:name="_4ca2c4a9_825c_4189_9efb_0a6a2457848a"/>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r>
        <w:rPr>
          <w:rFonts w:ascii="Times New Roman;Times;serif" w:hAnsi="Times New Roman;Times;serif"/>
          <w:b/>
          <w:sz w:val="20"/>
        </w:rPr>
        <w:t xml:space="preserve">11. Segment Information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Our activities are within the mechanical services industry and the electrical services industry, which represent our </w:t>
      </w:r>
      <w:r>
        <w:rPr>
          <w:rFonts w:ascii="Times New Roman;Times;serif" w:hAnsi="Times New Roman;Times;serif"/>
          <w:sz w:val="20"/>
        </w:rPr>
        <w:t>two</w:t>
      </w:r>
      <w:r>
        <w:rPr>
          <w:rFonts w:ascii="Times New Roman;Times;serif" w:hAnsi="Times New Roman;Times;serif"/>
          <w:sz w:val="20"/>
          <w:shd w:fill="FFFFFF" w:val="clear"/>
        </w:rPr>
        <w:t> reportable segments. We aggregate our operating segments into </w:t>
      </w:r>
      <w:r>
        <w:rPr>
          <w:rFonts w:ascii="Times New Roman;Times;serif" w:hAnsi="Times New Roman;Times;serif"/>
          <w:sz w:val="20"/>
        </w:rPr>
        <w:t>two</w:t>
      </w:r>
      <w:r>
        <w:rPr>
          <w:rFonts w:ascii="Times New Roman;Times;serif" w:hAnsi="Times New Roman;Times;serif"/>
          <w:sz w:val="20"/>
          <w:shd w:fill="FFFFFF" w:val="clear"/>
        </w:rPr>
        <w:t xml:space="preserve"> reportable segments, as the operating segments meet all of the aggregation criteria. </w:t>
      </w:r>
      <w:r>
        <w:rPr>
          <w:rFonts w:ascii="Times New Roman;Times;serif" w:hAnsi="Times New Roman;Times;serif"/>
          <w:sz w:val="20"/>
        </w:rPr>
        <w:t>The following tables present information about our reportable segments (in thousands):</w:t>
      </w:r>
    </w:p>
    <w:p>
      <w:pPr>
        <w:pStyle w:val="TextBody"/>
        <w:bidi w:val="0"/>
        <w:spacing w:before="0" w:after="0"/>
        <w:ind w:left="0" w:right="0" w:hanging="0"/>
        <w:jc w:val="left"/>
        <w:rPr/>
      </w:pPr>
      <w:r>
        <w:rPr/>
        <w:t>​</w:t>
      </w:r>
    </w:p>
    <w:tbl>
      <w:tblPr>
        <w:tblW w:w="9709" w:type="dxa"/>
        <w:jc w:val="left"/>
        <w:tblInd w:w="0" w:type="dxa"/>
        <w:tblLayout w:type="fixed"/>
        <w:tblCellMar>
          <w:top w:w="0" w:type="dxa"/>
          <w:left w:w="0" w:type="dxa"/>
          <w:bottom w:w="0" w:type="dxa"/>
          <w:right w:w="0" w:type="dxa"/>
        </w:tblCellMar>
      </w:tblPr>
      <w:tblGrid>
        <w:gridCol w:w="2881"/>
        <w:gridCol w:w="346"/>
        <w:gridCol w:w="293"/>
        <w:gridCol w:w="1297"/>
        <w:gridCol w:w="346"/>
        <w:gridCol w:w="269"/>
        <w:gridCol w:w="1186"/>
        <w:gridCol w:w="346"/>
        <w:gridCol w:w="211"/>
        <w:gridCol w:w="931"/>
        <w:gridCol w:w="346"/>
        <w:gridCol w:w="211"/>
        <w:gridCol w:w="1046"/>
      </w:tblGrid>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4,391,510</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2,254,819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1,841,477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8,487,806</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at December 31, 2025</w:t>
            </w:r>
          </w:p>
        </w:tc>
        <w:tc>
          <w:tcPr>
            <w:tcW w:w="34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3,683,678</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1,765,570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991,921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6,441,169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73"/>
        <w:gridCol w:w="346"/>
        <w:gridCol w:w="285"/>
        <w:gridCol w:w="1262"/>
        <w:gridCol w:w="346"/>
        <w:gridCol w:w="299"/>
        <w:gridCol w:w="1111"/>
        <w:gridCol w:w="346"/>
        <w:gridCol w:w="211"/>
        <w:gridCol w:w="790"/>
        <w:gridCol w:w="346"/>
        <w:gridCol w:w="211"/>
        <w:gridCol w:w="979"/>
      </w:tblGrid>
      <w:tr>
        <w:trPr/>
        <w:tc>
          <w:tcPr>
            <w:tcW w:w="3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332355" cy="175260"/>
                      <wp:effectExtent l="0" t="0" r="0" b="0"/>
                      <wp:wrapNone/>
                      <wp:docPr id="177" name="Frame177"/>
                      <a:graphic xmlns:a="http://schemas.openxmlformats.org/drawingml/2006/main">
                        <a:graphicData uri="http://schemas.microsoft.com/office/word/2010/wordprocessingShape">
                          <wps:wsp>
                            <wps:cNvSpPr txBox="1"/>
                            <wps:spPr>
                              <a:xfrm>
                                <a:off x="0" y="0"/>
                                <a:ext cx="2332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0975" cy="175260"/>
                      <wp:effectExtent l="0" t="0" r="0" b="0"/>
                      <wp:wrapNone/>
                      <wp:docPr id="179" name="Frame17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801370" cy="175260"/>
                      <wp:effectExtent l="0" t="0" r="0" b="0"/>
                      <wp:wrapNone/>
                      <wp:docPr id="180" name="Frame180"/>
                      <a:graphic xmlns:a="http://schemas.openxmlformats.org/drawingml/2006/main">
                        <a:graphicData uri="http://schemas.microsoft.com/office/word/2010/wordprocessingShape">
                          <wps:wsp>
                            <wps:cNvSpPr txBox="1"/>
                            <wps:spPr>
                              <a:xfrm>
                                <a:off x="0" y="0"/>
                                <a:ext cx="801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89865" cy="175260"/>
                      <wp:effectExtent l="0" t="0" r="0" b="0"/>
                      <wp:wrapNone/>
                      <wp:docPr id="182" name="Frame182"/>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05485" cy="175260"/>
                      <wp:effectExtent l="0" t="0" r="0" b="0"/>
                      <wp:wrapNone/>
                      <wp:docPr id="183" name="Frame18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01650" cy="175260"/>
                      <wp:effectExtent l="0" t="0" r="0" b="0"/>
                      <wp:wrapNone/>
                      <wp:docPr id="186" name="Frame186"/>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21665" cy="175260"/>
                      <wp:effectExtent l="0" t="0" r="0" b="0"/>
                      <wp:wrapNone/>
                      <wp:docPr id="189" name="Frame189"/>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8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2,296,667</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968,989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3,265,656</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1,708,157</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713,271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2,421,428</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588,510</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844,228</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162,398</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287,047</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426,738</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557,966</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8,277</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566,243</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10,429</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23,274</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16,408</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20,036</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131,818</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141,364</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left"/>
              <w:rPr/>
            </w:pPr>
            <w:r>
              <w:rPr/>
              <w:t>​</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8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1,638,672</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534,647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2,173,319</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1,264,066</w:t>
            </w:r>
          </w:p>
        </w:tc>
        <w:tc>
          <w:tcPr>
            <w:tcW w:w="34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399,356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1,663,422</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374,606</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509,897</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137,074</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210,466</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237,903</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299,873</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12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11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296,484</w:t>
            </w:r>
          </w:p>
        </w:tc>
      </w:tr>
      <w:tr>
        <w:trPr/>
        <w:tc>
          <w:tcPr>
            <w:tcW w:w="36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12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14,266</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19,791</w:t>
            </w:r>
          </w:p>
        </w:tc>
      </w:tr>
      <w:tr>
        <w:trPr/>
        <w:tc>
          <w:tcPr>
            <w:tcW w:w="3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12,093</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14,856</w:t>
            </w:r>
          </w:p>
        </w:tc>
      </w:tr>
      <w:tr>
        <w:trPr/>
        <w:tc>
          <w:tcPr>
            <w:tcW w:w="3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24,879</w:t>
            </w:r>
          </w:p>
        </w:tc>
        <w:tc>
          <w:tcPr>
            <w:tcW w:w="34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31,273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227" w:name="Tc_yH-1lQTKPE2OgaVegxdvQg_31_11"/>
      <w:bookmarkStart w:id="1228" w:name="Tc_0OyFihEDCUC66fo8BKKmmA_31_8"/>
      <w:bookmarkStart w:id="1229" w:name="Tc_rwmjAwibj0ygna7k1nPqtg_31_5"/>
      <w:bookmarkStart w:id="1230" w:name="Tc_5-RemVf1Wk2aV_xubYkTVg_31_2"/>
      <w:bookmarkStart w:id="1231" w:name="Tc_xGbv-NI0q0WOockQkSPQQg_31_0"/>
      <w:bookmarkStart w:id="1232" w:name="Tc__dAESZ1x00aOCZqPosAXsA_30_11"/>
      <w:bookmarkStart w:id="1233" w:name="Tc_7kQhOhrp8U-hJvPWk3bN7g_30_8"/>
      <w:bookmarkStart w:id="1234" w:name="Tc_26VH8D2k-kWWyDIiMiH0NA_30_5"/>
      <w:bookmarkStart w:id="1235" w:name="Tc_5QycVP4ZWkmsUtg1D4s9ZQ_30_2"/>
      <w:bookmarkStart w:id="1236" w:name="Tc_vxENc3koE0eVYL9yLXL7Sw_30_0"/>
      <w:bookmarkStart w:id="1237" w:name="Tc_GpTfKWU8RUaYbqqSXXXHrg_29_11"/>
      <w:bookmarkStart w:id="1238" w:name="Tc_Ve1zPnj3z0yJzSxLOA2r6A_29_9"/>
      <w:bookmarkStart w:id="1239" w:name="Tc_GMAGK_8fyU-8PNZzb3qEWA_29_8"/>
      <w:bookmarkStart w:id="1240" w:name="Tc_sxd9CA-NLUa7SQ5RxdmNlg_29_5"/>
      <w:bookmarkStart w:id="1241" w:name="Tc_M3hWvC9LKUywEOgymRi4VA_29_2"/>
      <w:bookmarkStart w:id="1242" w:name="Tc_7cNMojUJa0STBgQiYiZ9pA_29_0"/>
      <w:bookmarkStart w:id="1243" w:name="Tc_ZQh8RBzCjEW-9Cy36n7ElQ_27_11"/>
      <w:bookmarkStart w:id="1244" w:name="Tc_0ooB1bm4BkunPDrmQWRPIA_27_0"/>
      <w:bookmarkStart w:id="1245" w:name="Tc_a7mrYFBC5UylxT8B_nhVuA_26_0"/>
      <w:bookmarkStart w:id="1246" w:name="Tc_v7oZ46_AQEmHu-yo1tDZdQ_25_0"/>
      <w:bookmarkStart w:id="1247" w:name="Tc_2FD9--w0mkGSJmpoHHvpQg_24_11"/>
      <w:bookmarkStart w:id="1248" w:name="Tc_e2VlEiKkgUiCCO3FROPUCg_24_8"/>
      <w:bookmarkStart w:id="1249" w:name="Tc_ATXfBVPNakOL59mhQqf3aw_24_5"/>
      <w:bookmarkStart w:id="1250" w:name="Tc_T1OCr3EtSE-lsLIPE1kCKw_24_2"/>
      <w:bookmarkStart w:id="1251" w:name="Tc_rmSdpOrhdEqao-CV7rVMMg_24_0"/>
      <w:bookmarkStart w:id="1252" w:name="Tc_eWvOEp1qJEuB8bfKPg23Ig_23_9"/>
      <w:bookmarkStart w:id="1253" w:name="Tc_TUacy71arU-8-XyOnU6DKw_23_0"/>
      <w:bookmarkStart w:id="1254" w:name="Tc_apTt3TbbvkuCXpvIryGMzA_22_0"/>
      <w:bookmarkStart w:id="1255" w:name="Tc_lHgbfp40dk2IUzBMlaixjQ_21_9"/>
      <w:bookmarkStart w:id="1256" w:name="Tc_T7JuJWV5OU2vRNa9itXbZg_21_0"/>
      <w:bookmarkStart w:id="1257" w:name="Tc_5xbLgixZrkqxO5q9hOzkyw_20_9"/>
      <w:bookmarkStart w:id="1258" w:name="Tc_bfXJl9rYwkON0kLWk5f2-A_20_0"/>
      <w:bookmarkStart w:id="1259" w:name="Tc_z7tlHlv6X025UI2ZumPghg_19_11"/>
      <w:bookmarkStart w:id="1260" w:name="Tc_ZoiYadyGOUSzPrtVC2CikA_19_9"/>
      <w:bookmarkStart w:id="1261" w:name="Tc_8n1UcUbGYkWfDrFh5ghcMQ_19_8"/>
      <w:bookmarkStart w:id="1262" w:name="Tc_tm8MhMkbbEqKJL4_yH61Ww_19_5"/>
      <w:bookmarkStart w:id="1263" w:name="Tc_wrVBloSank2wzsOpUZ7aXg_19_2"/>
      <w:bookmarkStart w:id="1264" w:name="Tc_KruQjM7FVU-ZkbbmHcAoIg_19_0"/>
      <w:bookmarkStart w:id="1265" w:name="Tc_9wHcWEX-PUGxkqjMDfNWWw_18_11"/>
      <w:bookmarkStart w:id="1266" w:name="Tc_i9F0Wlh4Uka7Y6rEtpcFrA_18_8"/>
      <w:bookmarkStart w:id="1267" w:name="Tc_XMiO2CikhkqWu7mkiz2LdQ_18_5"/>
      <w:bookmarkStart w:id="1268" w:name="Tc_6RTueMARskezAi-2M4qdcQ_18_2"/>
      <w:bookmarkStart w:id="1269" w:name="Tc_C7ex19kSO0-ZD-S_05adtw_17_2"/>
      <w:bookmarkStart w:id="1270" w:name="Tc_p-q7S2zDRkKyC0xiTDj7Mg_15_11"/>
      <w:bookmarkStart w:id="1271" w:name="Tc_eeW6358r1UyqdaCcjOJI9w_15_8"/>
      <w:bookmarkStart w:id="1272" w:name="Tc_zoPxiVHao0uLiAq4hVa7uA_15_5"/>
      <w:bookmarkStart w:id="1273" w:name="Tc_fIq481YySkOlO4PEWCg45A_15_2"/>
      <w:bookmarkStart w:id="1274" w:name="Tc_Q0wdAEvKoU265LE4dBKwuA_15_0"/>
      <w:bookmarkStart w:id="1275" w:name="Tc_XA-dtTN1k0q4zLauEBt9kA_14_11"/>
      <w:bookmarkStart w:id="1276" w:name="Tc_jzeGZmTvQ0q2g1V_men9gA_14_8"/>
      <w:bookmarkStart w:id="1277" w:name="Tc_lLHiPkf9kkWTfpxnfj0quQ_14_5"/>
      <w:bookmarkStart w:id="1278" w:name="Tc_2flIwgt4u0Cm8mnKprGzKg_14_2"/>
      <w:bookmarkStart w:id="1279" w:name="Tc_q4p-loFYFECOJxkdl3uWSw_14_0"/>
      <w:bookmarkStart w:id="1280" w:name="Tc_gpwNRAncK02geM_dVep3sw_13_11"/>
      <w:bookmarkStart w:id="1281" w:name="Tc_rF4b-vycHkGRt5GCSLcrRw_13_9"/>
      <w:bookmarkStart w:id="1282" w:name="Tc_wykDV5keAUefXZWOPxZMgw_13_8"/>
      <w:bookmarkStart w:id="1283" w:name="Tc_0WIQI1j_lU-0K6GgietS8w_13_5"/>
      <w:bookmarkStart w:id="1284" w:name="Tc_iFYCuAtDEU-_xcoHOHMJxA_13_2"/>
      <w:bookmarkStart w:id="1285" w:name="Tc_yMZTIhzflESCA_9MrIFqsQ_13_0"/>
      <w:bookmarkStart w:id="1286" w:name="Tc_oa-OvFHcNkOQgXQiFWkafg_11_11"/>
      <w:bookmarkStart w:id="1287" w:name="Tc_wL7-Bg-ySEWdIOK2P5OTvg_11_0"/>
      <w:bookmarkStart w:id="1288" w:name="Tc_bdHARCr_c0i8fsn4RhqBJA_10_0"/>
      <w:bookmarkStart w:id="1289" w:name="Tc_77gclAbMi0K5Esh0mMu31Q_9_0"/>
      <w:bookmarkStart w:id="1290" w:name="Tc_ltnvk7os5UWxw6DUafRPlA_8_11"/>
      <w:bookmarkStart w:id="1291" w:name="Tc_5uJIHxI10UWV1yycGUJpGA_8_8"/>
      <w:bookmarkStart w:id="1292" w:name="Tc_f-xXMnApkEy-4oBTNcZB0A_8_5"/>
      <w:bookmarkStart w:id="1293" w:name="Tc_66CRuYDS7k6RuhiHNAcGeA_8_2"/>
      <w:bookmarkStart w:id="1294" w:name="Tc_A8wDuSo-1k2NjTqKHmu1Fg_8_0"/>
      <w:bookmarkStart w:id="1295" w:name="Tc_DZnYorl3H0SRa_fqZLMJrQ_7_9"/>
      <w:bookmarkStart w:id="1296" w:name="Tc_32Blrhz_I0S37NrDWhaUBg_7_0"/>
      <w:bookmarkStart w:id="1297" w:name="Tc_rKpRBktdpE2EU2fEP14oXQ_6_0"/>
      <w:bookmarkStart w:id="1298" w:name="Tc_VI20gVZjdEWncSzpXM2qCw_5_9"/>
      <w:bookmarkStart w:id="1299" w:name="Tc_zh2zJJ0ynUOor7f34Z61dw_5_0"/>
      <w:bookmarkStart w:id="1300" w:name="Tc_NFSpuyOZqUuQdLEiav698Q_4_9"/>
      <w:bookmarkStart w:id="1301" w:name="Tc_iDjCudN0n0OW87UOnlwlhA_4_0"/>
      <w:bookmarkStart w:id="1302" w:name="Tc_NtWHnl6mkUqLmEmnRJjtpQ_3_11"/>
      <w:bookmarkStart w:id="1303" w:name="Tc__OedEsQA7EmAnPMT9TZhzg_3_9"/>
      <w:bookmarkStart w:id="1304" w:name="Tc_O_ub0bRhXkOxNs-_fuymTg_3_8"/>
      <w:bookmarkStart w:id="1305" w:name="Tc_-fVmEuE4w0mIiN3La5a7IA_3_5"/>
      <w:bookmarkStart w:id="1306" w:name="Tc_DeufaXQ-v0i_TeFiii5t8g_3_2"/>
      <w:bookmarkStart w:id="1307" w:name="Tc_65zRFUTXG0exzN4ruCiA6Q_3_0"/>
      <w:bookmarkStart w:id="1308" w:name="Tc_QZeuUQl_XEezKWYBP3Ropg_2_11"/>
      <w:bookmarkStart w:id="1309" w:name="Tc_sf7C8Mp-P0SzOXaYnHPK2A_2_8"/>
      <w:bookmarkStart w:id="1310" w:name="Tc_gQoP0bO7h06fD6pvIoI30A_2_5"/>
      <w:bookmarkStart w:id="1311" w:name="Tc_q132UiI7ckqW089MKEmxpA_2_2"/>
      <w:bookmarkStart w:id="1312" w:name="Tc_3dPjaw66C0WUvUFShy_gEg_1_2"/>
      <w:bookmarkStart w:id="1313" w:name="_8442e8a6_5b8e_4da5_9867_2b8a9d12a205"/>
      <w:bookmarkStart w:id="1314" w:name="Tc_yH-1lQTKPE2OgaVegxdvQg_31_11"/>
      <w:bookmarkStart w:id="1315" w:name="Tc_0OyFihEDCUC66fo8BKKmmA_31_8"/>
      <w:bookmarkStart w:id="1316" w:name="Tc_rwmjAwibj0ygna7k1nPqtg_31_5"/>
      <w:bookmarkStart w:id="1317" w:name="Tc_5-RemVf1Wk2aV_xubYkTVg_31_2"/>
      <w:bookmarkStart w:id="1318" w:name="Tc_xGbv-NI0q0WOockQkSPQQg_31_0"/>
      <w:bookmarkStart w:id="1319" w:name="Tc__dAESZ1x00aOCZqPosAXsA_30_11"/>
      <w:bookmarkStart w:id="1320" w:name="Tc_7kQhOhrp8U-hJvPWk3bN7g_30_8"/>
      <w:bookmarkStart w:id="1321" w:name="Tc_26VH8D2k-kWWyDIiMiH0NA_30_5"/>
      <w:bookmarkStart w:id="1322" w:name="Tc_5QycVP4ZWkmsUtg1D4s9ZQ_30_2"/>
      <w:bookmarkStart w:id="1323" w:name="Tc_vxENc3koE0eVYL9yLXL7Sw_30_0"/>
      <w:bookmarkStart w:id="1324" w:name="Tc_GpTfKWU8RUaYbqqSXXXHrg_29_11"/>
      <w:bookmarkStart w:id="1325" w:name="Tc_Ve1zPnj3z0yJzSxLOA2r6A_29_9"/>
      <w:bookmarkStart w:id="1326" w:name="Tc_GMAGK_8fyU-8PNZzb3qEWA_29_8"/>
      <w:bookmarkStart w:id="1327" w:name="Tc_sxd9CA-NLUa7SQ5RxdmNlg_29_5"/>
      <w:bookmarkStart w:id="1328" w:name="Tc_M3hWvC9LKUywEOgymRi4VA_29_2"/>
      <w:bookmarkStart w:id="1329" w:name="Tc_7cNMojUJa0STBgQiYiZ9pA_29_0"/>
      <w:bookmarkStart w:id="1330" w:name="Tc_ZQh8RBzCjEW-9Cy36n7ElQ_27_11"/>
      <w:bookmarkStart w:id="1331" w:name="Tc_0ooB1bm4BkunPDrmQWRPIA_27_0"/>
      <w:bookmarkStart w:id="1332" w:name="Tc_a7mrYFBC5UylxT8B_nhVuA_26_0"/>
      <w:bookmarkStart w:id="1333" w:name="Tc_v7oZ46_AQEmHu-yo1tDZdQ_25_0"/>
      <w:bookmarkStart w:id="1334" w:name="Tc_2FD9--w0mkGSJmpoHHvpQg_24_11"/>
      <w:bookmarkStart w:id="1335" w:name="Tc_e2VlEiKkgUiCCO3FROPUCg_24_8"/>
      <w:bookmarkStart w:id="1336" w:name="Tc_ATXfBVPNakOL59mhQqf3aw_24_5"/>
      <w:bookmarkStart w:id="1337" w:name="Tc_T1OCr3EtSE-lsLIPE1kCKw_24_2"/>
      <w:bookmarkStart w:id="1338" w:name="Tc_rmSdpOrhdEqao-CV7rVMMg_24_0"/>
      <w:bookmarkStart w:id="1339" w:name="Tc_eWvOEp1qJEuB8bfKPg23Ig_23_9"/>
      <w:bookmarkStart w:id="1340" w:name="Tc_TUacy71arU-8-XyOnU6DKw_23_0"/>
      <w:bookmarkStart w:id="1341" w:name="Tc_apTt3TbbvkuCXpvIryGMzA_22_0"/>
      <w:bookmarkStart w:id="1342" w:name="Tc_lHgbfp40dk2IUzBMlaixjQ_21_9"/>
      <w:bookmarkStart w:id="1343" w:name="Tc_T7JuJWV5OU2vRNa9itXbZg_21_0"/>
      <w:bookmarkStart w:id="1344" w:name="Tc_5xbLgixZrkqxO5q9hOzkyw_20_9"/>
      <w:bookmarkStart w:id="1345" w:name="Tc_bfXJl9rYwkON0kLWk5f2-A_20_0"/>
      <w:bookmarkStart w:id="1346" w:name="Tc_z7tlHlv6X025UI2ZumPghg_19_11"/>
      <w:bookmarkStart w:id="1347" w:name="Tc_ZoiYadyGOUSzPrtVC2CikA_19_9"/>
      <w:bookmarkStart w:id="1348" w:name="Tc_8n1UcUbGYkWfDrFh5ghcMQ_19_8"/>
      <w:bookmarkStart w:id="1349" w:name="Tc_tm8MhMkbbEqKJL4_yH61Ww_19_5"/>
      <w:bookmarkStart w:id="1350" w:name="Tc_wrVBloSank2wzsOpUZ7aXg_19_2"/>
      <w:bookmarkStart w:id="1351" w:name="Tc_KruQjM7FVU-ZkbbmHcAoIg_19_0"/>
      <w:bookmarkStart w:id="1352" w:name="Tc_9wHcWEX-PUGxkqjMDfNWWw_18_11"/>
      <w:bookmarkStart w:id="1353" w:name="Tc_i9F0Wlh4Uka7Y6rEtpcFrA_18_8"/>
      <w:bookmarkStart w:id="1354" w:name="Tc_XMiO2CikhkqWu7mkiz2LdQ_18_5"/>
      <w:bookmarkStart w:id="1355" w:name="Tc_6RTueMARskezAi-2M4qdcQ_18_2"/>
      <w:bookmarkStart w:id="1356" w:name="Tc_C7ex19kSO0-ZD-S_05adtw_17_2"/>
      <w:bookmarkStart w:id="1357" w:name="Tc_p-q7S2zDRkKyC0xiTDj7Mg_15_11"/>
      <w:bookmarkStart w:id="1358" w:name="Tc_eeW6358r1UyqdaCcjOJI9w_15_8"/>
      <w:bookmarkStart w:id="1359" w:name="Tc_zoPxiVHao0uLiAq4hVa7uA_15_5"/>
      <w:bookmarkStart w:id="1360" w:name="Tc_fIq481YySkOlO4PEWCg45A_15_2"/>
      <w:bookmarkStart w:id="1361" w:name="Tc_Q0wdAEvKoU265LE4dBKwuA_15_0"/>
      <w:bookmarkStart w:id="1362" w:name="Tc_XA-dtTN1k0q4zLauEBt9kA_14_11"/>
      <w:bookmarkStart w:id="1363" w:name="Tc_jzeGZmTvQ0q2g1V_men9gA_14_8"/>
      <w:bookmarkStart w:id="1364" w:name="Tc_lLHiPkf9kkWTfpxnfj0quQ_14_5"/>
      <w:bookmarkStart w:id="1365" w:name="Tc_2flIwgt4u0Cm8mnKprGzKg_14_2"/>
      <w:bookmarkStart w:id="1366" w:name="Tc_q4p-loFYFECOJxkdl3uWSw_14_0"/>
      <w:bookmarkStart w:id="1367" w:name="Tc_gpwNRAncK02geM_dVep3sw_13_11"/>
      <w:bookmarkStart w:id="1368" w:name="Tc_rF4b-vycHkGRt5GCSLcrRw_13_9"/>
      <w:bookmarkStart w:id="1369" w:name="Tc_wykDV5keAUefXZWOPxZMgw_13_8"/>
      <w:bookmarkStart w:id="1370" w:name="Tc_0WIQI1j_lU-0K6GgietS8w_13_5"/>
      <w:bookmarkStart w:id="1371" w:name="Tc_iFYCuAtDEU-_xcoHOHMJxA_13_2"/>
      <w:bookmarkStart w:id="1372" w:name="Tc_yMZTIhzflESCA_9MrIFqsQ_13_0"/>
      <w:bookmarkStart w:id="1373" w:name="Tc_oa-OvFHcNkOQgXQiFWkafg_11_11"/>
      <w:bookmarkStart w:id="1374" w:name="Tc_wL7-Bg-ySEWdIOK2P5OTvg_11_0"/>
      <w:bookmarkStart w:id="1375" w:name="Tc_bdHARCr_c0i8fsn4RhqBJA_10_0"/>
      <w:bookmarkStart w:id="1376" w:name="Tc_77gclAbMi0K5Esh0mMu31Q_9_0"/>
      <w:bookmarkStart w:id="1377" w:name="Tc_ltnvk7os5UWxw6DUafRPlA_8_11"/>
      <w:bookmarkStart w:id="1378" w:name="Tc_5uJIHxI10UWV1yycGUJpGA_8_8"/>
      <w:bookmarkStart w:id="1379" w:name="Tc_f-xXMnApkEy-4oBTNcZB0A_8_5"/>
      <w:bookmarkStart w:id="1380" w:name="Tc_66CRuYDS7k6RuhiHNAcGeA_8_2"/>
      <w:bookmarkStart w:id="1381" w:name="Tc_A8wDuSo-1k2NjTqKHmu1Fg_8_0"/>
      <w:bookmarkStart w:id="1382" w:name="Tc_DZnYorl3H0SRa_fqZLMJrQ_7_9"/>
      <w:bookmarkStart w:id="1383" w:name="Tc_32Blrhz_I0S37NrDWhaUBg_7_0"/>
      <w:bookmarkStart w:id="1384" w:name="Tc_rKpRBktdpE2EU2fEP14oXQ_6_0"/>
      <w:bookmarkStart w:id="1385" w:name="Tc_VI20gVZjdEWncSzpXM2qCw_5_9"/>
      <w:bookmarkStart w:id="1386" w:name="Tc_zh2zJJ0ynUOor7f34Z61dw_5_0"/>
      <w:bookmarkStart w:id="1387" w:name="Tc_NFSpuyOZqUuQdLEiav698Q_4_9"/>
      <w:bookmarkStart w:id="1388" w:name="Tc_iDjCudN0n0OW87UOnlwlhA_4_0"/>
      <w:bookmarkStart w:id="1389" w:name="Tc_NtWHnl6mkUqLmEmnRJjtpQ_3_11"/>
      <w:bookmarkStart w:id="1390" w:name="Tc__OedEsQA7EmAnPMT9TZhzg_3_9"/>
      <w:bookmarkStart w:id="1391" w:name="Tc_O_ub0bRhXkOxNs-_fuymTg_3_8"/>
      <w:bookmarkStart w:id="1392" w:name="Tc_-fVmEuE4w0mIiN3La5a7IA_3_5"/>
      <w:bookmarkStart w:id="1393" w:name="Tc_DeufaXQ-v0i_TeFiii5t8g_3_2"/>
      <w:bookmarkStart w:id="1394" w:name="Tc_65zRFUTXG0exzN4ruCiA6Q_3_0"/>
      <w:bookmarkStart w:id="1395" w:name="Tc_QZeuUQl_XEezKWYBP3Ropg_2_11"/>
      <w:bookmarkStart w:id="1396" w:name="Tc_sf7C8Mp-P0SzOXaYnHPK2A_2_8"/>
      <w:bookmarkStart w:id="1397" w:name="Tc_gQoP0bO7h06fD6pvIoI30A_2_5"/>
      <w:bookmarkStart w:id="1398" w:name="Tc_q132UiI7ckqW089MKEmxpA_2_2"/>
      <w:bookmarkStart w:id="1399" w:name="Tc_3dPjaw66C0WUvUFShy_gEg_1_2"/>
      <w:bookmarkStart w:id="1400" w:name="_8442e8a6_5b8e_4da5_9867_2b8a9d12a205"/>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p>
    <w:tbl>
      <w:tblPr>
        <w:tblW w:w="10205" w:type="dxa"/>
        <w:jc w:val="left"/>
        <w:tblInd w:w="0" w:type="dxa"/>
        <w:tblLayout w:type="fixed"/>
        <w:tblCellMar>
          <w:top w:w="0" w:type="dxa"/>
          <w:left w:w="0" w:type="dxa"/>
          <w:bottom w:w="0" w:type="dxa"/>
          <w:right w:w="0" w:type="dxa"/>
        </w:tblCellMar>
      </w:tblPr>
      <w:tblGrid>
        <w:gridCol w:w="3662"/>
        <w:gridCol w:w="346"/>
        <w:gridCol w:w="284"/>
        <w:gridCol w:w="1261"/>
        <w:gridCol w:w="346"/>
        <w:gridCol w:w="263"/>
        <w:gridCol w:w="1160"/>
        <w:gridCol w:w="346"/>
        <w:gridCol w:w="211"/>
        <w:gridCol w:w="790"/>
        <w:gridCol w:w="346"/>
        <w:gridCol w:w="211"/>
        <w:gridCol w:w="979"/>
      </w:tblGrid>
      <w:tr>
        <w:trPr/>
        <w:tc>
          <w:tcPr>
            <w:tcW w:w="3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325370" cy="175260"/>
                      <wp:effectExtent l="0" t="0" r="0" b="0"/>
                      <wp:wrapNone/>
                      <wp:docPr id="190" name="Frame190"/>
                      <a:graphic xmlns:a="http://schemas.openxmlformats.org/drawingml/2006/main">
                        <a:graphicData uri="http://schemas.microsoft.com/office/word/2010/wordprocessingShape">
                          <wps:wsp>
                            <wps:cNvSpPr txBox="1"/>
                            <wps:spPr>
                              <a:xfrm>
                                <a:off x="0" y="0"/>
                                <a:ext cx="2325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80340" cy="175260"/>
                      <wp:effectExtent l="0" t="0" r="0" b="0"/>
                      <wp:wrapNone/>
                      <wp:docPr id="192" name="Frame19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800735" cy="175260"/>
                      <wp:effectExtent l="0" t="0" r="0" b="0"/>
                      <wp:wrapNone/>
                      <wp:docPr id="193" name="Frame193"/>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67005" cy="175260"/>
                      <wp:effectExtent l="0" t="0" r="0" b="0"/>
                      <wp:wrapNone/>
                      <wp:docPr id="195" name="Frame19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736600" cy="175260"/>
                      <wp:effectExtent l="0" t="0" r="0" b="0"/>
                      <wp:wrapNone/>
                      <wp:docPr id="196" name="Frame196"/>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01650" cy="175260"/>
                      <wp:effectExtent l="0" t="0" r="0" b="0"/>
                      <wp:wrapNone/>
                      <wp:docPr id="199" name="Frame199"/>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21665" cy="175260"/>
                      <wp:effectExtent l="0" t="0" r="0" b="0"/>
                      <wp:wrapNone/>
                      <wp:docPr id="202" name="Frame202"/>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4,357,289</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1,773,699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6,130,988</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3,214,502</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1,317,846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4,532,348</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1,142,787</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455,853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1,598,640</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318,912</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181,679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556,043</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824,848</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274,288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(55,452)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1,043,684</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4,705</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1,048,389</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21,206</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43,668</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31,644</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38,602</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272,032</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288,837</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Mechanical Segment</w:t>
            </w:r>
          </w:p>
        </w:tc>
        <w:tc>
          <w:tcPr>
            <w:tcW w:w="346" w:type="dxa"/>
            <w:tcBorders/>
            <w:vAlign w:val="center"/>
          </w:tcPr>
          <w:p>
            <w:pPr>
              <w:pStyle w:val="TableContents"/>
              <w:bidi w:val="0"/>
              <w:spacing w:before="0" w:after="0"/>
              <w:ind w:left="0" w:right="0" w:hanging="0"/>
              <w:jc w:val="left"/>
              <w:rPr/>
            </w:pPr>
            <w:r>
              <w:rPr/>
              <w:t>  ​ ​ ​</w:t>
            </w:r>
          </w:p>
        </w:tc>
        <w:tc>
          <w:tcPr>
            <w:tcW w:w="14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Electrical Segment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346" w:type="dxa"/>
            <w:tcBorders/>
            <w:vAlign w:val="center"/>
          </w:tcPr>
          <w:p>
            <w:pPr>
              <w:pStyle w:val="TableContents"/>
              <w:bidi w:val="0"/>
              <w:spacing w:before="0" w:after="0"/>
              <w:ind w:left="0" w:right="0" w:hanging="0"/>
              <w:jc w:val="left"/>
              <w:rPr/>
            </w:pPr>
            <w:r>
              <w:rPr/>
              <w:t>  ​ ​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3,040,887</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963,718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4,004,605</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2,361,762</w:t>
            </w:r>
          </w:p>
        </w:tc>
        <w:tc>
          <w:tcPr>
            <w:tcW w:w="34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729,530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3,091,292</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679,125</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234,188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913,313</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269,344</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405,340</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410,504</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508,971</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to 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pPr>
            <w:r>
              <w:rPr/>
              <w:t>​</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(4,475)</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504,496</w:t>
            </w:r>
          </w:p>
        </w:tc>
      </w:tr>
      <w:tr>
        <w:trPr/>
        <w:tc>
          <w:tcPr>
            <w:tcW w:w="366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identifiable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28,856</w:t>
            </w:r>
          </w:p>
        </w:tc>
        <w:tc>
          <w:tcPr>
            <w:tcW w:w="346" w:type="dxa"/>
            <w:tcBorders/>
            <w:shd w:fill="CCEEFF" w:val="clear"/>
            <w:vAlign w:val="center"/>
          </w:tcPr>
          <w:p>
            <w:pPr>
              <w:pStyle w:val="TableContents"/>
              <w:bidi w:val="0"/>
              <w:spacing w:before="0" w:after="0"/>
              <w:ind w:left="0" w:right="0" w:hanging="0"/>
              <w:jc w:val="left"/>
              <w:rPr>
                <w:color w:val="0000FF"/>
              </w:rPr>
            </w:pPr>
            <w:r>
              <w:rPr>
                <w:color w:val="0000FF"/>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39,906</w:t>
            </w:r>
          </w:p>
        </w:tc>
      </w:tr>
      <w:tr>
        <w:trPr/>
        <w:tc>
          <w:tcPr>
            <w:tcW w:w="3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4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23,497</w:t>
            </w:r>
          </w:p>
        </w:tc>
        <w:tc>
          <w:tcPr>
            <w:tcW w:w="346" w:type="dxa"/>
            <w:tcBorders/>
            <w:vAlign w:val="center"/>
          </w:tcPr>
          <w:p>
            <w:pPr>
              <w:pStyle w:val="TableContents"/>
              <w:bidi w:val="0"/>
              <w:spacing w:before="0" w:after="0"/>
              <w:ind w:left="0" w:right="0" w:hanging="0"/>
              <w:jc w:val="left"/>
              <w:rPr>
                <w:color w:val="0000FF"/>
              </w:rPr>
            </w:pPr>
            <w:r>
              <w:rPr>
                <w:color w:val="0000FF"/>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28,866</w:t>
            </w:r>
          </w:p>
        </w:tc>
      </w:tr>
      <w:tr>
        <w:trPr/>
        <w:tc>
          <w:tcPr>
            <w:tcW w:w="3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43,298</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53,481</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bookmarkStart w:id="1401" w:name="_7222e97e_cdad_4000_8722_a8f1c1b53d14"/>
      <w:bookmarkEnd w:id="1401"/>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02" w:name="Item2ManagementsDiscussionandAnalysisofF"/>
      <w:bookmarkEnd w:id="1402"/>
      <w:r>
        <w:rPr>
          <w:rFonts w:ascii="Times New Roman;Times;serif" w:hAnsi="Times New Roman;Times;serif"/>
          <w:b/>
          <w:sz w:val="20"/>
        </w:rPr>
        <w:t xml:space="preserve">Item 2. </w:t>
      </w:r>
      <w:r>
        <w:rPr>
          <w:rFonts w:ascii="Times New Roman;Times;serif" w:hAnsi="Times New Roman;Times;serif"/>
          <w:b/>
          <w:i/>
          <w:sz w:val="20"/>
        </w:rPr>
        <w:t>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our historical Consolidated Financial Statements and related notes included elsewhere in this Quarterly Report on Form 10-Q and the Annual Report on Form 10-K filed with the Securities and Exchange Commission for the year ended December 31, 2025 (the “Form 10-K”). This discussion contains “forward-looking statements” regarding our business and industry within the meaning of applicable securities laws and regulations. These statements are based on our current plans and expectations and involve risks and uncertainties that could cause our actual future activities and results of operations to be materially different from those set forth in the forward-looking statements. Important factors that could cause actual results to differ include risks set forth in “Item 1A. Risk Factors” included in our Form 10-K. We undertake no obligation to revise or publicly release the results of any revision to these forward-looking statements, except as required by law. Given these risks and uncertainties, readers are cautioned not to place undue reliance on such forward-looking statements. The terms “Comfort Systems,” “we,” “us,” “our,” or the “Company,” refer to Comfort Systems USA, Inc. or Comfort Systems USA, Inc. and its consolidated subsidiaries, as appropriate in the context.</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Introduction and Overview</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national provider of comprehensive mechanical and electrical installation, renovation, maintenance, repair, and replacement services within the mechanical and electrical services industries. We operate primarily in the commercial, industrial, and institutional markets and perform most of our work in technology, manufacturing, healthcare, education, government, office, and retail facilities. We operate our business in two business segments: mechanical and electrical.</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Nature and Economics of Our Business</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our mechanical business segment, customers hire us to ensure heating, ventilation, and air conditioning (“HVAC”) systems deliver specified or generally expected heating, cooling, conditioning, and circulation of air in a facility. This entails installing core system equipment such as packaged heating and air conditioning units, or in the case of larger facilities, separate core components such as chillers, boilers, air handlers, and cooling towers. We also typically install connecting and distribution elements such as piping and ducting.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our electrical business segment, our principal business activity is electrical construction and engineering in the commercial and industrial fields. We also perform electrical contracting services and electrical service work.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both our mechanical and electrical business segments, our responsibilities usually require conforming the systems to pre-established engineering drawings and equipment and performance specifications, which we frequently participate in establishing. Our project management responsibilities include staging equipment and materials to project sites, deploying labor to perform the work, and coordinating with other service providers on the project, including any subcontractors we might use to deliver our portion of the work.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Approximately 94.4% of our revenue is earned on a project basis for installation services in newly constructed facilities or for replacement of systems in existing facilities. When competing for project business, we usually estimate the costs we will incur on a project and then propose a bid to the customer that includes a contract price and other performance and payment terms. Our bid price and terms are intended to cover our estimated costs on the project and provide a profit margin to us commensurate with the value of the installed system to the customer, the risk that project costs or duration will vary from estimate, the schedule on which we will be paid, the opportunities for other work that we might forego by committing capacity to this project, and other costs that we incur to support our operations but which are not specific to the project. Typically, customers will seek pricing from competitors for a given project. While the criteria on which customers select a provider vary widely and include factors such as quality, technical expertise, on-time performance, post-project support and service, and company history and financial strength, we believe that price for value is the most influential factor for most customers in choosing a mechanical or electrical installation and service provider.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After a customer accepts our bid, we generally enter into a contract with the customer that specifies what we will deliver on the project, what our related responsibilities are, and how much and when we will be paid. Our overall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price for the project is typically set at a fixed amount in the contract, although changes in project specifications or work conditions that result in unexpected additional work are usually subject to additional payment from the customer via what are commonly known as change orders. Project contracts typically provide for periodic billings to the customer as we meet progress milestones or incur costs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Labor, materials, and overhead costs account for the majority of our cost of service. Accordingly, labor management and utilization have the most impact on our project performance. Given the fixed price nature of much of our project work, if our initial estimate of project costs is wrong or we incur cost overruns that cannot be recovered in change orders, we can experience reduced profits or even significant losses on fixed price project work. We also perform some project work on a cost-plus or a time and materials basis, under which we are paid our costs incurred plus an agreed-upon profit margin, and such projects are sometimes subject to a guaranteed maximum cost. These margins are frequently less than fixed-price contract margins because there is less risk of unrecoverable cost overruns in cost-plus or time and materials work.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we had 8,941 projects in process. Our average project takes six to nine months to complete, with an average contract price of approximately $3.3 million. Our projects generally require working capital funding of equipment and labor costs. Customer payments on periodic billings generally do not recover these costs until late in the job. Our average project duration, together with typical retention terms as discussed above, generally allow us to complete the realization of revenue and earnings in cash within one year. We have what we consider to be a well-diversified distribution of revenue across end-use sectors that we believe reduces our exposure to negative developments in any given sector. Because of the integral nature of our services to most buildings, we have the legal right in almost all cases to attach liens to buildings or related funding sources when we have not been fully paid for installing systems, except with respect to some government buildings. The service work that we do, which is discussed further below, usually does not give rise to lien rights.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also perform larger projects. Taken together, projects with contract prices of $2 million or more totaled $28.06 billion of aggregate contract price as of June 30, 2026, or approximately 94% of a total aggregate contract price for all projects in progress, totaling $29.88 billion. Generally, projects closer in size to $2 million will be completed in one year or less. It is unusual for us to work on a project that exceeds two years in length.</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stratification of projects in progress as of June 30, 2026, by aggregate contract price, is as follows:</w:t>
      </w:r>
    </w:p>
    <w:p>
      <w:pPr>
        <w:pStyle w:val="TextBody"/>
        <w:bidi w:val="0"/>
        <w:spacing w:before="0" w:after="0"/>
        <w:ind w:left="0" w:right="0" w:firstLine="720"/>
        <w:jc w:val="left"/>
        <w:rPr/>
      </w:pPr>
      <w:r>
        <w:rPr/>
        <w:t>​</w:t>
      </w:r>
    </w:p>
    <w:tbl>
      <w:tblPr>
        <w:tblW w:w="4382" w:type="dxa"/>
        <w:jc w:val="left"/>
        <w:tblInd w:w="0" w:type="dxa"/>
        <w:tblLayout w:type="fixed"/>
        <w:tblCellMar>
          <w:top w:w="0" w:type="dxa"/>
          <w:left w:w="0" w:type="dxa"/>
          <w:bottom w:w="0" w:type="dxa"/>
          <w:right w:w="0" w:type="dxa"/>
        </w:tblCellMar>
      </w:tblPr>
      <w:tblGrid>
        <w:gridCol w:w="2191"/>
        <w:gridCol w:w="146"/>
        <w:gridCol w:w="706"/>
        <w:gridCol w:w="109"/>
        <w:gridCol w:w="225"/>
        <w:gridCol w:w="1005"/>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91285" cy="175260"/>
                      <wp:effectExtent l="0" t="0" r="0" b="0"/>
                      <wp:wrapNone/>
                      <wp:docPr id="203" name="Frame203"/>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2710" cy="175260"/>
                      <wp:effectExtent l="0" t="0" r="0" b="0"/>
                      <wp:wrapNone/>
                      <wp:docPr id="204" name="Frame20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48310" cy="175260"/>
                      <wp:effectExtent l="0" t="0" r="0" b="0"/>
                      <wp:wrapNone/>
                      <wp:docPr id="205" name="Frame20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42875" cy="175260"/>
                      <wp:effectExtent l="0" t="0" r="0" b="0"/>
                      <wp:wrapNone/>
                      <wp:docPr id="207" name="Frame20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38175" cy="175260"/>
                      <wp:effectExtent l="0" t="0" r="0" b="0"/>
                      <wp:wrapNone/>
                      <wp:docPr id="208" name="Frame208"/>
                      <a:graphic xmlns:a="http://schemas.openxmlformats.org/drawingml/2006/main">
                        <a:graphicData uri="http://schemas.microsoft.com/office/word/2010/wordprocessingShape">
                          <wps:wsp>
                            <wps:cNvSpPr txBox="1"/>
                            <wps:spPr>
                              <a:xfrm>
                                <a:off x="0" y="0"/>
                                <a:ext cx="638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1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 of</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 Price</w: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Contract Price of Project</w:t>
            </w:r>
          </w:p>
        </w:tc>
        <w:tc>
          <w:tcPr>
            <w:tcW w:w="146" w:type="dxa"/>
            <w:tcBorders/>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Projects</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 $2 million</w:t>
            </w:r>
          </w:p>
        </w:tc>
        <w:tc>
          <w:tcPr>
            <w:tcW w:w="1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7,659</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1,819.1</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million - $10 million</w:t>
            </w:r>
          </w:p>
        </w:tc>
        <w:tc>
          <w:tcPr>
            <w:tcW w:w="1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3,326.5</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million - $25 million</w:t>
            </w:r>
          </w:p>
        </w:tc>
        <w:tc>
          <w:tcPr>
            <w:tcW w:w="146" w:type="dxa"/>
            <w:tcBorders/>
            <w:shd w:fill="CCEEFF" w:val="clear"/>
            <w:vAlign w:val="center"/>
          </w:tcPr>
          <w:p>
            <w:pPr>
              <w:pStyle w:val="TableContents"/>
              <w:bidi w:val="0"/>
              <w:spacing w:before="0" w:after="0"/>
              <w:ind w:left="0" w:right="0" w:hanging="0"/>
              <w:jc w:val="left"/>
              <w:rPr/>
            </w:pPr>
            <w:r>
              <w:rPr/>
              <w:t> </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10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3,887.5</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 million - $50 million</w:t>
            </w:r>
          </w:p>
        </w:tc>
        <w:tc>
          <w:tcPr>
            <w:tcW w:w="14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10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5,513.5</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Greater than $50 million</w:t>
            </w:r>
          </w:p>
        </w:tc>
        <w:tc>
          <w:tcPr>
            <w:tcW w:w="146" w:type="dxa"/>
            <w:tcBorders/>
            <w:shd w:fill="CCEEFF" w:val="cle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15,335.5</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vAlign w:val="center"/>
          </w:tcPr>
          <w:p>
            <w:pPr>
              <w:pStyle w:val="TableContents"/>
              <w:bidi w:val="0"/>
              <w:spacing w:before="0" w:after="0"/>
              <w:ind w:left="0" w:right="0" w:hanging="0"/>
              <w:jc w:val="left"/>
              <w:rPr/>
            </w:pPr>
            <w:r>
              <w:rPr/>
              <w:t> </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8,941</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5"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29,882.1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project work, approximately 5.6% of our revenue represents maintenance and repair service on already installed HVAC, electrical, and controls systems. This kind of work usually takes from a few hours to a few days to perform. Prices to the customer are based on the equipment and materials used in the service as well as technician labor time. We usually bill the customer for service work when it is complete, typically with payment terms of up to 30 days. We also provide maintenance and repair services under ongoing contracts. Under these contracts, we are paid regular monthly or quarterly amounts and provide specified service based on customer requirements. These agreements typically are for one or more years and frequently contain 30- to 60-day cancellation notice periods.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relatively small portion of our revenue comes from national and regional account customers. These customers typically have multiple sites and contract with us to perform maintenance and repair service. These contracts may also provide for us to perform new or replacement systems installation. We operate a national call center to dispatch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technicians to sites requiring service. We perform the majority of this work with our own employees, with the balance being subcontracted to third parties that meet our performance qualifications. </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Profile and Management of Our Operations</w:t>
      </w:r>
    </w:p>
    <w:p>
      <w:pPr>
        <w:pStyle w:val="TextBody"/>
        <w:pBdr/>
        <w:bidi w:val="0"/>
        <w:spacing w:before="0" w:after="0"/>
        <w:ind w:left="720" w:right="0" w:hanging="36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manage our 51 operating units based on a variety of factors. Financial measures we emphasize include profitability and use of capital as indicated by cash flow and by other measures of working capital principally involving project cost, billings, and receivables. We also monitor selling, general, administrative, and indirect project support expense, backlog, workforce size and mix, growth in revenue and profits, variation of actual project cost from original estimate, and overall financial performance in comparison to budget and updated forecasts. Operational factors we emphasize include project selection, estimating, pricing, safety, management and execution practices, labor utilization, training, and the make-up of both existing backlog as well as new business being pursued, in terms of project size, technical application, facility type, end-use customers and industries, and location of the work.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Most of our operations compete on a local or regional basis. Attracting and retaining effective operating unit managers is an important factor in our business, particularly in view of the relative uniqueness of each market and operation, the importance of relationships with customers and other market participants, such as architects and consulting engineers, and the high degree of competition and low barriers to entry in most of our markets. Accordingly, we devote considerable attention to operating unit management quality, stability, and contingency planning, including related considerations of compensation and non-competition protection where applicable.</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Economic and Industry Factors</w:t>
      </w:r>
    </w:p>
    <w:p>
      <w:pPr>
        <w:pStyle w:val="TextBody"/>
        <w:pBdr/>
        <w:bidi w:val="0"/>
        <w:spacing w:before="0" w:after="0"/>
        <w:ind w:left="720" w:right="0" w:hanging="36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mechanical and electrical services provider, we operate in the broader nonresidential construction services industry and are affected by trends in this sector. While we do not have operations in all major cities of the United States, we believe our national presence is sufficiently large that we experience trends in demand for and pricing of our services that are consistent with trends in the national nonresidential construction sector. As a result, we monitor the views of major construction sector forecasters along with macroeconomic factors they believe drive the sector, including trends in gross domestic product, interest rates, business investment, employment, demographics, and the fiscal condition of federal, state, and local governments.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Spending decisions for building construction, renovation and system replacement are generally made on a project basis, usually with some degree of discretion as to when and if projects proceed. With larger amounts of capital, time, and discretion involved, spending decisions are affected to a significant degree by uncertainty, particularly concerns about economic and financial conditions and trends. We have experienced periods of time when economic weakness caused a significant slowdown in decisions to proceed with installation and replacement project work.</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Operating Environment and Management Emphasis</w:t>
      </w:r>
    </w:p>
    <w:p>
      <w:pPr>
        <w:pStyle w:val="TextBody"/>
        <w:pBdr/>
        <w:bidi w:val="0"/>
        <w:spacing w:before="0" w:after="0"/>
        <w:ind w:left="720" w:right="0" w:hanging="36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We have experienced increasing demand since 2022, culminating in an unprecedented overall demand environment in 2025 and through the second quarter of 2026. We currently expect that the demand environment, especially for manufacturing and technology customers, will remain at high levels during 2026. Over the last several years, we have also experienced increases in labor costs and delays in delivery of certain materials and equipment. We anticipate that cost pressures and intermittent delays in our supply chain will persist over the next several quarters</w:t>
      </w:r>
      <w:r>
        <w:rPr>
          <w:rFonts w:ascii="Times New Roman;Times;serif" w:hAnsi="Times New Roman;Times;serif"/>
          <w:sz w:val="2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credit facility in place with terms we believe are favorable that does not expire until October 2030. As of June 30, 2026, we had $1.01 billion of credit available to borrow under our credit facility. We have strong surety relationships to support our bonding needs, and we believe our relationships with the surety markets are strong and benefit from our operating history and financial position. We have generated positive free cash flow in each of the last 27 calendar years and will continue our emphasis in this area. We believe that the relative size and strength of our Balance Sheet and surety relationships, as compared to most companies in our industry, represent competitive advantages for us.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discussed at greater length in “Results of Operations” below, we expect price competition to continue as local and regional industry participants compete for customers. </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Cyclicality and Seasonality</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construction industry is subject to business cycle fluctuation. As a result, our volume of business, particularly in new construction projects and renovation, may be adversely affected by declines in new installation and replacement projects in various geographic regions of the United States during periods of economic weakness.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mechanical and electrical contracting industries are also subject to seasonal variations. The demand for new installation and replacement is generally lower during the winter months (the first quarter of the year) due to reduced construction activity during inclement weather and less use of air conditioning during the colder months. Demand for our services is generally higher in the second and third calendar quarters due to increased construction activity and increased use of air conditioning during the warmer months. Accordingly, we expect our revenue and operating results will generally be lower in the first calendar quarter. </w:t>
      </w:r>
    </w:p>
    <w:p>
      <w:pPr>
        <w:pStyle w:val="TextBody"/>
        <w:bidi w:val="0"/>
        <w:spacing w:before="0" w:after="0"/>
        <w:ind w:left="0" w:right="0" w:firstLine="720"/>
        <w:jc w:val="left"/>
        <w:rPr/>
      </w:pPr>
      <w:r>
        <w:rPr/>
        <w:t>​</w:t>
      </w:r>
    </w:p>
    <w:p>
      <w:pPr>
        <w:pStyle w:val="TextBody"/>
        <w:pBdr/>
        <w:bidi w:val="0"/>
        <w:spacing w:before="0" w:after="140"/>
        <w:ind w:left="720" w:right="0" w:hanging="360"/>
        <w:jc w:val="left"/>
        <w:rPr>
          <w:rFonts w:ascii="Times New Roman;Times;serif" w:hAnsi="Times New Roman;Times;serif"/>
          <w:b/>
          <w:i/>
          <w:sz w:val="20"/>
        </w:rPr>
      </w:pPr>
      <w:r>
        <w:rPr>
          <w:rFonts w:ascii="Times New Roman;Times;serif" w:hAnsi="Times New Roman;Times;serif"/>
          <w:b/>
          <w:i/>
          <w:sz w:val="20"/>
        </w:rPr>
        <w:t>Critical Accounting Estimates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Management believes that there have been no significant changes during the three months ended June 30, 2026 to the items that we disclosed as our “Critical Accounting Estimates” in Management's Discussion and Analysis of Financial Condition and Results of Operations in our Form 10-K for the fiscal year ended December 31, 2025. A summary of significant accounting policies and a summary of recent accounting pronouncements applicable to our Consolidated Financial Statements are included in Note 2, “Summary of Significant Accounting Policies and Estimates.”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03" w:name="_925bfc60_ca2d_42ae_a265_6505369d5b0e"/>
      <w:bookmarkEnd w:id="1403"/>
      <w:r>
        <w:rPr>
          <w:rFonts w:ascii="Times New Roman;Times;serif" w:hAnsi="Times New Roman;Times;serif"/>
          <w:b/>
          <w:sz w:val="20"/>
        </w:rPr>
        <w:t>Results of Operations (dollars in thousands):</w:t>
      </w:r>
    </w:p>
    <w:p>
      <w:pPr>
        <w:pStyle w:val="TextBody"/>
        <w:bidi w:val="0"/>
        <w:spacing w:before="0" w:after="0"/>
        <w:ind w:left="0" w:right="0" w:hanging="0"/>
        <w:jc w:val="left"/>
        <w:rPr/>
      </w:pPr>
      <w:r>
        <w:rPr/>
        <w:t>​</w:t>
      </w:r>
    </w:p>
    <w:tbl>
      <w:tblPr>
        <w:tblW w:w="11381" w:type="dxa"/>
        <w:jc w:val="left"/>
        <w:tblInd w:w="0" w:type="dxa"/>
        <w:tblLayout w:type="fixed"/>
        <w:tblCellMar>
          <w:top w:w="0" w:type="dxa"/>
          <w:left w:w="0" w:type="dxa"/>
          <w:bottom w:w="0" w:type="dxa"/>
          <w:right w:w="0" w:type="dxa"/>
        </w:tblCellMar>
      </w:tblPr>
      <w:tblGrid>
        <w:gridCol w:w="1291"/>
        <w:gridCol w:w="346"/>
        <w:gridCol w:w="211"/>
        <w:gridCol w:w="931"/>
        <w:gridCol w:w="346"/>
        <w:gridCol w:w="571"/>
        <w:gridCol w:w="361"/>
        <w:gridCol w:w="211"/>
        <w:gridCol w:w="931"/>
        <w:gridCol w:w="346"/>
        <w:gridCol w:w="571"/>
        <w:gridCol w:w="361"/>
        <w:gridCol w:w="211"/>
        <w:gridCol w:w="931"/>
        <w:gridCol w:w="346"/>
        <w:gridCol w:w="571"/>
        <w:gridCol w:w="361"/>
        <w:gridCol w:w="211"/>
        <w:gridCol w:w="931"/>
        <w:gridCol w:w="346"/>
        <w:gridCol w:w="571"/>
        <w:gridCol w:w="271"/>
        <w:gridCol w:w="154"/>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819785" cy="175260"/>
                      <wp:effectExtent l="0" t="0" r="0" b="0"/>
                      <wp:wrapNone/>
                      <wp:docPr id="209" name="Frame209"/>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91185" cy="175260"/>
                      <wp:effectExtent l="0" t="0" r="0" b="0"/>
                      <wp:wrapNone/>
                      <wp:docPr id="212" name="Frame2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62585" cy="175260"/>
                      <wp:effectExtent l="0" t="0" r="0" b="0"/>
                      <wp:wrapNone/>
                      <wp:docPr id="214" name="Frame21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29235" cy="175260"/>
                      <wp:effectExtent l="0" t="0" r="0" b="0"/>
                      <wp:wrapNone/>
                      <wp:docPr id="215" name="Frame21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91185" cy="175260"/>
                      <wp:effectExtent l="0" t="0" r="0" b="0"/>
                      <wp:wrapNone/>
                      <wp:docPr id="217" name="Frame2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62585" cy="175260"/>
                      <wp:effectExtent l="0" t="0" r="0" b="0"/>
                      <wp:wrapNone/>
                      <wp:docPr id="219" name="Frame2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29235" cy="175260"/>
                      <wp:effectExtent l="0" t="0" r="0" b="0"/>
                      <wp:wrapNone/>
                      <wp:docPr id="220" name="Frame2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91185" cy="175260"/>
                      <wp:effectExtent l="0" t="0" r="0" b="0"/>
                      <wp:wrapNone/>
                      <wp:docPr id="222" name="Frame2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62585" cy="175260"/>
                      <wp:effectExtent l="0" t="0" r="0" b="0"/>
                      <wp:wrapNone/>
                      <wp:docPr id="224" name="Frame2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29235" cy="175260"/>
                      <wp:effectExtent l="0" t="0" r="0" b="0"/>
                      <wp:wrapNone/>
                      <wp:docPr id="225" name="Frame22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91185" cy="175260"/>
                      <wp:effectExtent l="0" t="0" r="0" b="0"/>
                      <wp:wrapNone/>
                      <wp:docPr id="227" name="Frame2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62585" cy="175260"/>
                      <wp:effectExtent l="0" t="0" r="0" b="0"/>
                      <wp:wrapNone/>
                      <wp:docPr id="229" name="Frame2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72085" cy="175260"/>
                      <wp:effectExtent l="0" t="0" r="0" b="0"/>
                      <wp:wrapNone/>
                      <wp:docPr id="230" name="Frame23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97790" cy="175260"/>
                      <wp:effectExtent l="0" t="0" r="0" b="0"/>
                      <wp:wrapNone/>
                      <wp:docPr id="231" name="Frame23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47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61" w:type="dxa"/>
            <w:tcBorders/>
            <w:vAlign w:val="center"/>
          </w:tcPr>
          <w:p>
            <w:pPr>
              <w:pStyle w:val="TableContents"/>
              <w:bidi w:val="0"/>
              <w:spacing w:before="0" w:after="0"/>
              <w:ind w:left="0" w:right="0" w:hanging="0"/>
              <w:jc w:val="left"/>
              <w:rPr/>
            </w:pPr>
            <w:r>
              <w:rPr/>
              <w:t> </w:t>
            </w:r>
          </w:p>
        </w:tc>
        <w:tc>
          <w:tcPr>
            <w:tcW w:w="447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2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3,265,656</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2,173,319</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6,130,988</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4,004,605</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2,421,428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1,663,422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4,532,348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3,091,292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844,228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509,897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1,598,640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913,313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287,047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210,466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556,043</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405,340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557,966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299,873</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1,043,684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508,971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(3,615)</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fair value of contingent earn-out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color w:val="FF0000"/>
              </w:rPr>
            </w:pPr>
            <w:r>
              <w:rPr>
                <w:color w:val="FF0000"/>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566,243</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296,484</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1,048,389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504,496</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124,641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65,636</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236,409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104,359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441,602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230,848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811,980</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400,137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had 50 operating locations as of December 31, 2025. In the second quarter of 2026, we completed the acquisition of R.C. Hunt Electric, LLC (“Hunt”), which reports as a separate operating location. We had 51 operating locations as of June 30, 2026. Acquisitions are included in our results of operations from the respective acquisition date. The same-store comparison from 2026 to 2025, as described below, excludes Hunt, which was acquired on May 1, 2026, </w:t>
      </w:r>
      <w:r>
        <w:rPr>
          <w:rFonts w:ascii="Times New Roman;Times;serif" w:hAnsi="Times New Roman;Times;serif"/>
          <w:sz w:val="20"/>
          <w:shd w:fill="FFFFFF" w:val="clear"/>
        </w:rPr>
        <w:t>Feyen-Zylstra Holdings, LLC (“Feyen Zylstra”), which was acquired on October 1, 2025,</w:t>
      </w:r>
      <w:r>
        <w:rPr>
          <w:rFonts w:ascii="Times New Roman;Times;serif" w:hAnsi="Times New Roman;Times;serif"/>
          <w:sz w:val="20"/>
        </w:rPr>
        <w:t xml:space="preserve"> </w:t>
      </w:r>
      <w:r>
        <w:rPr>
          <w:rFonts w:ascii="Times New Roman;Times;serif" w:hAnsi="Times New Roman;Times;serif"/>
          <w:sz w:val="20"/>
          <w:shd w:fill="FFFFFF" w:val="clear"/>
        </w:rPr>
        <w:t>Meisner Electric, Inc. (“Meisner”), which was acquired on October 1, 2025, and four months of results for</w:t>
      </w:r>
      <w:r>
        <w:rPr>
          <w:rFonts w:ascii="Times New Roman;Times;serif" w:hAnsi="Times New Roman;Times;serif"/>
          <w:sz w:val="20"/>
        </w:rPr>
        <w:t xml:space="preserve"> </w:t>
      </w:r>
      <w:r>
        <w:rPr>
          <w:rFonts w:ascii="Times New Roman;Times;serif" w:hAnsi="Times New Roman;Times;serif"/>
          <w:sz w:val="20"/>
          <w:shd w:fill="FFFFFF" w:val="clear"/>
        </w:rPr>
        <w:t>Right Way Plumbing &amp; Mechanical LLC (“Right Way”),</w:t>
      </w:r>
      <w:r>
        <w:rPr>
          <w:rFonts w:ascii="Times New Roman;Times;serif" w:hAnsi="Times New Roman;Times;serif"/>
          <w:sz w:val="20"/>
        </w:rPr>
        <w:t xml:space="preserve"> which was acquired on May 1, 2025. An operating location is included in the same-store comparison on the first day it has comparable prior year operating data, except for immaterial acquisitions that are often absorbed and integrated with existing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Revenue</w:t>
      </w:r>
      <w:r>
        <w:rPr>
          <w:rFonts w:ascii="Times New Roman;Times;serif" w:hAnsi="Times New Roman;Times;serif"/>
          <w:sz w:val="20"/>
        </w:rPr>
        <w:t xml:space="preserve">—Revenue for the second quarter of 2026 increased $1.09 billion, or 50.3%, to $3.27 billion compared to the same period in 2025. </w:t>
      </w:r>
      <w:r>
        <w:rPr>
          <w:rFonts w:ascii="Times New Roman;Times;serif" w:hAnsi="Times New Roman;Times;serif"/>
          <w:sz w:val="20"/>
          <w:shd w:fill="FFFFFF" w:val="clear"/>
        </w:rPr>
        <w:t>The increase included a 6.5% increase primarily related to the Hunt, Feyen Zylstra, and Meisner acquisitions, as well as a 43.8% increase in revenue related to same-store activity. </w:t>
      </w:r>
      <w:r>
        <w:rPr>
          <w:rFonts w:ascii="Times New Roman;Times;serif" w:hAnsi="Times New Roman;Times;serif"/>
          <w:sz w:val="20"/>
        </w:rPr>
        <w:t xml:space="preserve">The </w:t>
      </w:r>
      <w:r>
        <w:rPr>
          <w:rFonts w:ascii="Times New Roman;Times;serif" w:hAnsi="Times New Roman;Times;serif"/>
          <w:sz w:val="20"/>
          <w:shd w:fill="FFFFFF" w:val="clear"/>
        </w:rPr>
        <w:t>same-store</w:t>
      </w:r>
      <w:r>
        <w:rPr>
          <w:rFonts w:ascii="Times New Roman;Times;serif" w:hAnsi="Times New Roman;Times;serif"/>
          <w:sz w:val="20"/>
        </w:rPr>
        <w:t xml:space="preserve"> revenue growth was largely driven by strong market conditions, including the increase in our backlog. The increase in demand has been especially strong in the technology sector, particularly for data centers.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operating segment revenue (in thousands, except percentages):</w:t>
      </w:r>
    </w:p>
    <w:p>
      <w:pPr>
        <w:pStyle w:val="TextBody"/>
        <w:shd w:fill="FFFFFF" w:val="clear"/>
        <w:bidi w:val="0"/>
        <w:spacing w:before="100" w:after="100"/>
        <w:ind w:left="0" w:right="0" w:firstLine="720"/>
        <w:jc w:val="left"/>
        <w:rPr/>
      </w:pPr>
      <w:r>
        <w:rPr/>
        <w:t>​</w:t>
      </w:r>
    </w:p>
    <w:tbl>
      <w:tblPr>
        <w:tblW w:w="7156" w:type="dxa"/>
        <w:jc w:val="left"/>
        <w:tblInd w:w="0" w:type="dxa"/>
        <w:tblLayout w:type="fixed"/>
        <w:tblCellMar>
          <w:top w:w="0" w:type="dxa"/>
          <w:left w:w="0" w:type="dxa"/>
          <w:bottom w:w="0" w:type="dxa"/>
          <w:right w:w="0" w:type="dxa"/>
        </w:tblCellMar>
      </w:tblPr>
      <w:tblGrid>
        <w:gridCol w:w="1831"/>
        <w:gridCol w:w="346"/>
        <w:gridCol w:w="211"/>
        <w:gridCol w:w="931"/>
        <w:gridCol w:w="346"/>
        <w:gridCol w:w="571"/>
        <w:gridCol w:w="361"/>
        <w:gridCol w:w="109"/>
        <w:gridCol w:w="211"/>
        <w:gridCol w:w="931"/>
        <w:gridCol w:w="346"/>
        <w:gridCol w:w="571"/>
        <w:gridCol w:w="39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162685" cy="175895"/>
                      <wp:effectExtent l="0" t="0" r="0" b="0"/>
                      <wp:wrapNone/>
                      <wp:docPr id="232" name="Frame232"/>
                      <a:graphic xmlns:a="http://schemas.openxmlformats.org/drawingml/2006/main">
                        <a:graphicData uri="http://schemas.microsoft.com/office/word/2010/wordprocessingShape">
                          <wps:wsp>
                            <wps:cNvSpPr txBox="1"/>
                            <wps:spPr>
                              <a:xfrm>
                                <a:off x="0" y="0"/>
                                <a:ext cx="11626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895"/>
                      <wp:effectExtent l="0" t="0" r="0" b="0"/>
                      <wp:wrapNone/>
                      <wp:docPr id="233" name="Frame23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895"/>
                      <wp:effectExtent l="0" t="0" r="0" b="0"/>
                      <wp:wrapNone/>
                      <wp:docPr id="234" name="Frame23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91185" cy="175895"/>
                      <wp:effectExtent l="0" t="0" r="0" b="0"/>
                      <wp:wrapNone/>
                      <wp:docPr id="235" name="Frame235"/>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895"/>
                      <wp:effectExtent l="0" t="0" r="0" b="0"/>
                      <wp:wrapNone/>
                      <wp:docPr id="236" name="Frame236"/>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62585" cy="175895"/>
                      <wp:effectExtent l="0" t="0" r="0" b="0"/>
                      <wp:wrapNone/>
                      <wp:docPr id="237" name="Frame237"/>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29235" cy="175895"/>
                      <wp:effectExtent l="0" t="0" r="0" b="0"/>
                      <wp:wrapNone/>
                      <wp:docPr id="238" name="Frame238"/>
                      <a:graphic xmlns:a="http://schemas.openxmlformats.org/drawingml/2006/main">
                        <a:graphicData uri="http://schemas.microsoft.com/office/word/2010/wordprocessingShape">
                          <wps:wsp>
                            <wps:cNvSpPr txBox="1"/>
                            <wps:spPr>
                              <a:xfrm>
                                <a:off x="0" y="0"/>
                                <a:ext cx="229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895"/>
                      <wp:effectExtent l="0" t="0" r="0" b="0"/>
                      <wp:wrapNone/>
                      <wp:docPr id="239" name="Frame23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895"/>
                      <wp:effectExtent l="0" t="0" r="0" b="0"/>
                      <wp:wrapNone/>
                      <wp:docPr id="240" name="Frame24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91185" cy="175895"/>
                      <wp:effectExtent l="0" t="0" r="0" b="0"/>
                      <wp:wrapNone/>
                      <wp:docPr id="241" name="Frame241"/>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895"/>
                      <wp:effectExtent l="0" t="0" r="0" b="0"/>
                      <wp:wrapNone/>
                      <wp:docPr id="242" name="Frame24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62585" cy="175895"/>
                      <wp:effectExtent l="0" t="0" r="0" b="0"/>
                      <wp:wrapNone/>
                      <wp:docPr id="243" name="Frame243"/>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48285" cy="175895"/>
                      <wp:effectExtent l="0" t="0" r="0" b="0"/>
                      <wp:wrapNone/>
                      <wp:docPr id="244" name="Frame244"/>
                      <a:graphic xmlns:a="http://schemas.openxmlformats.org/drawingml/2006/main">
                        <a:graphicData uri="http://schemas.microsoft.com/office/word/2010/wordprocessingShape">
                          <wps:wsp>
                            <wps:cNvSpPr txBox="1"/>
                            <wps:spPr>
                              <a:xfrm>
                                <a:off x="0" y="0"/>
                                <a:ext cx="248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w:t>
            </w:r>
          </w:p>
        </w:tc>
        <w:tc>
          <w:tcPr>
            <w:tcW w:w="4588" w:type="dxa"/>
            <w:gridSpan w:val="10"/>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91" w:type="dxa"/>
            <w:tcBorders/>
            <w:vAlign w:val="center"/>
          </w:tcPr>
          <w:p>
            <w:pPr>
              <w:pStyle w:val="TableContents"/>
              <w:bidi w:val="0"/>
              <w:spacing w:before="1" w:after="1"/>
              <w:ind w:left="0" w:right="0" w:hanging="0"/>
              <w:jc w:val="left"/>
              <w:rPr/>
            </w:pPr>
            <w:r>
              <w:rPr/>
              <w:t> </w:t>
            </w:r>
          </w:p>
        </w:tc>
      </w:tr>
      <w:tr>
        <w:trPr/>
        <w:tc>
          <w:tcPr>
            <w:tcW w:w="183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1" w:after="1"/>
              <w:ind w:left="0" w:right="0" w:hanging="0"/>
              <w:jc w:val="left"/>
              <w:rPr/>
            </w:pPr>
            <w:r>
              <w:rPr/>
              <w:t>  ​ ​ ​</w:t>
            </w:r>
          </w:p>
        </w:tc>
        <w:tc>
          <w:tcPr>
            <w:tcW w:w="109" w:type="dxa"/>
            <w:tcBorders/>
            <w:vAlign w:val="center"/>
          </w:tcPr>
          <w:p>
            <w:pPr>
              <w:pStyle w:val="TableContents"/>
              <w:bidi w:val="0"/>
              <w:spacing w:before="1" w:after="1"/>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1" w:after="1"/>
              <w:ind w:left="0" w:right="0" w:hanging="0"/>
              <w:jc w:val="left"/>
              <w:rPr/>
            </w:pPr>
            <w:r>
              <w:rPr/>
              <w:t>  ​ ​ ​</w:t>
            </w:r>
          </w:p>
        </w:tc>
      </w:tr>
      <w:tr>
        <w:trPr/>
        <w:tc>
          <w:tcPr>
            <w:tcW w:w="18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left"/>
              <w:rPr/>
            </w:pPr>
            <w:r>
              <w:rPr/>
              <w:t>​</w:t>
            </w:r>
          </w:p>
        </w:tc>
        <w:tc>
          <w:tcPr>
            <w:tcW w:w="361"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  ​ ​ ​</w:t>
            </w:r>
          </w:p>
        </w:tc>
        <w:tc>
          <w:tcPr>
            <w:tcW w:w="571" w:type="dxa"/>
            <w:tcBorders/>
            <w:shd w:fill="CCEEFF" w:val="clear"/>
            <w:vAlign w:val="center"/>
          </w:tcPr>
          <w:p>
            <w:pPr>
              <w:pStyle w:val="TableContents"/>
              <w:bidi w:val="0"/>
              <w:spacing w:before="1" w:after="1"/>
              <w:ind w:left="0" w:right="0" w:hanging="0"/>
              <w:jc w:val="left"/>
              <w:rPr/>
            </w:pPr>
            <w:r>
              <w:rPr/>
              <w:t>​</w:t>
            </w:r>
          </w:p>
        </w:tc>
        <w:tc>
          <w:tcPr>
            <w:tcW w:w="391" w:type="dxa"/>
            <w:tcBorders/>
            <w:shd w:fill="CCEEFF" w:val="clear"/>
            <w:vAlign w:val="center"/>
          </w:tcPr>
          <w:p>
            <w:pPr>
              <w:pStyle w:val="TableContents"/>
              <w:bidi w:val="0"/>
              <w:spacing w:before="1" w:after="1"/>
              <w:ind w:left="0" w:right="0" w:hanging="0"/>
              <w:jc w:val="left"/>
              <w:rPr/>
            </w:pPr>
            <w:r>
              <w:rPr/>
              <w:t>​</w:t>
            </w:r>
          </w:p>
        </w:tc>
      </w:tr>
      <w:tr>
        <w:trPr/>
        <w:tc>
          <w:tcPr>
            <w:tcW w:w="183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2,296,667</w:t>
            </w:r>
          </w:p>
        </w:tc>
        <w:tc>
          <w:tcPr>
            <w:tcW w:w="346" w:type="dxa"/>
            <w:tcBorders/>
            <w:vAlign w:val="center"/>
          </w:tcPr>
          <w:p>
            <w:pPr>
              <w:pStyle w:val="TableContents"/>
              <w:bidi w:val="0"/>
              <w:spacing w:before="1" w:after="1"/>
              <w:ind w:left="0" w:right="0" w:hanging="0"/>
              <w:jc w:val="left"/>
              <w:rPr/>
            </w:pPr>
            <w:r>
              <w:rPr/>
              <w:t>  ​ ​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70.3</w:t>
            </w:r>
          </w:p>
        </w:tc>
        <w:tc>
          <w:tcPr>
            <w:tcW w:w="3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1,638,672</w:t>
            </w:r>
          </w:p>
        </w:tc>
        <w:tc>
          <w:tcPr>
            <w:tcW w:w="346" w:type="dxa"/>
            <w:tcBorders/>
            <w:vAlign w:val="center"/>
          </w:tcPr>
          <w:p>
            <w:pPr>
              <w:pStyle w:val="TableContents"/>
              <w:bidi w:val="0"/>
              <w:spacing w:before="1" w:after="1"/>
              <w:ind w:left="0" w:right="0" w:hanging="0"/>
              <w:jc w:val="left"/>
              <w:rPr/>
            </w:pPr>
            <w:r>
              <w:rPr/>
              <w:t>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75.4</w:t>
            </w:r>
          </w:p>
        </w:tc>
        <w:tc>
          <w:tcPr>
            <w:tcW w:w="39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968,989</w:t>
            </w:r>
          </w:p>
        </w:tc>
        <w:tc>
          <w:tcPr>
            <w:tcW w:w="346" w:type="dxa"/>
            <w:tcBorders/>
            <w:shd w:fill="CCEEFF" w:val="cle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6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534,647</w:t>
            </w:r>
          </w:p>
        </w:tc>
        <w:tc>
          <w:tcPr>
            <w:tcW w:w="346" w:type="dxa"/>
            <w:tcBorders/>
            <w:shd w:fill="CCEEFF" w:val="cle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3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3,265,656</w:t>
            </w:r>
          </w:p>
        </w:tc>
        <w:tc>
          <w:tcPr>
            <w:tcW w:w="346" w:type="dxa"/>
            <w:tcBorders/>
            <w:vAlign w:val="center"/>
          </w:tcPr>
          <w:p>
            <w:pPr>
              <w:pStyle w:val="TableContents"/>
              <w:bidi w:val="0"/>
              <w:spacing w:before="1"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2,173,319</w:t>
            </w:r>
          </w:p>
        </w:tc>
        <w:tc>
          <w:tcPr>
            <w:tcW w:w="346" w:type="dxa"/>
            <w:tcBorders/>
            <w:vAlign w:val="center"/>
          </w:tcPr>
          <w:p>
            <w:pPr>
              <w:pStyle w:val="TableContents"/>
              <w:bidi w:val="0"/>
              <w:spacing w:before="1"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for our mechanical segment increased $658.0 million, or 40.2%, to $2.30 billion for the second quarter of 2026 compared to the same period in 2025. Of this increase, $8.4 million resulted from the acquisition of Right Way and $649.6 million was attributable to same-store activity. The same-store revenue increase primarily resulted from an increase in activity in the technology sector at one of our Texas operations ($219.4 million), one of our Indiana operations ($123.6 million), and one of our North Carolina operations ($115.5 million).</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for our electrical segment increased $434.3 million, or 81.2%,</w:t>
      </w:r>
      <w:r>
        <w:rPr>
          <w:rFonts w:ascii="Times New Roman;Times;serif" w:hAnsi="Times New Roman;Times;serif"/>
          <w:color w:val="FF0000"/>
          <w:sz w:val="20"/>
        </w:rPr>
        <w:t> </w:t>
      </w:r>
      <w:r>
        <w:rPr>
          <w:rFonts w:ascii="Times New Roman;Times;serif" w:hAnsi="Times New Roman;Times;serif"/>
          <w:sz w:val="20"/>
        </w:rPr>
        <w:t>to $969.0 million for the second quarter of 2026 compared to the same period in 2025. Of this increase, $132.6 million resulted from the acquisition of Hunt, Feyen Zylstra, and Meisner and $301.7 million was attributable to same-store activity. The same-store revenue increase primarily resulted from an increase in activity in the technology sector at our Texas electrical operation ($186.6 million).</w:t>
      </w:r>
    </w:p>
    <w:p>
      <w:pPr>
        <w:pStyle w:val="TextBody"/>
        <w:shd w:fill="FFFFFF" w:val="clear"/>
        <w:bidi w:val="0"/>
        <w:spacing w:before="100" w:after="10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for the first six months of 2026 increased $2.13 billion, or 53.1%, to $6.13 billion compared to the same period in 2025. The increase included a 5.8% increase primarily related to the Hunt, Feyen Zylstra, Meisner, and Right Way acquisitions, as well as a 47.3% increase in revenue related to same-store activity. The same-store revenue growth was largely driven by strong market conditions, including the increase in our backlog. The increase in demand has been especially strong in the technology sector, particularly for data centers.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operating segment revenue (in thousands, except percentages):</w:t>
      </w:r>
    </w:p>
    <w:p>
      <w:pPr>
        <w:pStyle w:val="TextBody"/>
        <w:bidi w:val="0"/>
        <w:spacing w:before="0" w:after="0"/>
        <w:ind w:left="0" w:right="0" w:hanging="0"/>
        <w:jc w:val="left"/>
        <w:rPr/>
      </w:pPr>
      <w:r>
        <w:rPr/>
        <w:t>​</w:t>
      </w:r>
    </w:p>
    <w:tbl>
      <w:tblPr>
        <w:tblW w:w="7156" w:type="dxa"/>
        <w:jc w:val="left"/>
        <w:tblInd w:w="0" w:type="dxa"/>
        <w:tblLayout w:type="fixed"/>
        <w:tblCellMar>
          <w:top w:w="0" w:type="dxa"/>
          <w:left w:w="0" w:type="dxa"/>
          <w:bottom w:w="0" w:type="dxa"/>
          <w:right w:w="0" w:type="dxa"/>
        </w:tblCellMar>
      </w:tblPr>
      <w:tblGrid>
        <w:gridCol w:w="1831"/>
        <w:gridCol w:w="346"/>
        <w:gridCol w:w="211"/>
        <w:gridCol w:w="931"/>
        <w:gridCol w:w="346"/>
        <w:gridCol w:w="571"/>
        <w:gridCol w:w="361"/>
        <w:gridCol w:w="109"/>
        <w:gridCol w:w="211"/>
        <w:gridCol w:w="931"/>
        <w:gridCol w:w="346"/>
        <w:gridCol w:w="571"/>
        <w:gridCol w:w="39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162685" cy="175260"/>
                      <wp:effectExtent l="0" t="0" r="0" b="0"/>
                      <wp:wrapNone/>
                      <wp:docPr id="245" name="Frame245"/>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91185" cy="175260"/>
                      <wp:effectExtent l="0" t="0" r="0" b="0"/>
                      <wp:wrapNone/>
                      <wp:docPr id="248" name="Frame2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62585" cy="175260"/>
                      <wp:effectExtent l="0" t="0" r="0" b="0"/>
                      <wp:wrapNone/>
                      <wp:docPr id="250" name="Frame2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29235" cy="175260"/>
                      <wp:effectExtent l="0" t="0" r="0" b="0"/>
                      <wp:wrapNone/>
                      <wp:docPr id="251" name="Frame25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91185" cy="175260"/>
                      <wp:effectExtent l="0" t="0" r="0" b="0"/>
                      <wp:wrapNone/>
                      <wp:docPr id="254" name="Frame2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62585" cy="175260"/>
                      <wp:effectExtent l="0" t="0" r="0" b="0"/>
                      <wp:wrapNone/>
                      <wp:docPr id="256" name="Frame2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48285" cy="175260"/>
                      <wp:effectExtent l="0" t="0" r="0" b="0"/>
                      <wp:wrapNone/>
                      <wp:docPr id="257" name="Frame25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58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c>
          <w:tcPr>
            <w:tcW w:w="3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4,357,289</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3,040,887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1,773,699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963,718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6,130,988</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4,004,605</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for our mechanical segment increased $1.32 billion, or 43.3%, to $4.36 billion for the first six months of 2026 compared to the same period in 2025. </w:t>
      </w:r>
      <w:r>
        <w:rPr>
          <w:rFonts w:ascii="Times New Roman;Times;serif" w:hAnsi="Times New Roman;Times;serif"/>
          <w:sz w:val="20"/>
          <w:shd w:fill="FFFFFF" w:val="clear"/>
        </w:rPr>
        <w:t>Of this increase, $29.2 million resulted from the acquisition of Right Way and $1.29 billion was attributable to same-store activity. The same-store revenue</w:t>
      </w:r>
      <w:r>
        <w:rPr>
          <w:rFonts w:ascii="Times New Roman;Times;serif" w:hAnsi="Times New Roman;Times;serif"/>
          <w:sz w:val="20"/>
        </w:rPr>
        <w:t xml:space="preserve"> increase primarily resulted from an increase in activity in the technology sector at one of our Texas operations ($400.8 million), one of our Indiana operations ($261.2 million), and one of our North Carolina operations ($248.6 million).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for our electrical segment increased $810.0 million, or 84.0%,</w:t>
      </w:r>
      <w:r>
        <w:rPr>
          <w:rFonts w:ascii="Times New Roman;Times;serif" w:hAnsi="Times New Roman;Times;serif"/>
          <w:color w:val="FF0000"/>
          <w:sz w:val="20"/>
        </w:rPr>
        <w:t xml:space="preserve"> </w:t>
      </w:r>
      <w:r>
        <w:rPr>
          <w:rFonts w:ascii="Times New Roman;Times;serif" w:hAnsi="Times New Roman;Times;serif"/>
          <w:sz w:val="20"/>
        </w:rPr>
        <w:t xml:space="preserve">to $1.77 billion for the first six months of 2026 compared to the same period in 2025. </w:t>
      </w:r>
      <w:r>
        <w:rPr>
          <w:rFonts w:ascii="Times New Roman;Times;serif" w:hAnsi="Times New Roman;Times;serif"/>
          <w:sz w:val="20"/>
          <w:shd w:fill="FFFFFF" w:val="clear"/>
        </w:rPr>
        <w:t>Of this increase, $202.6 million resulted from the acquisition of Hunt, Feyen Zylstra, and Meisner and $607.4 million was attributable to same-store activity. The same-store revenue</w:t>
      </w:r>
      <w:r>
        <w:rPr>
          <w:rFonts w:ascii="Times New Roman;Times;serif" w:hAnsi="Times New Roman;Times;serif"/>
          <w:sz w:val="20"/>
        </w:rPr>
        <w:t xml:space="preserve"> increase primarily resulted from an increase in activity in the technology sector at our Texas electrical operation ($387.5 million).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Backlog reflects revenue still to be recognized under contracted or committed installation and replacement project work. Project work generally lasts less than one year. Service agreement revenue, service work, and short duration projects, which are generally billed as performed, do not flow through backlog. Accordingly, backlog represents only a portion of our revenue for any given future period, and it represents revenue that is likely to be reflected in our operating results over the next six to 12 months. As a result, we believe the predictive value of backlog information is limited to indications of general revenue direction over the near term, and should not be interpreted as indicative of ongoing revenue performance over several quarters.</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operating segment backlog (in thousands, except percentages):</w:t>
      </w:r>
    </w:p>
    <w:p>
      <w:pPr>
        <w:pStyle w:val="TextBody"/>
        <w:bidi w:val="0"/>
        <w:spacing w:before="0" w:after="0"/>
        <w:ind w:left="0" w:right="0" w:firstLine="720"/>
        <w:jc w:val="left"/>
        <w:rPr/>
      </w:pPr>
      <w:r>
        <w:rPr/>
        <w:t>​</w:t>
      </w:r>
    </w:p>
    <w:tbl>
      <w:tblPr>
        <w:tblW w:w="9880" w:type="dxa"/>
        <w:jc w:val="left"/>
        <w:tblInd w:w="0" w:type="dxa"/>
        <w:tblLayout w:type="fixed"/>
        <w:tblCellMar>
          <w:top w:w="0" w:type="dxa"/>
          <w:left w:w="0" w:type="dxa"/>
          <w:bottom w:w="0" w:type="dxa"/>
          <w:right w:w="0" w:type="dxa"/>
        </w:tblCellMar>
      </w:tblPr>
      <w:tblGrid>
        <w:gridCol w:w="1831"/>
        <w:gridCol w:w="346"/>
        <w:gridCol w:w="211"/>
        <w:gridCol w:w="1036"/>
        <w:gridCol w:w="346"/>
        <w:gridCol w:w="571"/>
        <w:gridCol w:w="361"/>
        <w:gridCol w:w="109"/>
        <w:gridCol w:w="211"/>
        <w:gridCol w:w="1036"/>
        <w:gridCol w:w="346"/>
        <w:gridCol w:w="571"/>
        <w:gridCol w:w="346"/>
        <w:gridCol w:w="109"/>
        <w:gridCol w:w="211"/>
        <w:gridCol w:w="931"/>
        <w:gridCol w:w="346"/>
        <w:gridCol w:w="571"/>
        <w:gridCol w:w="39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162685" cy="175260"/>
                      <wp:effectExtent l="0" t="0" r="0" b="0"/>
                      <wp:wrapNone/>
                      <wp:docPr id="258" name="Frame258"/>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57860" cy="175260"/>
                      <wp:effectExtent l="0" t="0" r="0" b="0"/>
                      <wp:wrapNone/>
                      <wp:docPr id="261" name="Frame26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62585" cy="175260"/>
                      <wp:effectExtent l="0" t="0" r="0" b="0"/>
                      <wp:wrapNone/>
                      <wp:docPr id="263" name="Frame26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29235" cy="175260"/>
                      <wp:effectExtent l="0" t="0" r="0" b="0"/>
                      <wp:wrapNone/>
                      <wp:docPr id="264" name="Frame26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57860" cy="175260"/>
                      <wp:effectExtent l="0" t="0" r="0" b="0"/>
                      <wp:wrapNone/>
                      <wp:docPr id="267" name="Frame2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62585" cy="175260"/>
                      <wp:effectExtent l="0" t="0" r="0" b="0"/>
                      <wp:wrapNone/>
                      <wp:docPr id="269" name="Frame2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260"/>
                      <wp:effectExtent l="0" t="0" r="0" b="0"/>
                      <wp:wrapNone/>
                      <wp:docPr id="270" name="Frame2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9215" cy="175260"/>
                      <wp:effectExtent l="0" t="0" r="0" b="0"/>
                      <wp:wrapNone/>
                      <wp:docPr id="271" name="Frame2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591185" cy="175260"/>
                      <wp:effectExtent l="0" t="0" r="0" b="0"/>
                      <wp:wrapNone/>
                      <wp:docPr id="273" name="Frame2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62585" cy="175260"/>
                      <wp:effectExtent l="0" t="0" r="0" b="0"/>
                      <wp:wrapNone/>
                      <wp:docPr id="275" name="Frame2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48285" cy="175260"/>
                      <wp:effectExtent l="0" t="0" r="0" b="0"/>
                      <wp:wrapNone/>
                      <wp:docPr id="276" name="Frame27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61"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1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20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91" w:type="dxa"/>
            <w:tcBorders/>
            <w:vAlign w:val="center"/>
          </w:tcPr>
          <w:p>
            <w:pPr>
              <w:pStyle w:val="TableContents"/>
              <w:bidi w:val="0"/>
              <w:spacing w:before="0" w:after="0"/>
              <w:ind w:left="0" w:right="0" w:hanging="0"/>
              <w:jc w:val="left"/>
              <w:rPr/>
            </w:pPr>
            <w:r>
              <w:rPr/>
              <w:t>  ​ ​ ​</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571"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Mechanical Segment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10,058,662</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9,026,661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5,814,217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Electrical Segment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4,002,847</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2,917,940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2,309,491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14,061,509</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11,944,601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8,123,708</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Backlog as of June 30, 2026 was $14.06 billion, a 12.9% increase from March 31, 2026 backlog of $12.45 billion, and a 73.1% increase from June 30, 2025 backlog of $8.12 billion. The sequential backlog increase included the acquisition of Hunt ($217.4 million), as well as a same-store increase of $1.39 billion, or 11.2%. Same-store </w:t>
      </w:r>
      <w:r>
        <w:rPr>
          <w:rFonts w:ascii="Times New Roman;Times;serif" w:hAnsi="Times New Roman;Times;serif"/>
          <w:sz w:val="20"/>
          <w:shd w:fill="FFFFFF" w:val="clear"/>
        </w:rPr>
        <w:t xml:space="preserve">sequential backlog growth </w:t>
      </w:r>
      <w:r>
        <w:rPr>
          <w:rFonts w:ascii="Times New Roman;Times;serif" w:hAnsi="Times New Roman;Times;serif"/>
          <w:sz w:val="20"/>
        </w:rPr>
        <w:t xml:space="preserve">was primarily a result of increased project bookings in the technology sector at our Texas electrical operation ($1.00 billion) and our Texas modular operation ($510.2 million). The sequential backlog increase was partially offset by completion of project work in the technology sector at one of our North Carolina operations ($118.5 million). The year-over-year backlog increase included the acquisitions of Hunt ($217.4 million), </w:t>
      </w:r>
      <w:r>
        <w:rPr>
          <w:rFonts w:ascii="Times New Roman;Times;serif" w:hAnsi="Times New Roman;Times;serif"/>
          <w:sz w:val="20"/>
          <w:shd w:fill="FFFFFF" w:val="clear"/>
        </w:rPr>
        <w:t>Feyen Zylstra (</w:t>
      </w:r>
      <w:r>
        <w:rPr>
          <w:rFonts w:ascii="Times New Roman;Times;serif" w:hAnsi="Times New Roman;Times;serif"/>
          <w:sz w:val="20"/>
        </w:rPr>
        <w:t>$86.6 million)</w:t>
      </w:r>
      <w:r>
        <w:rPr>
          <w:rFonts w:ascii="Times New Roman;Times;serif" w:hAnsi="Times New Roman;Times;serif"/>
          <w:sz w:val="20"/>
          <w:shd w:fill="FFFFFF" w:val="clear"/>
        </w:rPr>
        <w:t>, and Meisner (</w:t>
      </w:r>
      <w:r>
        <w:rPr>
          <w:rFonts w:ascii="Times New Roman;Times;serif" w:hAnsi="Times New Roman;Times;serif"/>
          <w:sz w:val="20"/>
        </w:rPr>
        <w:t>$54.5 million),</w:t>
      </w:r>
      <w:r>
        <w:rPr>
          <w:rFonts w:ascii="Times New Roman;Times;serif" w:hAnsi="Times New Roman;Times;serif"/>
          <w:sz w:val="20"/>
          <w:shd w:fill="FFFFFF" w:val="clear"/>
        </w:rPr>
        <w:t xml:space="preserve"> as</w:t>
      </w:r>
      <w:r>
        <w:rPr>
          <w:rFonts w:ascii="Times New Roman;Times;serif" w:hAnsi="Times New Roman;Times;serif"/>
          <w:sz w:val="20"/>
        </w:rPr>
        <w:t xml:space="preserve"> well as a same-store increase of $5.58 billion, or 68.7%. Same-store year-over-year backlog growth was primarily attributable to increased project bookings in the technology sector at our Texas modular operation ($1.87 billion), our Texas electrical operation ($1.13 billion), one of our Texas operations ($860.0 million), one of our North Carolina operations ($671.9 million), and one of our Indiana operations ($540.3 million).</w:t>
      </w:r>
    </w:p>
    <w:p>
      <w:pPr>
        <w:pStyle w:val="TextBody"/>
        <w:bidi w:val="0"/>
        <w:spacing w:before="0" w:after="0"/>
        <w:ind w:left="0" w:right="0" w:firstLine="720"/>
        <w:jc w:val="left"/>
        <w:rPr>
          <w:color w:val="FF0000"/>
        </w:rPr>
      </w:pPr>
      <w:r>
        <w:rPr>
          <w:color w:val="FF000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xml:space="preserve">—Gross profit increased $334.3 million, or 65.6%, to $844.2 million for the second quarter of 2026 as compared to the same period in 2025. </w:t>
      </w:r>
      <w:r>
        <w:rPr>
          <w:rFonts w:ascii="Times New Roman;Times;serif" w:hAnsi="Times New Roman;Times;serif"/>
          <w:sz w:val="20"/>
          <w:shd w:fill="FFFFFF" w:val="clear"/>
        </w:rPr>
        <w:t>The increase included a $21.0 million, or 4.1%, increase related to the Hunt, Feyen Zylstra, Meisner, and Right Way acquisitions, as well as a $313.3 million, or 61.5%, increase on a same-store basis. The same-store increase in gross profit was driven by a 43.8% increase in same-store revenues in the current year, as well as improved execution in our operations across numerous operating locations. As a percentage of revenue, gross profit for the second quarter increased from 23.5% in 2025 to 25.9% in 2026, primarily due to the factors discussed above and improvements in our mechanical segment gross profit margin.</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Gross profit increased $685.3 million, or 75.0%, to $1.60 billion for the first six months of 2026 as compared to the same period in 2025. </w:t>
      </w:r>
      <w:r>
        <w:rPr>
          <w:rFonts w:ascii="Times New Roman;Times;serif" w:hAnsi="Times New Roman;Times;serif"/>
          <w:sz w:val="20"/>
          <w:shd w:fill="FFFFFF" w:val="clear"/>
        </w:rPr>
        <w:t>The increase included a $38.5 million, or 4.2%, increase related to the Hunt, Feyen Zylstra, Meisner, and Right Way acquisitions, as well as a $646.8 million, or 70.8%, increase on a same-store basis. The same-store increase in gross profit was driven by a 47.3% increase in same-store revenues in the current year, as well as improved execution in our operations across numerous operating locations. During the first quarter of 2026, we benefited from favorable developments on projects nearing completion, including change orders received on certain jobs during the quarter, of approximately $43.1 million. These favorable developments impacted both our mechanical and electrical segments, with the largest portion benefiting the mechanical segment.</w:t>
      </w:r>
      <w:r>
        <w:rPr>
          <w:rFonts w:ascii="Times New Roman;Times;serif" w:hAnsi="Times New Roman;Times;serif"/>
          <w:sz w:val="20"/>
        </w:rPr>
        <w:t xml:space="preserve"> As a percentage of revenue, gross profit for the six-month period increased from 22.8% in 2025 to 26.1% in 2026, primarily due to the factors discussed above and improvements in our mechanical segment gross profit margin.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Selling, General and Administrative Expenses (“SG&amp;A”)</w:t>
      </w:r>
      <w:r>
        <w:rPr>
          <w:rFonts w:ascii="Times New Roman;Times;serif" w:hAnsi="Times New Roman;Times;serif"/>
          <w:sz w:val="20"/>
        </w:rPr>
        <w:t xml:space="preserve">—SG&amp;A increased $76.6 million, or 36.4%, to $287.0 million for the second quarter of 2026 as compared to 2025. </w:t>
      </w:r>
      <w:r>
        <w:rPr>
          <w:rFonts w:ascii="Times New Roman;Times;serif" w:hAnsi="Times New Roman;Times;serif"/>
          <w:sz w:val="20"/>
          <w:shd w:fill="FFFFFF" w:val="clear"/>
        </w:rPr>
        <w:t>On a same-store basis, excluding amortization expense, SG&amp;A increased $57.9 million, or 29.6%. The same-store</w:t>
      </w:r>
      <w:r>
        <w:rPr>
          <w:rFonts w:ascii="Times New Roman;Times;serif" w:hAnsi="Times New Roman;Times;serif"/>
          <w:sz w:val="20"/>
        </w:rPr>
        <w:t xml:space="preserve"> increase was primarily due to higher same-store revenue and increased compensation costs ($49.1 million), largely attributable to increased headcount and increased cost of labor. Amortization expense increased $2.7 million during the period, primarily as a result of the Hunt, </w:t>
      </w:r>
      <w:r>
        <w:rPr>
          <w:rFonts w:ascii="Times New Roman;Times;serif" w:hAnsi="Times New Roman;Times;serif"/>
          <w:sz w:val="20"/>
          <w:shd w:fill="FFFFFF" w:val="clear"/>
        </w:rPr>
        <w:t xml:space="preserve">Feyen Zylstra, and Meisner </w:t>
      </w:r>
      <w:r>
        <w:rPr>
          <w:rFonts w:ascii="Times New Roman;Times;serif" w:hAnsi="Times New Roman;Times;serif"/>
          <w:sz w:val="20"/>
        </w:rPr>
        <w:t>acquisitions. As a percentage of revenue, SG&amp;A for the second quarter decreased from 9.7% in 2025 to 8.8% in 2026 due to leverage resulting from the increase in 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SG&amp;A increased $150.7 million, or 37.2%, to $556.0 million for the first six months of 2026 as compared to 2025. </w:t>
      </w:r>
      <w:r>
        <w:rPr>
          <w:rFonts w:ascii="Times New Roman;Times;serif" w:hAnsi="Times New Roman;Times;serif"/>
          <w:sz w:val="20"/>
          <w:shd w:fill="FFFFFF" w:val="clear"/>
        </w:rPr>
        <w:t>On a same-store basis, excluding amortization expense, SG&amp;A increased $120.0 million, or 31.9%. The same-store</w:t>
      </w:r>
      <w:r>
        <w:rPr>
          <w:rFonts w:ascii="Times New Roman;Times;serif" w:hAnsi="Times New Roman;Times;serif"/>
          <w:sz w:val="20"/>
        </w:rPr>
        <w:t xml:space="preserve"> increase was primarily due to higher same-store revenue and increased compensation costs ($103.1 million), largely attributable to increased headcount and increased cost of labor. Amortization expense increased $4.5 million during the period, primarily as a result of the Hunt, </w:t>
      </w:r>
      <w:r>
        <w:rPr>
          <w:rFonts w:ascii="Times New Roman;Times;serif" w:hAnsi="Times New Roman;Times;serif"/>
          <w:sz w:val="20"/>
          <w:shd w:fill="FFFFFF" w:val="clear"/>
        </w:rPr>
        <w:t xml:space="preserve">Feyen Zylstra, and Meisner </w:t>
      </w:r>
      <w:r>
        <w:rPr>
          <w:rFonts w:ascii="Times New Roman;Times;serif" w:hAnsi="Times New Roman;Times;serif"/>
          <w:sz w:val="20"/>
        </w:rPr>
        <w:t>acquisitions. As a percentage of revenue, SG&amp;A for the six-month period decreased from 10.1% in 2025 to 9.1% in 2026 due to leverage resulting from the increase in revenue.</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have included same-store SG&amp;A, excluding amortization expense, because we believe it is an effective measure of comparative results of operations. However, same-store SG&amp;A, excluding amortization, is not considered under generally accepted accounting principles to be a primary measure of an entity’s financial results, and accordingly, should not be considered an alternative to SG&amp;A as shown in our Consolidated Statements of Operations.</w:t>
      </w:r>
    </w:p>
    <w:p>
      <w:pPr>
        <w:pStyle w:val="TextBody"/>
        <w:bidi w:val="0"/>
        <w:spacing w:before="0" w:after="0"/>
        <w:ind w:left="0" w:right="0" w:firstLine="720"/>
        <w:jc w:val="left"/>
        <w:rPr>
          <w:shd w:fill="FFFFFF" w:val="clear"/>
        </w:rPr>
      </w:pPr>
      <w:r>
        <w:rPr>
          <w:shd w:fill="FFFFFF" w:val="clear"/>
        </w:rPr>
        <w:t>​</w:t>
      </w:r>
    </w:p>
    <w:tbl>
      <w:tblPr>
        <w:tblW w:w="9788" w:type="dxa"/>
        <w:jc w:val="left"/>
        <w:tblInd w:w="0" w:type="dxa"/>
        <w:tblLayout w:type="fixed"/>
        <w:tblCellMar>
          <w:top w:w="0" w:type="dxa"/>
          <w:left w:w="0" w:type="dxa"/>
          <w:bottom w:w="0" w:type="dxa"/>
          <w:right w:w="0" w:type="dxa"/>
        </w:tblCellMar>
      </w:tblPr>
      <w:tblGrid>
        <w:gridCol w:w="4276"/>
        <w:gridCol w:w="346"/>
        <w:gridCol w:w="211"/>
        <w:gridCol w:w="796"/>
        <w:gridCol w:w="346"/>
        <w:gridCol w:w="211"/>
        <w:gridCol w:w="796"/>
        <w:gridCol w:w="346"/>
        <w:gridCol w:w="211"/>
        <w:gridCol w:w="796"/>
        <w:gridCol w:w="346"/>
        <w:gridCol w:w="211"/>
        <w:gridCol w:w="89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715260" cy="175260"/>
                      <wp:effectExtent l="0" t="0" r="0" b="0"/>
                      <wp:wrapNone/>
                      <wp:docPr id="277" name="Frame277"/>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05460" cy="175260"/>
                      <wp:effectExtent l="0" t="0" r="0" b="0"/>
                      <wp:wrapNone/>
                      <wp:docPr id="280" name="Frame2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05460" cy="175260"/>
                      <wp:effectExtent l="0" t="0" r="0" b="0"/>
                      <wp:wrapNone/>
                      <wp:docPr id="283" name="Frame2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05460" cy="175260"/>
                      <wp:effectExtent l="0" t="0" r="0" b="0"/>
                      <wp:wrapNone/>
                      <wp:docPr id="286" name="Frame28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68960" cy="175260"/>
                      <wp:effectExtent l="0" t="0" r="0" b="0"/>
                      <wp:wrapNone/>
                      <wp:docPr id="289" name="Frame289"/>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w:t>
            </w:r>
          </w:p>
        </w:tc>
        <w:tc>
          <w:tcPr>
            <w:tcW w:w="346" w:type="dxa"/>
            <w:tcBorders/>
            <w:vAlign w:val="center"/>
          </w:tcPr>
          <w:p>
            <w:pPr>
              <w:pStyle w:val="TableContents"/>
              <w:bidi w:val="0"/>
              <w:spacing w:before="0" w:after="0"/>
              <w:ind w:left="0" w:right="0" w:hanging="0"/>
              <w:jc w:val="left"/>
              <w:rPr/>
            </w:pPr>
            <w:r>
              <w:rPr/>
              <w:t> </w:t>
            </w:r>
          </w:p>
        </w:tc>
        <w:tc>
          <w:tcPr>
            <w:tcW w:w="24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78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w:t>
            </w:r>
          </w:p>
        </w:tc>
        <w:tc>
          <w:tcPr>
            <w:tcW w:w="24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556,043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405,340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SG&amp;A from companies acquired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Same-store SG&amp;A, excluding amortization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195,623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495,927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375,934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 xml:space="preserve">—Interest income increased $8.2 million, or 292.0%, to $11.1 million for the second quarter of 2026 as compared to the same period in 2025. Interest income increased $12.5 million, or 176.1%, to $19.6 million for the first six months of 2026 compared to the same period in 2025. The increase in interest income for the second quarter and first six months of 2026 was primarily due to an increase in our average cash balance compared to the prior year.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Changes in the Fair Value of Contingent Earn-out Obligations</w:t>
      </w:r>
      <w:r>
        <w:rPr>
          <w:rFonts w:ascii="Times New Roman;Times;serif" w:hAnsi="Times New Roman;Times;serif"/>
          <w:sz w:val="20"/>
        </w:rPr>
        <w:t>—The contingent earn-out obligations are measured at fair value each reporting period, and changes in estimates of fair value are recognized in earnings. Expense from changes in the fair value of contingent earn-out obligations for the second quarter of 2026 decreased $2.0 million, or 49.8%, as compared to the same period in 2025. The decrease in earn-out expense for the second quarter was primarily due to lower expense at one of our Texas operations, as a result of them achieving their maximum cumulative earn-out target in the prior year. The decrease in earn-out expense was offset by higher expense at one of our North Carolina operations due to higher actual and projected earnings. Expense from changes in the fair value of contingent earn-out obligations for the first six months of 2026 increased $4.6 million, or 58.5%, as compared to the same period in 2025. The increase in earn-out expense for the first six months of 2026 was primarily driven by higher actual and projected earnings at Feyen Zylstra. The increase in earn-out expense was partially offset by lower expenses at one of our Texas operations, as a result of them achieving their maximum cumulative earn-out target in the prior year.</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—Our provision for income taxes for the six months ended June 30, 2026 was $236.4 million with an effective tax rate of 22.5% as compared to a provision for income taxes of $104.4 million with an effective tax rate of 20.7% for the same period in 2025. The effective tax rate for 2026 was higher than the 21% federal statutory rate primarily due to $26.9 million of net state income taxes (2.6%) and $6.8 million of nontaxable or nondeductible items (0.7%), partially offset by a $12.8 million credit for increasing research activities (“R&amp;D tax credit”) (1.2%) and a $6.5 million reduction in net unrecognized tax benefits including net interest income from settlement with the Internal Revenue Service (“IRS”) for the 2019 and 2020 tax years (0.6%). The effective tax rate for 2025 was slightly lower than the 21% federal statutory rate primarily due to an $11.8 million R&amp;D tax credit (2.3%) and recognizing $8.9 million of net interest income on our 2022 federal overpayment (1.8%), partially offset by $15.5 million of net state income taxes (3.1%) and $2.3 million of nontaxable or nondeductible items (0.5%).</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Outlook</w:t>
      </w:r>
    </w:p>
    <w:p>
      <w:pPr>
        <w:pStyle w:val="TextBody"/>
        <w:pBdr/>
        <w:bidi w:val="0"/>
        <w:spacing w:before="0" w:after="0"/>
        <w:ind w:left="720" w:right="0" w:hanging="36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experienced an unprecedented demand environment in 2025 and through the first six months of 2026, and we continue to experience increased labor costs and intermittent supply chain shortages, including delays in delivery of certain materials and equipment. We are recognizing these challenges in our job planning and pricing, and we are ordering materials on an earlier timeline and seeking to collaborate with customers to share supply risks and to mitigate the effects of these challenges. We have been generally successful in maintaining productivity and in procuring needed materials despite ongoing challenges.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a good pipeline of opportunities and potential backlog. Considering our substantial advance bookings, we anticipate high ongoing demand leading to solid earnings for the remainder of 2026. Although we are preparing for a wide range of challenges and economic circumstances, including a potential recession, we currently expect that supportive conditions for our industry, especially for our manufacturing and technology customers, are likely to continue for the remainder of 2026.</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04" w:name="_ec6c20e1_1da0_43e9_8d73_279b331ef49a"/>
      <w:bookmarkEnd w:id="1404"/>
      <w:r>
        <w:rPr>
          <w:rFonts w:ascii="Times New Roman;Times;serif" w:hAnsi="Times New Roman;Times;serif"/>
          <w:b/>
          <w:sz w:val="20"/>
        </w:rPr>
        <w:t>Liquidity and Capital Resources</w:t>
      </w:r>
    </w:p>
    <w:p>
      <w:pPr>
        <w:pStyle w:val="TextBody"/>
        <w:pBdr/>
        <w:bidi w:val="0"/>
        <w:spacing w:before="0" w:after="0"/>
        <w:ind w:left="720" w:right="0" w:hanging="360"/>
        <w:jc w:val="left"/>
        <w:rPr/>
      </w:pPr>
      <w:r>
        <w:rPr/>
        <w:t>​</w:t>
      </w:r>
    </w:p>
    <w:tbl>
      <w:tblPr>
        <w:tblW w:w="7038" w:type="dxa"/>
        <w:jc w:val="left"/>
        <w:tblInd w:w="0" w:type="dxa"/>
        <w:tblLayout w:type="fixed"/>
        <w:tblCellMar>
          <w:top w:w="0" w:type="dxa"/>
          <w:left w:w="0" w:type="dxa"/>
          <w:bottom w:w="0" w:type="dxa"/>
          <w:right w:w="0" w:type="dxa"/>
        </w:tblCellMar>
      </w:tblPr>
      <w:tblGrid>
        <w:gridCol w:w="3901"/>
        <w:gridCol w:w="346"/>
        <w:gridCol w:w="211"/>
        <w:gridCol w:w="931"/>
        <w:gridCol w:w="346"/>
        <w:gridCol w:w="211"/>
        <w:gridCol w:w="901"/>
        <w:gridCol w:w="19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477135" cy="175260"/>
                      <wp:effectExtent l="0" t="0" r="0" b="0"/>
                      <wp:wrapNone/>
                      <wp:docPr id="290" name="Frame290"/>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91185" cy="175260"/>
                      <wp:effectExtent l="0" t="0" r="0" b="0"/>
                      <wp:wrapNone/>
                      <wp:docPr id="293" name="Frame2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72135" cy="175260"/>
                      <wp:effectExtent l="0" t="0" r="0" b="0"/>
                      <wp:wrapNone/>
                      <wp:docPr id="296" name="Frame29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1285" cy="175260"/>
                      <wp:effectExtent l="0" t="0" r="0" b="0"/>
                      <wp:wrapNone/>
                      <wp:docPr id="297" name="Frame29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 </w:t>
            </w:r>
          </w:p>
        </w:tc>
      </w:tr>
      <w:tr>
        <w:trPr/>
        <w:tc>
          <w:tcPr>
            <w:tcW w:w="703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1,528,254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164,545</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(467,464)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(182,988)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(199,786)</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872,896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(218,229)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164,545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(288,837)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(53,481)</w:t>
            </w:r>
          </w:p>
        </w:tc>
        <w:tc>
          <w:tcPr>
            <w:tcW w:w="191"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1,241,549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113,128</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Cash Flow</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does not require significant amounts of investment in long-term fixed assets. The substantial majority of the capital used in our business is working capital that funds our costs of labor and installed equipment deployed in project work until our customer pays us. Customary terms in our industry allow customers to withhold a small portion of the contract price until after we have completed the work, typically for six months. Amounts withheld under this practice are known as retention or retainage. Our average project duration, together with typical retention terms, generally allow us to complete the realization of revenue and earnings in cash within one year.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Cash Provided by Operating Activities</w:t>
      </w:r>
      <w:r>
        <w:rPr>
          <w:rFonts w:ascii="Times New Roman;Times;serif" w:hAnsi="Times New Roman;Times;serif"/>
          <w:sz w:val="20"/>
        </w:rPr>
        <w:t xml:space="preserve">—Cash flow from operations is primarily influenced by demand for our services and operating margins but can also be influenced by working capital needs associated with the various types of services that we provide. In particular, working capital needs may increase when we commence large volumes of work under circumstances where project costs, primarily associated with labor, equipment, and subcontractors, are required to be paid before the receivables resulting from the work performed are billed and collected. Working capital needs are generally higher during the late winter and spring months as we prepare and plan for the increased project demand when favorable weather conditions exist in the summer and fall months. Conversely, working capital assets are typically converted to cash during the late summer and fall months as project completion is underway. These seasonal trends are sometimes offset by changes in the timing of major projects, which can be impacted by the weather, project delays, or accelerations and other economic factors that may affect customer spending.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Net cash provided by operating activities was $1.53 billion during the first six months of 2026 compared to $164.5 million during the same period in 2025. The $1.36 billion increase in net cash provided by operating activities was primarily driven by higher earnings before non-cash expenses such as amortization of intangible assets in the current year and a $684.7 million benefit from changes in billings in excess of costs and estimated earnings and deferred revenue driven by timing of customer billings and payments, including more net advance payments received in the current year as compared to the prior year. We also had a $535.6 million benefit from increases in accounts payable and other current liabilities driven by the size and timing of payments, including an $80.0 million federal tax payment in the first quarter of 2025 that otherwise would have been paid in the second half of 2024, as a result of tax relief from the IRS due to Hurricane Beryl that did not recur in the current year. These increases in cash were partially offset by a $393.5 million increase in receivables, net. In 2023, we filed our 2022 federal tax return requesting a refund of our $107.1 million overpayment, which was received in April 2025 and positively impacted the second quarter of 2025 cashflow, which did not recur in 2026. Along with the refund, we received $11.3 million (or $8.9 million, net of tax) of interest income that reduced our provision for income taxes in the first quarter of 2025.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Cash Used in Investing Activities</w:t>
      </w:r>
      <w:r>
        <w:rPr>
          <w:rFonts w:ascii="Times New Roman;Times;serif" w:hAnsi="Times New Roman;Times;serif"/>
          <w:sz w:val="20"/>
        </w:rPr>
        <w:t xml:space="preserve">—During the first six months of 2026, net cash used in investing activities was $467.5 million compared to $183.0 million during the same period in 2025. The $284.5 million increase in net cash used in investing activities was primarily attributable to $188.9 million of building purchases during the first six months of 2026 to support growth in our modular business. We expect capital expenditures for the full year of 2026 to be higher than our recent average as we continue to invest in the growth of our business.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Net Cash Used in Financing Activities</w:t>
      </w:r>
      <w:r>
        <w:rPr>
          <w:rFonts w:ascii="Times New Roman;Times;serif" w:hAnsi="Times New Roman;Times;serif"/>
          <w:sz w:val="20"/>
        </w:rPr>
        <w:t>—Net cash used in financing activities was $187.9 million for the first six months of 2026 compared to $199.8 million during the same period in 2025. The $11.9 million decrease in net cash used in financing activities was primarily due to a decrease in share repurchases of $103.1 million in the current year compared to the same period in 2025. This decrease was partially offset by an increase in debt payments in the current year compared to the same period in 2025.</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Free Cash Flow</w:t>
      </w:r>
      <w:r>
        <w:rPr>
          <w:rFonts w:ascii="Times New Roman;Times;serif" w:hAnsi="Times New Roman;Times;serif"/>
          <w:sz w:val="20"/>
        </w:rPr>
        <w:t>—We define free cash flow as net cash provided by operating activities, less customary capital expenditures, plus the proceeds from asset sales. We believe free cash flow, by encompassing both profit margins and the use of working capital over our approximately one year working capital cycle, is an effective measure of operating effectiveness and efficiency. We have included free cash flow information here for this reason and because we are often asked about it by third parties evaluating us. However, free cash flow is not considered under generally accepted accounting principles to be a primary measure of an entity’s financial results, and accordingly free cash flow should not be considered an alternative to operating income, net income, or amounts shown in our consolidated statements of cash flows as determined under generally accepted accounting principles. Free cash flow may be defined differently by other companies.</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29, 2007, our Board of Directors (the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June 30, 2026, we have repurchased a cumulative total of 10.9 million shares at an average price of $50.88 per share under the repurchase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terminate the program at any time. During the six months ended June 30, 2026, we repurchased less than 0.1 million shares for approximately $8.2 million, inclusive of the applicable excise tax, at an average price of $1,438.19 per share. </w:t>
      </w:r>
    </w:p>
    <w:p>
      <w:pPr>
        <w:pStyle w:val="TextBody"/>
        <w:bidi w:val="0"/>
        <w:spacing w:before="0" w:after="0"/>
        <w:ind w:left="0" w:right="0" w:firstLine="72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Debt</w:t>
      </w:r>
    </w:p>
    <w:p>
      <w:pPr>
        <w:pStyle w:val="TextBody"/>
        <w:pBdr/>
        <w:bidi w:val="0"/>
        <w:spacing w:before="0" w:after="0"/>
        <w:ind w:left="720" w:right="0" w:hanging="36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 xml:space="preserve">Revolving Credit Facility </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27, 2025, we amended our senior credit facility (as amended, the “Facility”) arranged by Wells Fargo Bank, National Association, as administrative agent, and provided by a syndicate of banks, which increases our borrowing capacity from $850.0 million to $1.10 billion. The Facility is composed of a revolving credit line guaranteed by certain of our subsidiaries, in the amount of $1.10 billion. The Facility also provides for an accordion or increase option not to exceed the greater of (a) $500.0 million and (b) 1.0x Credit Facility Adjusted EBITDA (as defined in the Facility), in the form of additional revolving commitments or incremental term loans. The line of credit includes a sublimit for up to $200.0 million of letters of credit and a sublimit for up to $75.0 million of swingline loans. The Facility expires on October 1, 2030 and is secured by a first lien on substantially all of our personal property, except for assets related to projects subject to surety bonds and the equity of and assets held by certain unrestricted subsidiaries and our wholly owned captive insurance company and a second lien on our assets related to projects subject to surety bonds. As a result of the amendment, $0.3 million of unamortized costs associated with lenders who exited the Facility were written off to interest expense in the third quarter of 2025. The remaining $1.0 million of unamortized costs from the previous facility will be deferred and amortized over the term of the new Facility. In 2025, we incurred approximately $3.7 million in financing and professional costs in connection with the amendment to the Facility, which, combined with previously unamortized costs of $1.0 million, are being amortized on a straight-line basis as a non-cash charge to interest expense over the remaining term of the Facility. As of June 30, 2026, we had no outstanding borrowings on the revolving credit facility, $87.8 million in letters of credit outstanding, and $1.01 billion of credit available.</w:t>
      </w:r>
    </w:p>
    <w:p>
      <w:pPr>
        <w:pStyle w:val="TextBody"/>
        <w:bidi w:val="0"/>
        <w:spacing w:before="0" w:after="0"/>
        <w:ind w:left="0" w:right="0" w:firstLine="72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are two interest rate options for borrowings under the Facility, the Base Rate Loan (as defined in the Facility) option and the Secured Overnight Financing Rate (“SOFR”) Loan option. These interest rates are floating rates determined by the broad financial markets, meaning they can and do move up and down from time to time. Additional margins are then added to these two interest rates.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A letter of credit commits the lenders to pay specified amounts to the holder of the letter of credit if the holder demonstrates that we have failed to perform specified actions. If this were to occur, we would be required to reimburse the lenders for amounts they fund to honor the letter of credit holder’s claim. Absent a claim, there is no payment or reserving of funds by us in connection with a letter of credit. However, because a claim on a letter of credit would require immediate reimbursement by us to our lenders, letters of credit are treated as a use of Facility capacity. The letter of credit fees range from 1.00% to 2.00% per annum, based on the Net Leverage Ratio.</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we have $87.8 million in letter of credit commitments, of which $69.1 million will expire in 2026 and $18.7 million will expire in 2027. The substantial majority of these letters of credit are posted with insurers who disburse funds on our behalf in connection with our workers’ compensation, auto liability, and general liability insurance program. These letters of credit provide additional security to the insurers that sufficient financial resources will be available to fund claims on our behalf, many of which develop over long periods of time, should we ever encounter financial duress. Posting of letters of credit for this purpose is a common practice for entities that manage their self-insurance programs through third-party insurers as we do. While some of these letter of credit commitments expire in the next 12 months, we expect nearly all of them, particularly those supporting our insurance programs, will be renewed annually.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Commitment fees are payable on the portion of the revolving loan capacity not in use for borrowings or letters of credit at any given time. These fees range from 0.15% to 0.25% per annum, based on the Net Leverage Ratio.</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Facility contains financial covenants defining various financial measures and the level of these measures with which we must comply. Covenant compliance is assessed as of each quarter end. We were in compliance with all of our financial covenants as of June 30, 2026.</w:t>
      </w:r>
    </w:p>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Notes to Former Owners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outstanding notes to the former owners of our acquired companies. Together, these notes had an outstanding balance of $53.5 million as of June 30, 2026. On June 30, 2026, future principal payments of notes to former owners by maturity year were as follows (dollars in thousands):</w:t>
      </w:r>
    </w:p>
    <w:tbl>
      <w:tblPr>
        <w:tblW w:w="3456" w:type="dxa"/>
        <w:jc w:val="left"/>
        <w:tblInd w:w="0" w:type="dxa"/>
        <w:tblLayout w:type="fixed"/>
        <w:tblCellMar>
          <w:top w:w="0" w:type="dxa"/>
          <w:left w:w="0" w:type="dxa"/>
          <w:bottom w:w="0" w:type="dxa"/>
          <w:right w:w="0" w:type="dxa"/>
        </w:tblCellMar>
      </w:tblPr>
      <w:tblGrid>
        <w:gridCol w:w="556"/>
        <w:gridCol w:w="346"/>
        <w:gridCol w:w="267"/>
        <w:gridCol w:w="858"/>
        <w:gridCol w:w="109"/>
        <w:gridCol w:w="935"/>
        <w:gridCol w:w="385"/>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53060" cy="175260"/>
                      <wp:effectExtent l="0" t="0" r="0" b="0"/>
                      <wp:wrapNone/>
                      <wp:docPr id="298" name="Frame298"/>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69545" cy="175260"/>
                      <wp:effectExtent l="0" t="0" r="0" b="0"/>
                      <wp:wrapNone/>
                      <wp:docPr id="300" name="Frame300"/>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44830" cy="175260"/>
                      <wp:effectExtent l="0" t="0" r="0" b="0"/>
                      <wp:wrapNone/>
                      <wp:docPr id="301" name="Frame301"/>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9215" cy="175260"/>
                      <wp:effectExtent l="0" t="0" r="0" b="0"/>
                      <wp:wrapNone/>
                      <wp:docPr id="302" name="Frame3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93725" cy="175260"/>
                      <wp:effectExtent l="0" t="0" r="0" b="0"/>
                      <wp:wrapNone/>
                      <wp:docPr id="303" name="Frame303"/>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44475" cy="175260"/>
                      <wp:effectExtent l="0" t="0" r="0" b="0"/>
                      <wp:wrapNone/>
                      <wp:docPr id="304" name="Frame30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Range of Stated</w:t>
            </w:r>
          </w:p>
        </w:tc>
      </w:tr>
      <w:tr>
        <w:trPr/>
        <w:tc>
          <w:tcPr>
            <w:tcW w:w="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Rates</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4.0 - 5.5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4.3 - 5.5</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109" w:type="dxa"/>
            <w:tcBorders/>
            <w:shd w:fill="CCEEFF" w:val="clear"/>
            <w:vAlign w:val="center"/>
          </w:tcPr>
          <w:p>
            <w:pPr>
              <w:pStyle w:val="TableContents"/>
              <w:bidi w:val="0"/>
              <w:spacing w:before="0" w:after="0"/>
              <w:ind w:left="0" w:right="0" w:hanging="0"/>
              <w:jc w:val="left"/>
              <w:rPr/>
            </w:pPr>
            <w:r>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53,450</w:t>
            </w:r>
          </w:p>
        </w:tc>
        <w:tc>
          <w:tcPr>
            <w:tcW w:w="109" w:type="dxa"/>
            <w:tcBorders/>
            <w:vAlign w:val="center"/>
          </w:tcPr>
          <w:p>
            <w:pPr>
              <w:pStyle w:val="TableContents"/>
              <w:bidi w:val="0"/>
              <w:spacing w:before="0" w:after="0"/>
              <w:ind w:left="0" w:right="0" w:hanging="0"/>
              <w:jc w:val="left"/>
              <w:rPr/>
            </w:pPr>
            <w:r>
              <w:rPr/>
              <w:t>​</w:t>
            </w:r>
          </w:p>
        </w:tc>
        <w:tc>
          <w:tcPr>
            <w:tcW w:w="935" w:type="dxa"/>
            <w:tcBorders/>
            <w:vAlign w:val="center"/>
          </w:tcPr>
          <w:p>
            <w:pPr>
              <w:pStyle w:val="TableContents"/>
              <w:bidi w:val="0"/>
              <w:spacing w:before="0" w:after="0"/>
              <w:ind w:left="0" w:right="0" w:hanging="0"/>
              <w:jc w:val="right"/>
              <w:rPr/>
            </w:pPr>
            <w:r>
              <w:rPr/>
              <w:t>​</w:t>
            </w:r>
          </w:p>
        </w:tc>
        <w:tc>
          <w:tcPr>
            <w:tcW w:w="38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0"/>
        <w:ind w:left="720" w:right="0" w:hanging="360"/>
        <w:jc w:val="left"/>
        <w:rPr>
          <w:rFonts w:ascii="Times New Roman;Times;serif" w:hAnsi="Times New Roman;Times;serif"/>
          <w:b/>
          <w:i/>
          <w:sz w:val="20"/>
        </w:rPr>
      </w:pPr>
      <w:r>
        <w:rPr>
          <w:rFonts w:ascii="Times New Roman;Times;serif" w:hAnsi="Times New Roman;Times;serif"/>
          <w:b/>
          <w:i/>
          <w:sz w:val="20"/>
        </w:rPr>
        <w:t>Outlook</w:t>
      </w:r>
    </w:p>
    <w:p>
      <w:pPr>
        <w:pStyle w:val="TextBody"/>
        <w:pBdr/>
        <w:bidi w:val="0"/>
        <w:spacing w:before="0" w:after="0"/>
        <w:ind w:left="720" w:right="0" w:hanging="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generated positive net free cash flow for the last 27 calendar years, much of which occurred during challenging economic and industry conditions. We also continue to have significant borrowing capacity under our credit facility, and we maintain what we feel are reasonable cash balances. We believe these factors will provide us with sufficient liquidity to fund our operations for the foreseeable future.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Commitments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sureties for any expenses or outlays they incur.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standard terms in the surety market, sureties issue bonds on a project-by-project basis and can decline to issue bonds at any time. Historically, approximately 10% to 20% of our business has required bonds. While we currently have strong surety relationships to support our bonding needs, future market conditions or changes in the sureties’ assessments of our operating and financial risk could cause our sureties to decline to issue bonds for our work. If that were to occur, our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Statement Concerning 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Certain statements and information in this Quarterly Report on Form 10-Q may constitute forward-looking statements regarding our future business expectations, which are subject to applicable securities laws and regulations. The words “believe,” “expect,” “anticipate,” “plan,” “intend,” “foresee,” “should,” “would,” “could,” or other similar expressions are intended to identify forward-looking statements, which are generally not historic in nature. These forward-looking statements are based on the current expectations and beliefs of the Company concerning future developments and their effect on the Company. While the Company’s management believes that these forward-looking statements are reasonable as and when made, there can be no assurance that future developments affecting the Company will be those that it anticipates, and the Company’s actual results of operations, financial condition and liquidity, and the development of the industry in which the Company operates, may differ materially from those made in or suggested by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those results or developments may not be indicative of our results or developments in subsequent periods. All comments concerning the Company’s expectations for future revenue and operating results are based on the Company’s forecasts for its existing operations and do not include the potential impact of any future acquisitions. The Company’s forward-looking statements involve significant risks and uncertainties (some of which are beyond the Company’s control) and assumptions that could cause actual future results to differ materially from the Company’s historical experience and its present expectations or projections. Important factors that could cause actual results to differ materially from those in the forward-looking statements include, but are not limited to: the use of incorrect estimates for bidding a fixed-price contract; undertaking contractual commitments that exceed the Company’s labor resources; failing to perform contractual obligations efficiently enough to maintain profitability; national or regional weakness in construction activity and economic conditions; economic downturns in the markets where the Company operates; shortages of labor and specialty building materials or material increases to the cost thereof; financial difficulties affecting projects, vendors, customers, or subcontractors; unexpected adjustments or cancellations in our backlog resulting in the Company’s backlog failing to translate into actual revenue or profits; inflation, supply chain disruptions, and capital market volatility; the loss of significant customers; intense competition in the Company’s industry; risks associated with acquisitions, including the ability to successfully integrate those companies; impairment charges for goodwill and intangible assets; reductions or reversals of previously recorded revenue or profits as a result of the Company’s cost-to-cost input method of accounting; difficulties in the financial and surety markets; delays and/or defaults in customer payments; difficult work environment; worldwide political and economic uncertainties, including international conflicts and epidemics or pandemics; attraction and retention of key management and employees; the Company’s decentralized management structure; our ability to effectively manage our backlog and the size and cost of our operations; failure of third party subcontractors and suppliers to complete work as anticipated; difficulty in obtaining, or increased costs associated with, bonding and insurance; our ability to remain in compliance with covenants under our credit agreement, service our indebtedness, or fund our other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liquidity needs; our inability to properly utilize our workforce; increases and uncertainty in insurance costs; regulatory and legal risks, including adverse litigation results, failure to comply with laws and regulations; changes in United States trade policy, and tax-related risks; the imposition of past and future liability from environmental, safety, and health regulations including the inherent risk associated with self-insurance; an increase in our effective tax rate; a material information technology failure or a material cybersecurity breach; risks related to our common stock; failure or circumvention of our disclosure controls and procedures or internal control environment; our ability to manage growth and geographically-dispersed operations; severe weather conditions (such as storms, droughts, extreme heat or cold, wildfires and floods), including as a result of climate change, and any resulting regulations or restrictions related thereto; force majeure events; deliberate, malicious acts, including terrorism and sabotage; findings of inadequate internal controls; changes in accounting rules and regulations; and other risks detailed in our reports filed with the SEC.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additional information regarding known material factors that could cause the Company’s results to differ from its projected results, please see its filings with the SEC, including its Annual Reports on Form 10-K, Quarterly Reports on Form 10-Q, and Current Reports on Form 8-K.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Readers are cautioned not to place undue reliance on forward-looking statements, which speak only as of the date hereof. The Company undertakes no obligation to publicly update or revise any forward-looking statements after the date they are made, whether because of new information, future events, or otherwise, except as otherwise required by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05" w:name="Item3QuantitativeandQualitativeDisclosur"/>
      <w:bookmarkStart w:id="1406" w:name="_d0f79e66_1702_47e0_af68_6e9d6ccf2f8c"/>
      <w:bookmarkEnd w:id="1405"/>
      <w:bookmarkEnd w:id="1406"/>
      <w:r>
        <w:rPr>
          <w:rFonts w:ascii="Times New Roman;Times;serif" w:hAnsi="Times New Roman;Times;serif"/>
          <w:b/>
          <w:sz w:val="20"/>
        </w:rPr>
        <w:t xml:space="preserve">Item 3. </w:t>
      </w:r>
      <w:r>
        <w:rPr>
          <w:rFonts w:ascii="Times New Roman;Times;serif" w:hAnsi="Times New Roman;Times;serif"/>
          <w:b/>
          <w:i/>
          <w:sz w:val="20"/>
        </w:rPr>
        <w:t>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exposed to market risk primarily related to potential adverse changes in interest rates. At times, we use derivative financial instruments to manage our interest rate risk. There is some market risk from fluctuations in the prices of certain commodities and materials due to tariffs or other macroeconomic factors. In many cases, these increased costs are recoverable, and we do not expect these potential cost increases to have a material impact on our results of operations. We are actively involved in monitoring exposure to market risk and continue to develop and utilize appropriate risk management techniques. We are not exposed to any other significant financial market risks or foreign currency exchange risk from the use of derivative financial instruments.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There were no outstanding borrowings on the revolving credit facility as of June 30, 2026. </w:t>
      </w:r>
      <w:r>
        <w:rPr>
          <w:rFonts w:ascii="Times New Roman;Times;serif" w:hAnsi="Times New Roman;Times;serif"/>
          <w:sz w:val="20"/>
          <w:shd w:fill="FFFFFF" w:val="clear"/>
        </w:rPr>
        <w:t>The weighted average interest rate applicable to the borrowings under the revolving credit facility was approximately </w:t>
      </w:r>
      <w:r>
        <w:rPr>
          <w:rFonts w:ascii="Times New Roman;Times;serif" w:hAnsi="Times New Roman;Times;serif"/>
          <w:sz w:val="20"/>
        </w:rPr>
        <w:t>5.0</w:t>
      </w:r>
      <w:r>
        <w:rPr>
          <w:rFonts w:ascii="Times New Roman;Times;serif" w:hAnsi="Times New Roman;Times;serif"/>
          <w:sz w:val="20"/>
          <w:shd w:fill="FFFFFF" w:val="clear"/>
        </w:rPr>
        <w:t>% as of December 31, 2025. Our debt with fixed interest rates consists of notes to former owners of acquired companies and acquired notes payable.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measure certain assets at fair value on a nonrecurring basis. These assets are recognized at fair value when they are deemed to be other-than-temporarily impaired. We did not recognize any impairments in the current year on those assets required to be measured at fair value on a nonrecurring basis.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valuation of the Company’s contingent earn-out payments is determined using a probability weighted discounted cash flow method. This analysis reflects the contractual terms of the purchase agreements (</w:t>
      </w:r>
      <w:r>
        <w:rPr>
          <w:rFonts w:ascii="Times New Roman;Times;serif" w:hAnsi="Times New Roman;Times;serif"/>
          <w:i/>
          <w:sz w:val="20"/>
        </w:rPr>
        <w:t>e.g.</w:t>
      </w:r>
      <w:r>
        <w:rPr>
          <w:rFonts w:ascii="Times New Roman;Times;serif" w:hAnsi="Times New Roman;Times;serif"/>
          <w:sz w:val="20"/>
        </w:rPr>
        <w:t>, minimum and maximum payment, length of earn-out periods, manner of calculating any amounts due, etc.) and utilizes assumptions with regard to future cash flows, probabilities of achieving such future cash flows, and a discount 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07" w:name="Item4ControlsandProcedures_993069"/>
      <w:bookmarkStart w:id="1408" w:name="_94985a45_0d2e_4971_990d_88e820b87315"/>
      <w:bookmarkEnd w:id="1407"/>
      <w:bookmarkEnd w:id="1408"/>
      <w:r>
        <w:rPr>
          <w:rFonts w:ascii="Times New Roman;Times;serif" w:hAnsi="Times New Roman;Times;serif"/>
          <w:b/>
          <w:sz w:val="20"/>
        </w:rPr>
        <w:t xml:space="preserve">Item 4. </w:t>
      </w:r>
      <w:r>
        <w:rPr>
          <w:rFonts w:ascii="Times New Roman;Times;serif" w:hAnsi="Times New Roman;Times;serif"/>
          <w:b/>
          <w:i/>
          <w:sz w:val="20"/>
        </w:rPr>
        <w:t>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executive management is responsible for ensuring the effectiveness of the design and operation of our disclosure controls and procedures.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report. Based on that evaluation, our Chief Executive Officer and Chief Financial Officer have concluded that our disclosure controls and procedures (as defined in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Rules 13a-15(e) and 15d-15(e) of the Securities Exchange Act of 1934) were effective as of the end of the period covered by this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have not been any changes in our internal control over financial reporting (as such term is defined in Rules 13a-15(f) and 15d-15(f) under the Securities Exchange Act of 1934) during the three months ended June 30, 2026 that have materially affected, or are reasonably likely to materially affect, our internal control over financial reporting.</w:t>
      </w:r>
    </w:p>
    <w:p>
      <w:pPr>
        <w:pStyle w:val="TextBody"/>
        <w:bidi w:val="0"/>
        <w:spacing w:before="0" w:after="0"/>
        <w:ind w:left="0" w:right="0" w:hanging="0"/>
        <w:jc w:val="center"/>
        <w:rPr/>
      </w:pPr>
      <w:bookmarkStart w:id="1409" w:name="_ee704348_9014_4f23_9463_2e71bffa2fdf"/>
      <w:bookmarkEnd w:id="1409"/>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410" w:name="PARTIIOTHERINFORMATION_876059"/>
      <w:bookmarkEnd w:id="1410"/>
      <w:r>
        <w:rPr>
          <w:rFonts w:ascii="Times New Roman;Times;serif" w:hAnsi="Times New Roman;Times;serif"/>
          <w:b/>
          <w:sz w:val="20"/>
        </w:rPr>
        <w:t>PART II—OTHER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bookmarkStart w:id="1411" w:name="Item1LegalProceedings_592048"/>
      <w:bookmarkEnd w:id="1411"/>
      <w:r>
        <w:rPr>
          <w:rFonts w:ascii="Times New Roman;Times;serif" w:hAnsi="Times New Roman;Times;serif"/>
          <w:b/>
          <w:sz w:val="20"/>
        </w:rPr>
        <w:t xml:space="preserve">Item 1. </w:t>
      </w:r>
      <w:r>
        <w:rPr>
          <w:rFonts w:ascii="Times New Roman;Times;serif" w:hAnsi="Times New Roman;Times;serif"/>
          <w:b/>
          <w:i/>
          <w:sz w:val="20"/>
        </w:rPr>
        <w:t>Legal Proceedings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we recorded an accrual for unresolved matters, which is not material to our financial statements, based on our analysis of likely outcomes related to the respective matters; however, it is possible that the ultimate outcome and associated costs will deviate from our estimates and that, in the event of an unexpectedly adverse outcome, we may experience additional costs and expenses in future periods.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12" w:name="Item1ARiskFactors_3757"/>
      <w:bookmarkStart w:id="1413" w:name="_b9fac969_25db_49d3_b252_6b3d2442d1d8"/>
      <w:bookmarkEnd w:id="1412"/>
      <w:bookmarkEnd w:id="1413"/>
      <w:r>
        <w:rPr>
          <w:rFonts w:ascii="Times New Roman;Times;serif" w:hAnsi="Times New Roman;Times;serif"/>
          <w:b/>
          <w:sz w:val="20"/>
        </w:rPr>
        <w:t xml:space="preserve">Item 1A. </w:t>
      </w:r>
      <w:r>
        <w:rPr>
          <w:rFonts w:ascii="Times New Roman;Times;serif" w:hAnsi="Times New Roman;Times;serif"/>
          <w:b/>
          <w:i/>
          <w:sz w:val="20"/>
        </w:rPr>
        <w:t>Risk Factors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to the other information set forth in this report, you should carefully consider the factors discussed in Part 1, “Item 1A. Risk Factors” in our Form 10-K for the year ended December 31, 2025, which could materially affect our business, financial condition, or future results. Additional risks and uncertainties not currently known to us or that we currently deem to be immaterial also may materially adversely affect our business, financial condition, or future results.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bookmarkStart w:id="1414" w:name="Item2UnregisteredSalesofEquitySecurities"/>
      <w:bookmarkStart w:id="1415" w:name="_2830e7a3_8672_4dfe_9df1_6716cf521c5a"/>
      <w:bookmarkEnd w:id="1414"/>
      <w:bookmarkEnd w:id="1415"/>
      <w:r>
        <w:rPr>
          <w:rFonts w:ascii="Times New Roman;Times;serif" w:hAnsi="Times New Roman;Times;serif"/>
          <w:b/>
          <w:sz w:val="20"/>
        </w:rPr>
        <w:t xml:space="preserve">Item 2. </w:t>
      </w:r>
      <w:r>
        <w:rPr>
          <w:rFonts w:ascii="Times New Roman;Times;serif" w:hAnsi="Times New Roman;Times;serif"/>
          <w:b/>
          <w:i/>
          <w:sz w:val="20"/>
        </w:rPr>
        <w:t>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March 29, 2007, our Board approved a stock repurchase program to acquire up to 1.0 million shares of our outstanding common stock. Subsequently, the Board has from time to time increased the number of shares that may be acquired under the program and approved extensions of the program. On May 16, 2025, the Board approved an extension to the program by increasing the shares authorized for repurchase by 0.4 million shares. Since the inception of the repurchase program, the Board has approved 11.8 million shares to be repurchased. As of June 30, 2026, we have repurchased a cumulative total of 10.9 million shares at an average price of $50.88 per share under the repurchase program.</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share repurchases will be made from time to time at our discretion in the open market or privately negotiated transactions, including pursuant to Rule 10b5-1 share repurchase plans, as permitted by securities laws and other legal requirements, and subject to market conditions and other factors. The Board may modify, suspend, extend, or terminate the program at any time. During the six months ended June 30, 2026, we repurchased less than 0.1 million shares for approximately $8.2 million, inclusive of the applicable excise tax, at an average price of $1,438.19 per share.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quarter ended June 30, 2026, we purchased shares of our common stock in the following amounts at the following average prices:</w:t>
      </w:r>
    </w:p>
    <w:p>
      <w:pPr>
        <w:pStyle w:val="TextBody"/>
        <w:bidi w:val="0"/>
        <w:spacing w:before="0" w:after="0"/>
        <w:ind w:left="0" w:right="0" w:hanging="0"/>
        <w:jc w:val="left"/>
        <w:rPr/>
      </w:pPr>
      <w:r>
        <w:rPr/>
        <w:t>​</w:t>
      </w:r>
    </w:p>
    <w:tbl>
      <w:tblPr>
        <w:tblW w:w="9710" w:type="dxa"/>
        <w:jc w:val="left"/>
        <w:tblInd w:w="0" w:type="dxa"/>
        <w:tblLayout w:type="fixed"/>
        <w:tblCellMar>
          <w:top w:w="0" w:type="dxa"/>
          <w:left w:w="0" w:type="dxa"/>
          <w:bottom w:w="0" w:type="dxa"/>
          <w:right w:w="0" w:type="dxa"/>
        </w:tblCellMar>
      </w:tblPr>
      <w:tblGrid>
        <w:gridCol w:w="1516"/>
        <w:gridCol w:w="346"/>
        <w:gridCol w:w="1381"/>
        <w:gridCol w:w="346"/>
        <w:gridCol w:w="244"/>
        <w:gridCol w:w="957"/>
        <w:gridCol w:w="346"/>
        <w:gridCol w:w="1981"/>
        <w:gridCol w:w="346"/>
        <w:gridCol w:w="2056"/>
        <w:gridCol w:w="19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962660" cy="175260"/>
                      <wp:effectExtent l="0" t="0" r="0" b="0"/>
                      <wp:wrapNone/>
                      <wp:docPr id="305" name="Frame305"/>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876935" cy="175260"/>
                      <wp:effectExtent l="0" t="0" r="0" b="0"/>
                      <wp:wrapNone/>
                      <wp:docPr id="307" name="Frame307"/>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54940" cy="175260"/>
                      <wp:effectExtent l="0" t="0" r="0" b="0"/>
                      <wp:wrapNone/>
                      <wp:docPr id="309" name="Frame309"/>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07695" cy="175260"/>
                      <wp:effectExtent l="0" t="0" r="0" b="0"/>
                      <wp:wrapNone/>
                      <wp:docPr id="310" name="Frame310"/>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257935" cy="175260"/>
                      <wp:effectExtent l="0" t="0" r="0" b="0"/>
                      <wp:wrapNone/>
                      <wp:docPr id="312" name="Frame312"/>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05560" cy="175260"/>
                      <wp:effectExtent l="0" t="0" r="0" b="0"/>
                      <wp:wrapNone/>
                      <wp:docPr id="314" name="Frame314"/>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21285" cy="175260"/>
                      <wp:effectExtent l="0" t="0" r="0" b="0"/>
                      <wp:wrapNone/>
                      <wp:docPr id="315" name="Frame31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4"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 Shares</w:t>
            </w:r>
          </w:p>
        </w:tc>
        <w:tc>
          <w:tcPr>
            <w:tcW w:w="346" w:type="dxa"/>
            <w:tcBorders/>
            <w:vAlign w:val="center"/>
          </w:tcPr>
          <w:p>
            <w:pPr>
              <w:pStyle w:val="TableContents"/>
              <w:bidi w:val="0"/>
              <w:spacing w:before="0" w:after="0"/>
              <w:ind w:left="0" w:right="0" w:hanging="0"/>
              <w:jc w:val="left"/>
              <w:rPr/>
            </w:pPr>
            <w:r>
              <w:rPr/>
              <w:t>  ​ ​ ​</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 of</w:t>
            </w:r>
          </w:p>
        </w:tc>
        <w:tc>
          <w:tcPr>
            <w:tcW w:w="191" w:type="dxa"/>
            <w:tcBorders/>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as Part of</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that May Yet Be</w:t>
            </w:r>
          </w:p>
        </w:tc>
        <w:tc>
          <w:tcPr>
            <w:tcW w:w="191" w:type="dxa"/>
            <w:tcBorders/>
            <w:vAlign w:val="center"/>
          </w:tcPr>
          <w:p>
            <w:pPr>
              <w:pStyle w:val="TableContents"/>
              <w:bidi w:val="0"/>
              <w:spacing w:before="0" w:after="0"/>
              <w:ind w:left="0" w:right="0" w:hanging="0"/>
              <w:jc w:val="left"/>
              <w:rPr/>
            </w:pPr>
            <w:r>
              <w:rPr/>
              <w:t> </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Plans</w:t>
            </w:r>
          </w:p>
        </w:tc>
        <w:tc>
          <w:tcPr>
            <w:tcW w:w="34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 the Plans</w:t>
            </w:r>
          </w:p>
        </w:tc>
        <w:tc>
          <w:tcPr>
            <w:tcW w:w="191" w:type="dxa"/>
            <w:tcBorders/>
            <w:vAlign w:val="center"/>
          </w:tcPr>
          <w:p>
            <w:pPr>
              <w:pStyle w:val="TableContents"/>
              <w:bidi w:val="0"/>
              <w:spacing w:before="0" w:after="0"/>
              <w:ind w:left="0" w:right="0" w:hanging="0"/>
              <w:jc w:val="left"/>
              <w:rPr/>
            </w:pPr>
            <w:r>
              <w:rPr/>
              <w:t> </w: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46" w:type="dxa"/>
            <w:tcBorders/>
            <w:vAlign w:val="center"/>
          </w:tcPr>
          <w:p>
            <w:pPr>
              <w:pStyle w:val="TableContents"/>
              <w:bidi w:val="0"/>
              <w:spacing w:before="0" w:after="0"/>
              <w:ind w:left="0" w:right="0" w:hanging="0"/>
              <w:jc w:val="left"/>
              <w:rPr/>
            </w:pPr>
            <w:r>
              <w:rPr/>
              <w:t>​</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Programs (1)</w:t>
            </w:r>
          </w:p>
        </w:tc>
        <w:tc>
          <w:tcPr>
            <w:tcW w:w="346"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 Programs</w:t>
            </w:r>
          </w:p>
        </w:tc>
        <w:tc>
          <w:tcPr>
            <w:tcW w:w="191" w:type="dxa"/>
            <w:tcBorders/>
            <w:vAlign w:val="center"/>
          </w:tcPr>
          <w:p>
            <w:pPr>
              <w:pStyle w:val="TableContents"/>
              <w:bidi w:val="0"/>
              <w:spacing w:before="0" w:after="0"/>
              <w:ind w:left="0" w:right="0" w:hanging="0"/>
              <w:jc w:val="left"/>
              <w:rPr/>
            </w:pPr>
            <w:r>
              <w:rPr/>
              <w:t> </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April 30</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1,300.12</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10,881,218</w:t>
            </w:r>
          </w:p>
        </w:tc>
        <w:tc>
          <w:tcPr>
            <w:tcW w:w="346" w:type="dxa"/>
            <w:tcBorders/>
            <w:shd w:fill="CCEEFF" w:val="clear"/>
            <w:vAlign w:val="center"/>
          </w:tcPr>
          <w:p>
            <w:pPr>
              <w:pStyle w:val="TableContents"/>
              <w:bidi w:val="0"/>
              <w:spacing w:before="0" w:after="0"/>
              <w:ind w:left="0" w:right="0" w:hanging="0"/>
              <w:jc w:val="left"/>
              <w:rPr/>
            </w:pPr>
            <w:r>
              <w:rPr/>
              <w:t> </w:t>
            </w:r>
          </w:p>
        </w:tc>
        <w:tc>
          <w:tcPr>
            <w:tcW w:w="2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876,746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May 31</w:t>
            </w:r>
          </w:p>
        </w:tc>
        <w:tc>
          <w:tcPr>
            <w:tcW w:w="34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10,881,218</w:t>
            </w:r>
          </w:p>
        </w:tc>
        <w:tc>
          <w:tcPr>
            <w:tcW w:w="346" w:type="dxa"/>
            <w:tcBorders/>
            <w:vAlign w:val="center"/>
          </w:tcPr>
          <w:p>
            <w:pPr>
              <w:pStyle w:val="TableContents"/>
              <w:bidi w:val="0"/>
              <w:spacing w:before="0" w:after="0"/>
              <w:ind w:left="0" w:right="0" w:hanging="0"/>
              <w:jc w:val="left"/>
              <w:rPr/>
            </w:pPr>
            <w:r>
              <w:rPr/>
              <w:t> </w:t>
            </w:r>
          </w:p>
        </w:tc>
        <w:tc>
          <w:tcPr>
            <w:tcW w:w="2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876,746</w:t>
            </w:r>
          </w:p>
        </w:tc>
        <w:tc>
          <w:tcPr>
            <w:tcW w:w="191" w:type="dxa"/>
            <w:tcBorders/>
            <w:vAlign w:val="center"/>
          </w:tcPr>
          <w:p>
            <w:pPr>
              <w:pStyle w:val="TableContents"/>
              <w:bidi w:val="0"/>
              <w:spacing w:before="0" w:after="0"/>
              <w:ind w:left="0" w:right="0" w:hanging="0"/>
              <w:jc w:val="left"/>
              <w:rPr/>
            </w:pPr>
            <w:r>
              <w:rPr/>
              <w:t>​</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1,794.09</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10,884,378</w:t>
            </w:r>
          </w:p>
        </w:tc>
        <w:tc>
          <w:tcPr>
            <w:tcW w:w="346" w:type="dxa"/>
            <w:tcBorders/>
            <w:shd w:fill="CCEEFF" w:val="clear"/>
            <w:vAlign w:val="center"/>
          </w:tcPr>
          <w:p>
            <w:pPr>
              <w:pStyle w:val="TableContents"/>
              <w:bidi w:val="0"/>
              <w:spacing w:before="0" w:after="0"/>
              <w:ind w:left="0" w:right="0" w:hanging="0"/>
              <w:jc w:val="left"/>
              <w:rPr/>
            </w:pPr>
            <w:r>
              <w:rPr/>
              <w:t> </w:t>
            </w:r>
          </w:p>
        </w:tc>
        <w:tc>
          <w:tcPr>
            <w:tcW w:w="20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873,586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3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3,171</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1,792.38</w:t>
            </w:r>
          </w:p>
        </w:tc>
        <w:tc>
          <w:tcPr>
            <w:tcW w:w="346" w:type="dxa"/>
            <w:tcBorders/>
            <w:vAlign w:val="center"/>
          </w:tcPr>
          <w:p>
            <w:pPr>
              <w:pStyle w:val="TableContents"/>
              <w:bidi w:val="0"/>
              <w:spacing w:before="0" w:after="0"/>
              <w:ind w:left="0" w:right="0" w:hanging="0"/>
              <w:jc w:val="left"/>
              <w:rPr/>
            </w:pPr>
            <w:r>
              <w:rPr/>
              <w:t> </w:t>
            </w:r>
          </w:p>
        </w:tc>
        <w:tc>
          <w:tcPr>
            <w:tcW w:w="19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10,884,378</w:t>
            </w:r>
          </w:p>
        </w:tc>
        <w:tc>
          <w:tcPr>
            <w:tcW w:w="346" w:type="dxa"/>
            <w:tcBorders/>
            <w:vAlign w:val="center"/>
          </w:tcPr>
          <w:p>
            <w:pPr>
              <w:pStyle w:val="TableContents"/>
              <w:bidi w:val="0"/>
              <w:spacing w:before="0" w:after="0"/>
              <w:ind w:left="0" w:right="0" w:hanging="0"/>
              <w:jc w:val="left"/>
              <w:rPr/>
            </w:pPr>
            <w:r>
              <w:rPr/>
              <w:t> </w:t>
            </w:r>
          </w:p>
        </w:tc>
        <w:tc>
          <w:tcPr>
            <w:tcW w:w="20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873,586</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 as part of a stock repurchase program announced on March 29, 2007, under which, since the inception of this program, 11.8 million shares have been approved for repurchase.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our stock incentive plans, employees may elect to have us withhold common shares to satisfy statutory federal, state, and local tax withholding obligations arising on the vesting of restricted stock awards and exercise of options. When we withhold these shares, we are required to remit to the appropriate taxing authorities the market price of the shares withheld, which could be deemed a purchase of the common shares by us on the date of withholding.</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bookmarkStart w:id="1416" w:name="Other_Information"/>
      <w:bookmarkStart w:id="1417" w:name="_b95a7715_3116_4941_a413_ea5e711427c8"/>
      <w:bookmarkStart w:id="1418" w:name="Item5OtherInformation"/>
      <w:bookmarkEnd w:id="1416"/>
      <w:bookmarkEnd w:id="1417"/>
      <w:bookmarkEnd w:id="1418"/>
      <w:r>
        <w:rPr>
          <w:rFonts w:ascii="Times New Roman;Times;serif" w:hAnsi="Times New Roman;Times;serif"/>
          <w:b/>
          <w:sz w:val="20"/>
        </w:rPr>
        <w:t xml:space="preserve">Item 5. </w:t>
      </w:r>
      <w:r>
        <w:rPr>
          <w:rFonts w:ascii="Times New Roman;Times;serif" w:hAnsi="Times New Roman;Times;serif"/>
          <w:b/>
          <w:i/>
          <w:sz w:val="20"/>
        </w:rPr>
        <w:t>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Trading Plans of Directors and Officers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2026, no directors or officers of the Company adopted or terminated a “Rule 10b5-1 trading arrangement” or “non-Rule 10b5-1 trading arrangement,” as defined in Item 408(a) and (c) of Regulation S-K.</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19" w:name="Item6Exhibits_786371"/>
      <w:bookmarkStart w:id="1420" w:name="_844d182e_11d7_461a_96e4_9ffea8d822c0"/>
      <w:bookmarkEnd w:id="1419"/>
      <w:bookmarkEnd w:id="1420"/>
      <w:r>
        <w:rPr>
          <w:rFonts w:ascii="Times New Roman;Times;serif" w:hAnsi="Times New Roman;Times;serif"/>
          <w:b/>
          <w:sz w:val="20"/>
        </w:rPr>
        <w:t xml:space="preserve">Item 6. </w:t>
      </w:r>
      <w:r>
        <w:rPr>
          <w:rFonts w:ascii="Times New Roman;Times;serif" w:hAnsi="Times New Roman;Times;serif"/>
          <w:b/>
          <w:i/>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87"/>
        <w:gridCol w:w="346"/>
        <w:gridCol w:w="6269"/>
        <w:gridCol w:w="346"/>
        <w:gridCol w:w="691"/>
        <w:gridCol w:w="346"/>
        <w:gridCol w:w="1320"/>
      </w:tblGrid>
      <w:tr>
        <w:trPr/>
        <w:tc>
          <w:tcPr>
            <w:tcW w:w="88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26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320" w:type="dxa"/>
            <w:tcBorders/>
            <w:vAlign w:val="center"/>
          </w:tcPr>
          <w:p>
            <w:pPr>
              <w:pStyle w:val="TableContents"/>
              <w:bidi w:val="0"/>
              <w:spacing w:before="0" w:after="283"/>
              <w:ind w:left="0" w:right="0" w:hanging="0"/>
              <w:jc w:val="left"/>
              <w:rPr>
                <w:sz w:val="4"/>
                <w:szCs w:val="4"/>
              </w:rPr>
            </w:pPr>
            <w:r>
              <w:rPr>
                <w:sz w:val="4"/>
                <w:szCs w:val="4"/>
              </w:rPr>
            </w:r>
          </w:p>
        </w:tc>
      </w:tr>
      <w:tr>
        <w:trPr/>
        <w:tc>
          <w:tcPr>
            <w:tcW w:w="887" w:type="dxa"/>
            <w:tcBorders/>
            <w:vAlign w:val="center"/>
          </w:tcPr>
          <w:p>
            <w:pPr>
              <w:pStyle w:val="TableContents"/>
              <w:bidi w:val="0"/>
              <w:spacing w:lineRule="atLeast" w:line="180" w:before="0" w:after="0"/>
              <w:ind w:left="0" w:right="0" w:hanging="0"/>
              <w:jc w:val="center"/>
              <w:rPr/>
            </w:pPr>
            <w:r>
              <w:rPr/>
              <w:t>​</w:t>
            </w:r>
          </w:p>
        </w:tc>
        <w:tc>
          <w:tcPr>
            <w:tcW w:w="346" w:type="dxa"/>
            <w:tcBorders/>
            <w:vAlign w:val="center"/>
          </w:tcPr>
          <w:p>
            <w:pPr>
              <w:pStyle w:val="TableContents"/>
              <w:bidi w:val="0"/>
              <w:spacing w:lineRule="atLeast" w:line="180" w:before="0" w:after="0"/>
              <w:ind w:left="0" w:right="0" w:hanging="0"/>
              <w:jc w:val="center"/>
              <w:rPr/>
            </w:pPr>
            <w:r>
              <w:rPr/>
              <w:t>​</w:t>
            </w:r>
          </w:p>
        </w:tc>
        <w:tc>
          <w:tcPr>
            <w:tcW w:w="6269" w:type="dxa"/>
            <w:tcBorders/>
            <w:vAlign w:val="center"/>
          </w:tcPr>
          <w:p>
            <w:pPr>
              <w:pStyle w:val="TableContents"/>
              <w:bidi w:val="0"/>
              <w:spacing w:lineRule="atLeast" w:line="180" w:before="0" w:after="0"/>
              <w:ind w:left="0" w:right="0" w:hanging="0"/>
              <w:jc w:val="center"/>
              <w:rPr/>
            </w:pPr>
            <w:r>
              <w:rPr/>
              <w:t>​</w:t>
            </w:r>
          </w:p>
        </w:tc>
        <w:tc>
          <w:tcPr>
            <w:tcW w:w="346" w:type="dxa"/>
            <w:tcBorders/>
            <w:vAlign w:val="center"/>
          </w:tcPr>
          <w:p>
            <w:pPr>
              <w:pStyle w:val="TableContents"/>
              <w:bidi w:val="0"/>
              <w:spacing w:lineRule="atLeast" w:line="180" w:before="0" w:after="0"/>
              <w:ind w:left="0" w:right="0" w:hanging="0"/>
              <w:jc w:val="center"/>
              <w:rPr/>
            </w:pPr>
            <w:r>
              <w:rPr/>
              <w:t>​</w:t>
            </w:r>
          </w:p>
        </w:tc>
        <w:tc>
          <w:tcPr>
            <w:tcW w:w="2357" w:type="dxa"/>
            <w:gridSpan w:val="3"/>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br/>
              <w:t>to the Exhibit Indicated Below</w:t>
              <w:br/>
              <w:t>and to the Filing with the</w:t>
              <w:br/>
              <w:t>Commission Indicated Below</w:t>
            </w:r>
          </w:p>
        </w:tc>
      </w:tr>
      <w:tr>
        <w:trPr/>
        <w:tc>
          <w:tcPr>
            <w:tcW w:w="887"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lineRule="atLeast" w:line="180" w:before="0" w:after="0"/>
              <w:ind w:left="0" w:right="0" w:hanging="0"/>
              <w:jc w:val="center"/>
              <w:rPr/>
            </w:pPr>
            <w:r>
              <w:rPr/>
              <w:t>  ​ ​ ​</w:t>
            </w:r>
          </w:p>
        </w:tc>
        <w:tc>
          <w:tcPr>
            <w:tcW w:w="6269"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Exhibits</w:t>
            </w:r>
          </w:p>
        </w:tc>
        <w:tc>
          <w:tcPr>
            <w:tcW w:w="346" w:type="dxa"/>
            <w:tcBorders/>
            <w:vAlign w:val="center"/>
          </w:tcPr>
          <w:p>
            <w:pPr>
              <w:pStyle w:val="TableContents"/>
              <w:bidi w:val="0"/>
              <w:spacing w:lineRule="atLeast" w:line="180" w:before="0" w:after="0"/>
              <w:ind w:left="0" w:right="0" w:hanging="0"/>
              <w:jc w:val="center"/>
              <w:rPr/>
            </w:pPr>
            <w:r>
              <w:rPr/>
              <w:t>  ​ ​ ​</w:t>
            </w:r>
          </w:p>
        </w:tc>
        <w:tc>
          <w:tcPr>
            <w:tcW w:w="691" w:type="dxa"/>
            <w:tcBorders>
              <w:top w:val="single" w:sz="2" w:space="0" w:color="000000"/>
              <w:bottom w:val="single" w:sz="2" w:space="0" w:color="000000"/>
            </w:tcBorders>
            <w:tcMar>
              <w:top w:w="28" w:type="dxa"/>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lineRule="atLeast" w:line="180" w:before="0" w:after="0"/>
              <w:ind w:left="0" w:right="0" w:hanging="0"/>
              <w:jc w:val="center"/>
              <w:rPr/>
            </w:pPr>
            <w:r>
              <w:rPr/>
              <w:t>  ​ ​ ​</w:t>
            </w:r>
          </w:p>
        </w:tc>
        <w:tc>
          <w:tcPr>
            <w:tcW w:w="1320" w:type="dxa"/>
            <w:tcBorders>
              <w:top w:val="single" w:sz="2" w:space="0" w:color="000000"/>
              <w:bottom w:val="single" w:sz="2" w:space="0" w:color="000000"/>
            </w:tcBorders>
            <w:tcMar>
              <w:top w:w="28" w:type="dxa"/>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Filing or</w:t>
              <w:br/>
              <w:t>File Number</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r:id="rId2">
              <w:r>
                <w:rPr>
                  <w:rStyle w:val="InternetLink"/>
                  <w:rFonts w:ascii="Times New Roman;Times;serif" w:hAnsi="Times New Roman;Times;serif"/>
                  <w:b w:val="false"/>
                  <w:i w:val="false"/>
                  <w:caps w:val="false"/>
                  <w:smallCaps w:val="false"/>
                  <w:sz w:val="20"/>
                </w:rPr>
                <w:t>Second Amended and Restated Certificate of Incorporation of the Registrant</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333-24021</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Amendment dated May 21, 1998</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1998 Form 10-K</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dated July 9, 2003</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2003 Form 10-K</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dated May 20, 2016</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May 20, 2016</w:t>
            </w:r>
          </w:p>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of Comfort Systems USA, Inc.</w:t>
              </w:r>
            </w:hyperlink>
          </w:p>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March 25, 2016</w:t>
            </w:r>
          </w:p>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Form 8-K</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w:anchor="fix-2026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w:anchor="fix-2026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w:anchor="fix-20260630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hyperlink w:anchor="fix-20260630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 xml:space="preserve">Inline XBRL Instance Document </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in the Inline XBRL document)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r>
        <w:trPr/>
        <w:tc>
          <w:tcPr>
            <w:tcW w:w="887" w:type="dxa"/>
            <w:tcBorders/>
            <w:vAlign w:val="center"/>
          </w:tcPr>
          <w:p>
            <w:pPr>
              <w:pStyle w:val="TableContents"/>
              <w:pBdr/>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left"/>
              <w:rPr/>
            </w:pPr>
            <w:r>
              <w:rPr/>
              <w:t>​</w:t>
            </w:r>
          </w:p>
        </w:tc>
        <w:tc>
          <w:tcPr>
            <w:tcW w:w="6269" w:type="dxa"/>
            <w:tcBorders/>
            <w:vAlign w:val="center"/>
          </w:tcPr>
          <w:p>
            <w:pPr>
              <w:pStyle w:val="TableContents"/>
              <w:bidi w:val="0"/>
              <w:spacing w:lineRule="auto" w:line="304" w:before="0" w:after="0"/>
              <w:ind w:left="0" w:right="0" w:hanging="0"/>
              <w:jc w:val="left"/>
              <w:rPr/>
            </w:pPr>
            <w:r>
              <w:rPr/>
              <w:t>​</w:t>
            </w:r>
          </w:p>
        </w:tc>
        <w:tc>
          <w:tcPr>
            <w:tcW w:w="346" w:type="dxa"/>
            <w:tcBorders/>
            <w:vAlign w:val="center"/>
          </w:tcPr>
          <w:p>
            <w:pPr>
              <w:pStyle w:val="TableContents"/>
              <w:bidi w:val="0"/>
              <w:spacing w:lineRule="auto" w:line="304" w:before="0" w:after="0"/>
              <w:ind w:left="0" w:right="0" w:hanging="0"/>
              <w:jc w:val="right"/>
              <w:rPr/>
            </w:pPr>
            <w:r>
              <w:rPr/>
              <w:t>​</w:t>
            </w:r>
          </w:p>
        </w:tc>
        <w:tc>
          <w:tcPr>
            <w:tcW w:w="691" w:type="dxa"/>
            <w:tcBorders/>
            <w:vAlign w:val="center"/>
          </w:tcPr>
          <w:p>
            <w:pPr>
              <w:pStyle w:val="TableContents"/>
              <w:bidi w:val="0"/>
              <w:spacing w:lineRule="auto" w:line="304" w:before="0" w:after="0"/>
              <w:ind w:left="0" w:right="0" w:hanging="0"/>
              <w:jc w:val="right"/>
              <w:rPr/>
            </w:pPr>
            <w:r>
              <w:rPr/>
              <w:t>​</w:t>
            </w:r>
          </w:p>
        </w:tc>
        <w:tc>
          <w:tcPr>
            <w:tcW w:w="346" w:type="dxa"/>
            <w:tcBorders/>
            <w:vAlign w:val="center"/>
          </w:tcPr>
          <w:p>
            <w:pPr>
              <w:pStyle w:val="TableContents"/>
              <w:bidi w:val="0"/>
              <w:spacing w:lineRule="auto" w:line="304" w:before="0" w:after="0"/>
              <w:ind w:left="0" w:right="0" w:hanging="0"/>
              <w:jc w:val="center"/>
              <w:rPr/>
            </w:pPr>
            <w:r>
              <w:rPr/>
              <w:t>​</w:t>
            </w:r>
          </w:p>
        </w:tc>
        <w:tc>
          <w:tcPr>
            <w:tcW w:w="1320" w:type="dxa"/>
            <w:tcBorders/>
            <w:vAlign w:val="center"/>
          </w:tcPr>
          <w:p>
            <w:pPr>
              <w:pStyle w:val="TableContents"/>
              <w:bidi w:val="0"/>
              <w:spacing w:lineRule="auto" w:line="304" w:before="0" w:after="0"/>
              <w:ind w:left="0" w:right="0" w:hanging="0"/>
              <w:jc w:val="center"/>
              <w:rPr/>
            </w:pPr>
            <w:r>
              <w:rPr/>
              <w:t>​</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Filed herewith.</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21" w:name="SIGNATURES_727857"/>
      <w:bookmarkStart w:id="1422" w:name="_68e23dff_7466_48ec_99fa_12ca7da7ab86"/>
      <w:bookmarkEnd w:id="1421"/>
      <w:bookmarkEnd w:id="1422"/>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pPr>
      <w:r>
        <w:rPr/>
        <w:t>​</w:t>
      </w:r>
    </w:p>
    <w:tbl>
      <w:tblPr>
        <w:tblW w:w="6138" w:type="dxa"/>
        <w:jc w:val="left"/>
        <w:tblInd w:w="0" w:type="dxa"/>
        <w:tblLayout w:type="fixed"/>
        <w:tblCellMar>
          <w:top w:w="0" w:type="dxa"/>
          <w:left w:w="0" w:type="dxa"/>
          <w:bottom w:w="0" w:type="dxa"/>
          <w:right w:w="0" w:type="dxa"/>
        </w:tblCellMar>
      </w:tblPr>
      <w:tblGrid>
        <w:gridCol w:w="1231"/>
        <w:gridCol w:w="406"/>
        <w:gridCol w:w="4501"/>
      </w:tblGrid>
      <w:tr>
        <w:trPr/>
        <w:tc>
          <w:tcPr>
            <w:tcW w:w="123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501" w:type="dxa"/>
            <w:tcBorders/>
            <w:vAlign w:val="center"/>
          </w:tcPr>
          <w:p>
            <w:pPr>
              <w:pStyle w:val="TableContents"/>
              <w:bidi w:val="0"/>
              <w:spacing w:before="0" w:after="0"/>
              <w:ind w:left="0" w:right="0" w:hanging="0"/>
              <w:jc w:val="left"/>
              <w:rPr/>
            </w:pPr>
            <w:r>
              <w:rPr/>
              <w:t>​</w:t>
            </w:r>
          </w:p>
        </w:tc>
      </w:tr>
      <w:tr>
        <w:trPr/>
        <w:tc>
          <w:tcPr>
            <w:tcW w:w="1231" w:type="dxa"/>
            <w:tcBorders/>
            <w:vAlign w:val="center"/>
          </w:tcPr>
          <w:p>
            <w:pPr>
              <w:pStyle w:val="TableContents"/>
              <w:pBdr/>
              <w:bidi w:val="0"/>
              <w:spacing w:lineRule="auto" w:line="304" w:before="0" w:after="0"/>
              <w:ind w:left="0" w:right="0" w:hanging="0"/>
              <w:jc w:val="left"/>
              <w:rPr/>
            </w:pPr>
            <w:r>
              <w:rPr/>
              <w:t>​</w:t>
            </w:r>
          </w:p>
        </w:tc>
        <w:tc>
          <w:tcPr>
            <w:tcW w:w="4907" w:type="dxa"/>
            <w:gridSpan w:val="2"/>
            <w:tcBorders/>
            <w:vAlign w:val="center"/>
          </w:tcPr>
          <w:p>
            <w:pPr>
              <w:pStyle w:val="TableContents"/>
              <w:bidi w:val="0"/>
              <w:spacing w:lineRule="auto" w:line="304" w:before="0" w:after="0"/>
              <w:ind w:left="0" w:right="0" w:hanging="0"/>
              <w:jc w:val="left"/>
              <w:rPr>
                <w:rFonts w:ascii="Times New Roman;Times;serif" w:hAnsi="Times New Roman;Times;serif"/>
                <w:smallCaps/>
                <w:sz w:val="20"/>
              </w:rPr>
            </w:pPr>
            <w:r>
              <w:rPr>
                <w:rFonts w:ascii="Times New Roman;Times;serif" w:hAnsi="Times New Roman;Times;serif"/>
                <w:smallCaps/>
                <w:sz w:val="20"/>
              </w:rPr>
              <w:t>Comfort Systems USA, Inc.</w:t>
            </w:r>
          </w:p>
        </w:tc>
      </w:tr>
      <w:tr>
        <w:trPr/>
        <w:tc>
          <w:tcPr>
            <w:tcW w:w="12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pPr>
            <w:r>
              <w:rPr/>
              <w:t>​</w:t>
            </w:r>
          </w:p>
        </w:tc>
      </w:tr>
      <w:tr>
        <w:trPr/>
        <w:tc>
          <w:tcPr>
            <w:tcW w:w="12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July 23,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Brian E. Lane</w:t>
            </w:r>
          </w:p>
        </w:tc>
      </w:tr>
      <w:tr>
        <w:trPr/>
        <w:tc>
          <w:tcPr>
            <w:tcW w:w="12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Brian E. Lane</w:t>
            </w:r>
          </w:p>
        </w:tc>
      </w:tr>
      <w:tr>
        <w:trPr/>
        <w:tc>
          <w:tcPr>
            <w:tcW w:w="12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rFonts w:ascii="Times New Roman;Times;serif" w:hAnsi="Times New Roman;Times;serif"/>
                <w:i/>
                <w:sz w:val="20"/>
              </w:rPr>
            </w:pPr>
            <w:r>
              <w:rPr>
                <w:rFonts w:ascii="Times New Roman;Times;serif" w:hAnsi="Times New Roman;Times;serif"/>
                <w:i/>
                <w:sz w:val="20"/>
              </w:rPr>
              <w:t>Chief Executive Officer and Director</w:t>
            </w:r>
          </w:p>
        </w:tc>
      </w:tr>
      <w:tr>
        <w:trPr/>
        <w:tc>
          <w:tcPr>
            <w:tcW w:w="12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pPr>
            <w:r>
              <w:rPr/>
              <w:t>​</w:t>
            </w:r>
          </w:p>
        </w:tc>
      </w:tr>
      <w:tr>
        <w:trPr/>
        <w:tc>
          <w:tcPr>
            <w:tcW w:w="1231" w:type="dxa"/>
            <w:tcBorders/>
            <w:vAlign w:val="center"/>
          </w:tcPr>
          <w:p>
            <w:pPr>
              <w:pStyle w:val="TableContents"/>
              <w:pBdr/>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July 23,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George</w:t>
            </w:r>
          </w:p>
        </w:tc>
      </w:tr>
      <w:tr>
        <w:trPr/>
        <w:tc>
          <w:tcPr>
            <w:tcW w:w="12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William George</w:t>
            </w:r>
          </w:p>
        </w:tc>
      </w:tr>
      <w:tr>
        <w:trPr/>
        <w:tc>
          <w:tcPr>
            <w:tcW w:w="12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rFonts w:ascii="Times New Roman;Times;serif" w:hAnsi="Times New Roman;Times;serif"/>
                <w:i/>
                <w:sz w:val="20"/>
              </w:rPr>
            </w:pPr>
            <w:r>
              <w:rPr>
                <w:rFonts w:ascii="Times New Roman;Times;serif" w:hAnsi="Times New Roman;Times;serif"/>
                <w:i/>
                <w:sz w:val="20"/>
              </w:rPr>
              <w:t>Executive Vice President and Chief Financial Officer</w:t>
            </w:r>
          </w:p>
        </w:tc>
      </w:tr>
      <w:tr>
        <w:trPr/>
        <w:tc>
          <w:tcPr>
            <w:tcW w:w="12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pPr>
            <w:r>
              <w:rPr/>
              <w:t>​</w:t>
            </w:r>
          </w:p>
        </w:tc>
      </w:tr>
      <w:tr>
        <w:trPr/>
        <w:tc>
          <w:tcPr>
            <w:tcW w:w="123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July 23, 2026</w:t>
            </w:r>
          </w:p>
        </w:tc>
        <w:tc>
          <w:tcPr>
            <w:tcW w:w="4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0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Julie S. Shaeff</w:t>
            </w:r>
          </w:p>
        </w:tc>
      </w:tr>
      <w:tr>
        <w:trPr/>
        <w:tc>
          <w:tcPr>
            <w:tcW w:w="12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Julie S. Shaeff</w:t>
            </w:r>
          </w:p>
        </w:tc>
      </w:tr>
      <w:tr>
        <w:trPr/>
        <w:tc>
          <w:tcPr>
            <w:tcW w:w="1231" w:type="dxa"/>
            <w:tcBorders/>
            <w:vAlign w:val="center"/>
          </w:tcPr>
          <w:p>
            <w:pPr>
              <w:pStyle w:val="TableContents"/>
              <w:pBdr/>
              <w:bidi w:val="0"/>
              <w:spacing w:lineRule="auto" w:line="304" w:before="0" w:after="0"/>
              <w:ind w:left="0" w:right="0" w:hanging="0"/>
              <w:jc w:val="left"/>
              <w:rPr/>
            </w:pPr>
            <w:r>
              <w:rPr/>
              <w:t>​</w:t>
            </w:r>
          </w:p>
        </w:tc>
        <w:tc>
          <w:tcPr>
            <w:tcW w:w="406" w:type="dxa"/>
            <w:tcBorders/>
            <w:vAlign w:val="center"/>
          </w:tcPr>
          <w:p>
            <w:pPr>
              <w:pStyle w:val="TableContents"/>
              <w:bidi w:val="0"/>
              <w:spacing w:lineRule="auto" w:line="304" w:before="0" w:after="0"/>
              <w:ind w:left="0" w:right="0" w:hanging="0"/>
              <w:jc w:val="left"/>
              <w:rPr/>
            </w:pPr>
            <w:r>
              <w:rPr/>
              <w:t>​</w:t>
            </w:r>
          </w:p>
        </w:tc>
        <w:tc>
          <w:tcPr>
            <w:tcW w:w="4501" w:type="dxa"/>
            <w:tcBorders/>
            <w:vAlign w:val="center"/>
          </w:tcPr>
          <w:p>
            <w:pPr>
              <w:pStyle w:val="TableContents"/>
              <w:bidi w:val="0"/>
              <w:spacing w:lineRule="auto" w:line="304"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Chief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240"/>
        <w:ind w:left="0" w:right="0" w:hanging="0"/>
        <w:jc w:val="right"/>
        <w:rPr>
          <w:rFonts w:ascii="Times New Roman;Times;serif" w:hAnsi="Times New Roman;Times;serif"/>
          <w:b/>
          <w:sz w:val="20"/>
        </w:rPr>
      </w:pPr>
      <w:bookmarkStart w:id="1423" w:name="fix-20260630xex31d1.htm"/>
      <w:bookmarkStart w:id="1424" w:name="ksfix20260630xex31d1"/>
      <w:bookmarkEnd w:id="1423"/>
      <w:bookmarkEnd w:id="1424"/>
      <w:r>
        <w:rPr>
          <w:rFonts w:ascii="Times New Roman;Times;serif" w:hAnsi="Times New Roman;Times;serif"/>
          <w:b/>
          <w:sz w:val="20"/>
        </w:rPr>
        <w:t>Exhibit 31.1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 Oxley Act of 2002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Brian E. Lane, certify that: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Comfort Systems USA, Inc.;</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3767" w:type="dxa"/>
        <w:jc w:val="center"/>
        <w:tblInd w:w="0" w:type="dxa"/>
        <w:tblLayout w:type="fixed"/>
        <w:tblCellMar>
          <w:top w:w="0" w:type="dxa"/>
          <w:left w:w="0" w:type="dxa"/>
          <w:bottom w:w="0" w:type="dxa"/>
          <w:right w:w="0" w:type="dxa"/>
        </w:tblCellMar>
      </w:tblPr>
      <w:tblGrid>
        <w:gridCol w:w="1711"/>
        <w:gridCol w:w="2056"/>
      </w:tblGrid>
      <w:tr>
        <w:trPr/>
        <w:tc>
          <w:tcPr>
            <w:tcW w:w="1711"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05560" cy="175260"/>
                      <wp:effectExtent l="0" t="0" r="0" b="0"/>
                      <wp:wrapNone/>
                      <wp:docPr id="316" name="Frame316"/>
                      <a:graphic xmlns:a="http://schemas.openxmlformats.org/drawingml/2006/main">
                        <a:graphicData uri="http://schemas.microsoft.com/office/word/2010/wordprocessingShape">
                          <wps:wsp>
                            <wps:cNvSpPr txBox="1"/>
                            <wps:spPr>
                              <a:xfrm>
                                <a:off x="0" y="0"/>
                                <a:ext cx="1305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July 23, 2026</w:t>
            </w:r>
          </w:p>
        </w:tc>
        <w:tc>
          <w:tcPr>
            <w:tcW w:w="20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Brian E. Lane</w:t>
            </w:r>
          </w:p>
        </w:tc>
      </w:tr>
      <w:tr>
        <w:trPr/>
        <w:tc>
          <w:tcPr>
            <w:tcW w:w="1711" w:type="dxa"/>
            <w:tcBorders/>
            <w:vAlign w:val="center"/>
          </w:tcPr>
          <w:p>
            <w:pPr>
              <w:pStyle w:val="TableContents"/>
              <w:bidi w:val="0"/>
              <w:spacing w:lineRule="auto" w:line="285"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Brian E. Lane</w:t>
              <w:br/>
            </w:r>
            <w:r>
              <w:rPr>
                <w:rFonts w:ascii="Times New Roman;Times;serif" w:hAnsi="Times New Roman;Times;serif"/>
                <w:i/>
                <w:sz w:val="20"/>
              </w:rPr>
              <w:t>Chief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425" w:name="fix-20260630xex31d2.htm"/>
      <w:bookmarkStart w:id="1426" w:name="ksfix20260630xex31d2"/>
      <w:bookmarkEnd w:id="1425"/>
      <w:bookmarkEnd w:id="1426"/>
      <w:r>
        <w:rPr>
          <w:rFonts w:ascii="Times New Roman;Times;serif" w:hAnsi="Times New Roman;Times;serif"/>
          <w:b/>
          <w:sz w:val="20"/>
        </w:rPr>
        <w:t>Exhibit 31.2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 William George, certify that: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1.       I have reviewed this quarterly report on Form 10-Q of Comfort Systems USA, Inc.;</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lineRule="auto" w:line="285" w:before="0" w:after="240"/>
        <w:ind w:left="0" w:right="0" w:hanging="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uto" w:line="285" w:before="0" w:after="240"/>
        <w:ind w:left="720" w:right="0" w:hanging="70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6212" w:type="dxa"/>
        <w:jc w:val="center"/>
        <w:tblInd w:w="0" w:type="dxa"/>
        <w:tblLayout w:type="fixed"/>
        <w:tblCellMar>
          <w:top w:w="0" w:type="dxa"/>
          <w:left w:w="0" w:type="dxa"/>
          <w:bottom w:w="0" w:type="dxa"/>
          <w:right w:w="0" w:type="dxa"/>
        </w:tblCellMar>
      </w:tblPr>
      <w:tblGrid>
        <w:gridCol w:w="1711"/>
        <w:gridCol w:w="4501"/>
      </w:tblGrid>
      <w:tr>
        <w:trPr/>
        <w:tc>
          <w:tcPr>
            <w:tcW w:w="1711"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711" w:type="dxa"/>
            <w:tcBorders/>
            <w:vAlign w:val="center"/>
          </w:tcPr>
          <w:p>
            <w:pPr>
              <w:pStyle w:val="TableContents"/>
              <w:bidi w:val="0"/>
              <w:spacing w:lineRule="auto" w:line="285" w:before="0" w:after="0"/>
              <w:ind w:left="0" w:right="0" w:hanging="0"/>
              <w:jc w:val="left"/>
              <w:rPr/>
            </w:pPr>
            <w:r>
              <w:rPr/>
              <w:t>​</w:t>
            </w:r>
          </w:p>
        </w:tc>
        <w:tc>
          <w:tcPr>
            <w:tcW w:w="4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George</w:t>
            </w:r>
          </w:p>
        </w:tc>
      </w:tr>
      <w:tr>
        <w:trPr/>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July 23, 2026</w:t>
            </w:r>
          </w:p>
        </w:tc>
        <w:tc>
          <w:tcPr>
            <w:tcW w:w="450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George</w:t>
              <w:br/>
            </w:r>
            <w:r>
              <w:rPr>
                <w:rFonts w:ascii="Times New Roman;Times;serif" w:hAnsi="Times New Roman;Times;serif"/>
                <w:i/>
                <w:sz w:val="20"/>
              </w:rPr>
              <w:t>Executive Vice President and 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427" w:name="fix-20260630xex32d1.htm"/>
      <w:bookmarkStart w:id="1428" w:name="ksfix20260630xex32d1"/>
      <w:bookmarkEnd w:id="1427"/>
      <w:bookmarkEnd w:id="1428"/>
      <w:r>
        <w:rPr>
          <w:rFonts w:ascii="Times New Roman;Times;serif" w:hAnsi="Times New Roman;Times;serif"/>
          <w:b/>
          <w:sz w:val="20"/>
        </w:rPr>
        <w:t>Exhibit 32.1</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Comfort Systems USA, Inc. (the “Company”) on Form 10-Q for the quarter ended June 30, 2026, as filed with the Securities and Exchange Commission on the date hereof (the “Report”), I, Brian E. Lane, Chief Executive Officer of the Company, certify, pursuant to 18 U.S.C. §1350, as adopted pursuant to Section 906 of the Sarbanes-Oxley Act of 2002, that:</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tbl>
      <w:tblPr>
        <w:tblW w:w="3767" w:type="dxa"/>
        <w:jc w:val="center"/>
        <w:tblInd w:w="0" w:type="dxa"/>
        <w:tblLayout w:type="fixed"/>
        <w:tblCellMar>
          <w:top w:w="0" w:type="dxa"/>
          <w:left w:w="0" w:type="dxa"/>
          <w:bottom w:w="0" w:type="dxa"/>
          <w:right w:w="0" w:type="dxa"/>
        </w:tblCellMar>
      </w:tblPr>
      <w:tblGrid>
        <w:gridCol w:w="1711"/>
        <w:gridCol w:w="2056"/>
      </w:tblGrid>
      <w:tr>
        <w:trPr/>
        <w:tc>
          <w:tcPr>
            <w:tcW w:w="1711" w:type="dxa"/>
            <w:tcBorders/>
            <w:vAlign w:val="center"/>
          </w:tcPr>
          <w:p>
            <w:pPr>
              <w:pStyle w:val="TableContents"/>
              <w:bidi w:val="0"/>
              <w:spacing w:lineRule="auto" w:line="285" w:before="0" w:after="0"/>
              <w:ind w:left="0" w:right="0" w:hanging="0"/>
              <w:jc w:val="left"/>
              <w:rPr/>
            </w:pPr>
            <w:r>
              <w:rPr/>
              <w:t>​</w:t>
            </w:r>
          </w:p>
        </w:tc>
        <w:tc>
          <w:tcPr>
            <w:tcW w:w="2056" w:type="dxa"/>
            <w:tcBorders/>
            <w:vAlign w:val="center"/>
          </w:tcPr>
          <w:p>
            <w:pPr>
              <w:pStyle w:val="TableContents"/>
              <w:bidi w:val="0"/>
              <w:spacing w:lineRule="auto" w:line="285" w:before="0" w:after="0"/>
              <w:ind w:left="0" w:right="0" w:hanging="0"/>
              <w:jc w:val="left"/>
              <w:rPr/>
            </w:pPr>
            <w:r>
              <w:rPr/>
              <w:t>​</w:t>
            </w:r>
          </w:p>
        </w:tc>
      </w:tr>
      <w:tr>
        <w:trPr/>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July 23, 2026</w:t>
            </w:r>
          </w:p>
        </w:tc>
        <w:tc>
          <w:tcPr>
            <w:tcW w:w="2056" w:type="dxa"/>
            <w:tcBorders>
              <w:bottom w:val="single" w:sz="8"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Brian E. Lane</w:t>
            </w:r>
          </w:p>
        </w:tc>
      </w:tr>
      <w:tr>
        <w:trPr/>
        <w:tc>
          <w:tcPr>
            <w:tcW w:w="1711" w:type="dxa"/>
            <w:tcBorders/>
            <w:vAlign w:val="center"/>
          </w:tcPr>
          <w:p>
            <w:pPr>
              <w:pStyle w:val="TableContents"/>
              <w:bidi w:val="0"/>
              <w:spacing w:lineRule="auto" w:line="285" w:before="0" w:after="0"/>
              <w:ind w:left="0" w:right="0" w:hanging="0"/>
              <w:jc w:val="left"/>
              <w:rPr/>
            </w:pPr>
            <w:r>
              <w:rPr/>
              <w:t>​</w:t>
            </w:r>
          </w:p>
        </w:tc>
        <w:tc>
          <w:tcPr>
            <w:tcW w:w="2056" w:type="dxa"/>
            <w:tcBorders>
              <w:top w:val="single" w:sz="8"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Brian E. Lane</w:t>
              <w:br/>
            </w:r>
            <w:r>
              <w:rPr>
                <w:rFonts w:ascii="Times New Roman;Times;serif" w:hAnsi="Times New Roman;Times;serif"/>
                <w:i/>
                <w:sz w:val="20"/>
              </w:rPr>
              <w:t>Chief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pBdr/>
        <w:bidi w:val="0"/>
        <w:spacing w:lineRule="auto" w:line="285" w:before="0" w:after="0"/>
        <w:ind w:left="0" w:right="0" w:hanging="706"/>
        <w:jc w:val="left"/>
        <w:rPr>
          <w:rFonts w:ascii="Times New Roman;Times;serif" w:hAnsi="Times New Roman;Times;serif"/>
          <w:sz w:val="20"/>
        </w:rPr>
      </w:pPr>
      <w:r>
        <w:rPr>
          <w:rFonts w:ascii="Times New Roman;Times;serif" w:hAnsi="Times New Roman;Times;serif"/>
          <w:sz w:val="20"/>
        </w:rPr>
        <w:t>*        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Times New Roman;Times;serif" w:hAnsi="Times New Roman;Times;serif"/>
          <w:b/>
          <w:sz w:val="20"/>
        </w:rPr>
      </w:pPr>
      <w:bookmarkStart w:id="1429" w:name="fix-20260630xex32d2.htm"/>
      <w:bookmarkStart w:id="1430" w:name="ksfix20260630xex32d2"/>
      <w:bookmarkEnd w:id="1429"/>
      <w:bookmarkEnd w:id="1430"/>
      <w:r>
        <w:rPr>
          <w:rFonts w:ascii="Times New Roman;Times;serif" w:hAnsi="Times New Roman;Times;serif"/>
          <w:b/>
          <w:sz w:val="20"/>
        </w:rPr>
        <w:t>Exhibit 32.2</w:t>
      </w:r>
      <w:r>
        <w:br w:type="page"/>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of Comfort Systems USA, Inc. (the “Company”) on Form 10-Q for the quarter ended June 30, 2026, as filed with the Securities and Exchange Commission on the date hereof (the “Report”), I, William George, Executive Vice President and Chief Financial Officer of the Company, certify, pursuant to 18 U.S.C. §1350, as adopted pursuant to Section 906 of the Sarbanes-Oxley Act of 2002, that:</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as applicable, of the Securities Exchange Act of 1934; and</w:t>
      </w:r>
    </w:p>
    <w:p>
      <w:pPr>
        <w:pStyle w:val="TextBody"/>
        <w:pBdr/>
        <w:bidi w:val="0"/>
        <w:spacing w:lineRule="auto" w:line="285" w:before="0" w:after="240"/>
        <w:ind w:left="720" w:right="0" w:hanging="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 of operations of the Company.</w:t>
      </w:r>
    </w:p>
    <w:tbl>
      <w:tblPr>
        <w:tblW w:w="6212" w:type="dxa"/>
        <w:jc w:val="center"/>
        <w:tblInd w:w="0" w:type="dxa"/>
        <w:tblLayout w:type="fixed"/>
        <w:tblCellMar>
          <w:top w:w="0" w:type="dxa"/>
          <w:left w:w="0" w:type="dxa"/>
          <w:bottom w:w="0" w:type="dxa"/>
          <w:right w:w="0" w:type="dxa"/>
        </w:tblCellMar>
      </w:tblPr>
      <w:tblGrid>
        <w:gridCol w:w="1711"/>
        <w:gridCol w:w="4501"/>
      </w:tblGrid>
      <w:tr>
        <w:trPr/>
        <w:tc>
          <w:tcPr>
            <w:tcW w:w="1711" w:type="dxa"/>
            <w:tcBorders/>
            <w:vAlign w:val="center"/>
          </w:tcPr>
          <w:p>
            <w:pPr>
              <w:pStyle w:val="TableContents"/>
              <w:bidi w:val="0"/>
              <w:spacing w:lineRule="auto" w:line="285" w:before="0" w:after="0"/>
              <w:ind w:left="0" w:right="0" w:hanging="0"/>
              <w:jc w:val="left"/>
              <w:rPr/>
            </w:pPr>
            <w:r>
              <w:rPr/>
              <w:t>​</w:t>
            </w:r>
          </w:p>
        </w:tc>
        <w:tc>
          <w:tcPr>
            <w:tcW w:w="4501" w:type="dxa"/>
            <w:tcBorders/>
            <w:vAlign w:val="center"/>
          </w:tcPr>
          <w:p>
            <w:pPr>
              <w:pStyle w:val="TableContents"/>
              <w:bidi w:val="0"/>
              <w:spacing w:lineRule="auto" w:line="285" w:before="0" w:after="0"/>
              <w:ind w:left="0" w:right="0" w:hanging="0"/>
              <w:jc w:val="left"/>
              <w:rPr/>
            </w:pPr>
            <w:r>
              <w:rPr/>
              <w:t>​</w:t>
            </w:r>
          </w:p>
        </w:tc>
      </w:tr>
      <w:tr>
        <w:trPr/>
        <w:tc>
          <w:tcPr>
            <w:tcW w:w="17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July 23, 2026</w:t>
            </w:r>
          </w:p>
        </w:tc>
        <w:tc>
          <w:tcPr>
            <w:tcW w:w="4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smallCaps/>
                <w:sz w:val="20"/>
              </w:rPr>
              <w:t>William George</w:t>
            </w:r>
          </w:p>
        </w:tc>
      </w:tr>
      <w:tr>
        <w:trPr/>
        <w:tc>
          <w:tcPr>
            <w:tcW w:w="1711" w:type="dxa"/>
            <w:tcBorders/>
            <w:vAlign w:val="center"/>
          </w:tcPr>
          <w:p>
            <w:pPr>
              <w:pStyle w:val="TableContents"/>
              <w:bidi w:val="0"/>
              <w:spacing w:lineRule="auto" w:line="285" w:before="0" w:after="0"/>
              <w:ind w:left="0" w:right="0" w:hanging="0"/>
              <w:jc w:val="left"/>
              <w:rPr/>
            </w:pPr>
            <w:r>
              <w:rPr/>
              <w:t>​</w:t>
            </w:r>
          </w:p>
        </w:tc>
        <w:tc>
          <w:tcPr>
            <w:tcW w:w="450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George</w:t>
              <w:br/>
            </w:r>
            <w:r>
              <w:rPr>
                <w:rFonts w:ascii="Times New Roman;Times;serif" w:hAnsi="Times New Roman;Times;serif"/>
                <w:i/>
                <w:sz w:val="20"/>
              </w:rPr>
              <w:t>Executive Vice President and 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pBdr/>
        <w:bidi w:val="0"/>
        <w:spacing w:lineRule="auto" w:line="285" w:before="0" w:after="0"/>
        <w:ind w:left="0" w:right="0" w:hanging="706"/>
        <w:jc w:val="left"/>
        <w:rPr>
          <w:rFonts w:ascii="Times New Roman;Times;serif" w:hAnsi="Times New Roman;Times;serif"/>
          <w:sz w:val="20"/>
        </w:rPr>
      </w:pPr>
      <w:r>
        <w:rPr>
          <w:rFonts w:ascii="Times New Roman;Times;serif" w:hAnsi="Times New Roman;Times;serif"/>
          <w:sz w:val="20"/>
        </w:rPr>
        <w:t>*      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35983/0000890566-97-001319.txt" TargetMode="External"/><Relationship Id="rId3" Type="http://schemas.openxmlformats.org/officeDocument/2006/relationships/hyperlink" Target="http://www.sec.gov/Archives/edgar/data/1035983/0000890566-99-000401.txt" TargetMode="External"/><Relationship Id="rId4" Type="http://schemas.openxmlformats.org/officeDocument/2006/relationships/hyperlink" Target="http://www.sec.gov/Archives/edgar/data/1035983/000104746904005828/a2129426zex-3_3.htm" TargetMode="External"/><Relationship Id="rId5" Type="http://schemas.openxmlformats.org/officeDocument/2006/relationships/hyperlink" Target="http://www.sec.gov/Archives/edgar/data/1035983/000110465916122345/a16-10750_2ex3d1.htm" TargetMode="External"/><Relationship Id="rId6" Type="http://schemas.openxmlformats.org/officeDocument/2006/relationships/hyperlink" Target="http://www.sec.gov/Archives/edgar/data/1035983/000110465916107645/a16-7178_1ex3d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21485</Words>
  <Characters>117949</Characters>
  <CharactersWithSpaces>141527</CharactersWithSpaces>
  <Paragraphs>6184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