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22026_040801.xml.htm"/>
      <w:bookmarkStart w:id="1" w:name="ksform40812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MYERS FRANKLIN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COMFORT SYSTEMS USA,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9753 KATY FREEWAY,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COMFORT SYSTEMS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48"/>
        <w:gridCol w:w="933"/>
        <w:gridCol w:w="803"/>
        <w:gridCol w:w="619"/>
        <w:gridCol w:w="336"/>
        <w:gridCol w:w="791"/>
        <w:gridCol w:w="400"/>
        <w:gridCol w:w="1282"/>
        <w:gridCol w:w="1087"/>
        <w:gridCol w:w="947"/>
        <w:gridCol w:w="125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1,690.4707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58,615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1,693.9227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Partnership Interest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average price of shares sold; full information regarding the number of shares sold and specific prices will be made available upon request to the Company's Office of the General Counsel.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held indirectly were transferred from direct to indirect beneficial ownership in a transaction exempt from Section 16 pursuant to Rule 16a-13.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R. Eslicker,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002" TargetMode="External"/><Relationship Id="rId5" Type="http://schemas.openxmlformats.org/officeDocument/2006/relationships/hyperlink" Target="http://www.sec.gov/cgi-bin/browse-edgar?action=getcompany&amp;CIK=00010359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3466</Characters>
  <CharactersWithSpaces>4024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