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300" w:right="779" w:hanging="731"/>
        <w:spacing w:after="0" w:line="23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ind w:left="276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June 30, 2022</w:t>
      </w:r>
    </w:p>
    <w:p>
      <w:pPr>
        <w:spacing w:after="0" w:line="220" w:lineRule="exact"/>
        <w:rPr>
          <w:sz w:val="24"/>
          <w:szCs w:val="24"/>
          <w:color w:val="auto"/>
        </w:rPr>
      </w:pPr>
    </w:p>
    <w:p>
      <w:pPr>
        <w:ind w:left="1300" w:right="759" w:hanging="731"/>
        <w:spacing w:after="0" w:line="241"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ind w:left="2660"/>
        <w:spacing w:after="0"/>
        <w:tabs>
          <w:tab w:leader="none" w:pos="5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1-13011</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COMFORT SYSTEMS USA,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665" w:right="1440" w:bottom="1440" w:gutter="0" w:footer="0" w:header="0"/>
        </w:sectPr>
      </w:pPr>
    </w:p>
    <w:p>
      <w:pPr>
        <w:spacing w:after="0" w:line="9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19"/>
        <w:spacing w:after="0"/>
        <w:rPr>
          <w:sz w:val="20"/>
          <w:szCs w:val="20"/>
          <w:color w:val="auto"/>
        </w:rPr>
      </w:pPr>
      <w:r>
        <w:rPr>
          <w:rFonts w:ascii="Arial" w:cs="Arial" w:eastAsia="Arial" w:hAnsi="Arial"/>
          <w:sz w:val="18"/>
          <w:szCs w:val="18"/>
          <w:b w:val="1"/>
          <w:bCs w:val="1"/>
          <w:color w:val="auto"/>
        </w:rPr>
        <w:t>76-0526487</w:t>
      </w:r>
    </w:p>
    <w:p>
      <w:pPr>
        <w:spacing w:after="0" w:line="27" w:lineRule="exact"/>
        <w:rPr>
          <w:sz w:val="24"/>
          <w:szCs w:val="24"/>
          <w:color w:val="auto"/>
        </w:rPr>
      </w:pPr>
    </w:p>
    <w:p>
      <w:pPr>
        <w:jc w:val="center"/>
        <w:ind w:right="161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619"/>
        <w:spacing w:after="0"/>
        <w:rPr>
          <w:sz w:val="20"/>
          <w:szCs w:val="20"/>
          <w:color w:val="auto"/>
        </w:rPr>
      </w:pPr>
      <w:r>
        <w:rPr>
          <w:rFonts w:ascii="Arial" w:cs="Arial" w:eastAsia="Arial" w:hAnsi="Arial"/>
          <w:sz w:val="17"/>
          <w:szCs w:val="17"/>
          <w:color w:val="auto"/>
        </w:rPr>
        <w:t>Identification No.)</w:t>
      </w:r>
    </w:p>
    <w:p>
      <w:pPr>
        <w:spacing w:after="0" w:line="21" w:lineRule="exact"/>
        <w:rPr>
          <w:sz w:val="24"/>
          <w:szCs w:val="24"/>
          <w:color w:val="auto"/>
        </w:rPr>
      </w:pPr>
    </w:p>
    <w:p>
      <w:pPr>
        <w:sectPr>
          <w:pgSz w:w="11900" w:h="16838" w:orient="portrait"/>
          <w:cols w:equalWidth="0" w:num="2">
            <w:col w:w="5340" w:space="720"/>
            <w:col w:w="2959"/>
          </w:cols>
          <w:pgMar w:left="1440" w:top="665" w:right="1440"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675 Bering Drive</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Suite 400</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Houston, Texas 77057</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830-9600</w:t>
      </w:r>
    </w:p>
    <w:p>
      <w:pPr>
        <w:spacing w:after="0" w:line="121" w:lineRule="exact"/>
        <w:rPr>
          <w:sz w:val="24"/>
          <w:szCs w:val="24"/>
          <w:color w:val="auto"/>
        </w:rPr>
      </w:pPr>
    </w:p>
    <w:p>
      <w:pPr>
        <w:ind w:left="7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23"/>
        </w:trPr>
        <w:tc>
          <w:tcPr>
            <w:tcW w:w="2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FIX</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80" w:lineRule="exact"/>
        <w:rPr>
          <w:sz w:val="24"/>
          <w:szCs w:val="24"/>
          <w:color w:val="auto"/>
        </w:rPr>
      </w:pPr>
    </w:p>
    <w:p>
      <w:pPr>
        <w:ind w:left="60" w:right="59" w:firstLine="648"/>
        <w:spacing w:after="0" w:line="22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60" w:right="159" w:firstLine="648"/>
        <w:spacing w:after="0" w:line="22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75" w:lineRule="exact"/>
        <w:rPr>
          <w:sz w:val="24"/>
          <w:szCs w:val="24"/>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40" w:type="dxa"/>
        <w:tblCellMar>
          <w:top w:w="0" w:type="dxa"/>
          <w:left w:w="0" w:type="dxa"/>
          <w:bottom w:w="0" w:type="dxa"/>
          <w:right w:w="0" w:type="dxa"/>
        </w:tblCellMar>
      </w:tblPr>
      <w:tr>
        <w:trPr>
          <w:trHeight w:val="218"/>
        </w:trPr>
        <w:tc>
          <w:tcPr>
            <w:tcW w:w="5140" w:type="dxa"/>
            <w:vAlign w:val="bottom"/>
          </w:tcPr>
          <w:p>
            <w:pPr>
              <w:spacing w:after="0" w:line="218"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7"/>
                <w:szCs w:val="17"/>
                <w:color w:val="auto"/>
              </w:rPr>
              <w:t>⌧</w:t>
            </w:r>
            <w:r>
              <w:rPr>
                <w:rFonts w:ascii="Arial" w:cs="Arial" w:eastAsia="Arial" w:hAnsi="Arial"/>
                <w:sz w:val="16"/>
                <w:szCs w:val="16"/>
                <w:color w:val="auto"/>
              </w:rPr>
              <w:t xml:space="preserve"> Accelerated filer </w:t>
            </w:r>
            <w:r>
              <w:rPr>
                <w:rFonts w:ascii="Arial Unicode MS" w:cs="Arial Unicode MS" w:eastAsia="Arial Unicode MS" w:hAnsi="Arial Unicode MS"/>
                <w:sz w:val="17"/>
                <w:szCs w:val="17"/>
                <w:color w:val="auto"/>
              </w:rPr>
              <w:t>☐</w:t>
            </w:r>
            <w:r>
              <w:rPr>
                <w:rFonts w:ascii="Arial" w:cs="Arial" w:eastAsia="Arial" w:hAnsi="Arial"/>
                <w:sz w:val="16"/>
                <w:szCs w:val="16"/>
                <w:color w:val="auto"/>
              </w:rPr>
              <w:t xml:space="preserve"> Non-accelerated filer </w:t>
            </w:r>
            <w:r>
              <w:rPr>
                <w:rFonts w:ascii="Arial Unicode MS" w:cs="Arial Unicode MS" w:eastAsia="Arial Unicode MS" w:hAnsi="Arial Unicode MS"/>
                <w:sz w:val="17"/>
                <w:szCs w:val="17"/>
                <w:color w:val="auto"/>
              </w:rPr>
              <w:t>☐</w:t>
            </w: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3"/>
              </w:rPr>
              <w:t>Smaller reporting</w:t>
            </w:r>
          </w:p>
        </w:tc>
        <w:tc>
          <w:tcPr>
            <w:tcW w:w="1520" w:type="dxa"/>
            <w:vAlign w:val="bottom"/>
          </w:tcPr>
          <w:p>
            <w:pPr>
              <w:jc w:val="center"/>
              <w:ind w:left="299"/>
              <w:spacing w:after="0"/>
              <w:rPr>
                <w:sz w:val="20"/>
                <w:szCs w:val="20"/>
                <w:color w:val="auto"/>
              </w:rPr>
            </w:pPr>
            <w:r>
              <w:rPr>
                <w:rFonts w:ascii="Arial" w:cs="Arial" w:eastAsia="Arial" w:hAnsi="Arial"/>
                <w:sz w:val="16"/>
                <w:szCs w:val="16"/>
                <w:color w:val="auto"/>
                <w:w w:val="94"/>
              </w:rPr>
              <w:t>Emerging growth</w:t>
            </w:r>
          </w:p>
        </w:tc>
      </w:tr>
      <w:tr>
        <w:trPr>
          <w:trHeight w:val="254"/>
        </w:trPr>
        <w:tc>
          <w:tcPr>
            <w:tcW w:w="5140" w:type="dxa"/>
            <w:vAlign w:val="bottom"/>
          </w:tcPr>
          <w:p>
            <w:pPr>
              <w:spacing w:after="0"/>
              <w:rPr>
                <w:sz w:val="22"/>
                <w:szCs w:val="22"/>
                <w:color w:val="auto"/>
              </w:rPr>
            </w:pPr>
          </w:p>
        </w:tc>
        <w:tc>
          <w:tcPr>
            <w:tcW w:w="1760" w:type="dxa"/>
            <w:vAlign w:val="bottom"/>
          </w:tcPr>
          <w:p>
            <w:pPr>
              <w:jc w:val="center"/>
              <w:ind w:right="59"/>
              <w:spacing w:after="0" w:line="184" w:lineRule="exact"/>
              <w:rPr>
                <w:sz w:val="20"/>
                <w:szCs w:val="20"/>
                <w:color w:val="auto"/>
              </w:rPr>
            </w:pPr>
            <w:r>
              <w:rPr>
                <w:rFonts w:ascii="Arial" w:cs="Arial" w:eastAsia="Arial" w:hAnsi="Arial"/>
                <w:sz w:val="16"/>
                <w:szCs w:val="16"/>
                <w:color w:val="auto"/>
                <w:w w:val="91"/>
              </w:rPr>
              <w:t xml:space="preserve">company </w:t>
            </w:r>
            <w:r>
              <w:rPr>
                <w:rFonts w:ascii="MS PGothic" w:cs="MS PGothic" w:eastAsia="MS PGothic" w:hAnsi="MS PGothic"/>
                <w:sz w:val="16"/>
                <w:szCs w:val="16"/>
                <w:color w:val="auto"/>
                <w:w w:val="91"/>
              </w:rPr>
              <w:t>☐</w:t>
            </w:r>
          </w:p>
        </w:tc>
        <w:tc>
          <w:tcPr>
            <w:tcW w:w="1520" w:type="dxa"/>
            <w:vAlign w:val="bottom"/>
          </w:tcPr>
          <w:p>
            <w:pPr>
              <w:jc w:val="center"/>
              <w:ind w:left="299"/>
              <w:spacing w:after="0" w:line="184" w:lineRule="exact"/>
              <w:rPr>
                <w:sz w:val="20"/>
                <w:szCs w:val="20"/>
                <w:color w:val="auto"/>
              </w:rPr>
            </w:pPr>
            <w:r>
              <w:rPr>
                <w:rFonts w:ascii="Arial" w:cs="Arial" w:eastAsia="Arial" w:hAnsi="Arial"/>
                <w:sz w:val="16"/>
                <w:szCs w:val="16"/>
                <w:color w:val="auto"/>
                <w:w w:val="91"/>
              </w:rPr>
              <w:t xml:space="preserve">company </w:t>
            </w:r>
            <w:r>
              <w:rPr>
                <w:rFonts w:ascii="MS PGothic" w:cs="MS PGothic" w:eastAsia="MS PGothic" w:hAnsi="MS PGothic"/>
                <w:sz w:val="16"/>
                <w:szCs w:val="16"/>
                <w:color w:val="auto"/>
                <w:w w:val="91"/>
              </w:rPr>
              <w:t>☐</w:t>
            </w:r>
          </w:p>
        </w:tc>
      </w:tr>
    </w:tbl>
    <w:p>
      <w:pPr>
        <w:spacing w:after="0" w:line="68" w:lineRule="exact"/>
        <w:rPr>
          <w:sz w:val="24"/>
          <w:szCs w:val="24"/>
          <w:color w:val="auto"/>
        </w:rPr>
      </w:pPr>
    </w:p>
    <w:p>
      <w:pPr>
        <w:ind w:left="60" w:right="1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4" w:lineRule="exact"/>
        <w:rPr>
          <w:sz w:val="24"/>
          <w:szCs w:val="24"/>
          <w:color w:val="auto"/>
        </w:rPr>
      </w:pPr>
    </w:p>
    <w:p>
      <w:pPr>
        <w:ind w:left="70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left="60"/>
        <w:spacing w:after="0" w:line="242" w:lineRule="exact"/>
        <w:rPr>
          <w:sz w:val="20"/>
          <w:szCs w:val="20"/>
          <w:color w:val="auto"/>
        </w:rPr>
      </w:pP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number of shares outstanding of the issuer’s common stock as of July 22, 2022 was 35,776,204 (excluding treasury shares of 5,347,161).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443230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COMFORT SYSTEMS USA,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2022</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160" w:type="dxa"/>
            <w:vAlign w:val="bottom"/>
            <w:gridSpan w:val="7"/>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Part I—Financial Information</w:t>
              </w:r>
            </w:hyperlink>
          </w:p>
        </w:tc>
        <w:tc>
          <w:tcPr>
            <w:tcW w:w="6280" w:type="dxa"/>
            <w:vAlign w:val="bottom"/>
            <w:gridSpan w:val="11"/>
            <w:vMerge w:val="restart"/>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2160" w:type="dxa"/>
            <w:vAlign w:val="bottom"/>
            <w:tcBorders>
              <w:bottom w:val="single" w:sz="8" w:color="0000EE"/>
            </w:tcBorders>
            <w:gridSpan w:val="7"/>
            <w:vMerge w:val="continue"/>
          </w:tcPr>
          <w:p>
            <w:pPr>
              <w:spacing w:after="0"/>
              <w:rPr>
                <w:sz w:val="14"/>
                <w:szCs w:val="14"/>
                <w:color w:val="auto"/>
              </w:rPr>
            </w:pPr>
          </w:p>
        </w:tc>
        <w:tc>
          <w:tcPr>
            <w:tcW w:w="6280" w:type="dxa"/>
            <w:vAlign w:val="bottom"/>
            <w:gridSpan w:val="11"/>
            <w:vMerge w:val="continue"/>
          </w:tcPr>
          <w:p>
            <w:pPr>
              <w:spacing w:after="0"/>
              <w:rPr>
                <w:sz w:val="14"/>
                <w:szCs w:val="14"/>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1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1—Financial Statements</w:t>
              </w:r>
            </w:hyperlink>
          </w:p>
        </w:tc>
        <w:tc>
          <w:tcPr>
            <w:tcW w:w="6100" w:type="dxa"/>
            <w:vAlign w:val="bottom"/>
            <w:gridSpan w:val="10"/>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5980" w:type="dxa"/>
            <w:vAlign w:val="bottom"/>
            <w:gridSpan w:val="9"/>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Stockholders’ Equity</w:t>
              </w:r>
            </w:hyperlink>
          </w:p>
        </w:tc>
        <w:tc>
          <w:tcPr>
            <w:tcW w:w="452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w:t>
              </w:r>
            </w:hyperlink>
          </w:p>
        </w:tc>
        <w:tc>
          <w:tcPr>
            <w:tcW w:w="520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Notes to Consolidated Financial Statements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1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2—Management’s Discussion and Analysis of Financial Condition and Results of Operations</w:t>
              </w:r>
            </w:hyperlink>
          </w:p>
        </w:tc>
        <w:tc>
          <w:tcPr>
            <w:tcW w:w="11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6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3—Quantitative and Qualitative Disclosures about Market Risk</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9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4—Controls and Procedures</w:t>
              </w:r>
            </w:hyperlink>
          </w:p>
        </w:tc>
        <w:tc>
          <w:tcPr>
            <w:tcW w:w="33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Part II—Other Information</w:t>
              </w:r>
            </w:hyperlink>
          </w:p>
        </w:tc>
        <w:tc>
          <w:tcPr>
            <w:tcW w:w="648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6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1A—Risk Factors</w:t>
              </w:r>
            </w:hyperlink>
          </w:p>
        </w:tc>
        <w:tc>
          <w:tcPr>
            <w:tcW w:w="628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26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6—Exhibits</w:t>
              </w:r>
            </w:hyperlink>
          </w:p>
        </w:tc>
        <w:tc>
          <w:tcPr>
            <w:tcW w:w="3740" w:type="dxa"/>
            <w:vAlign w:val="bottom"/>
            <w:tcBorders>
              <w:top w:val="single" w:sz="8" w:color="0000EE"/>
            </w:tcBorders>
            <w:gridSpan w:val="12"/>
          </w:tcPr>
          <w:p>
            <w:pPr>
              <w:spacing w:after="0"/>
              <w:rPr>
                <w:sz w:val="17"/>
                <w:szCs w:val="17"/>
                <w:color w:val="auto"/>
              </w:rPr>
            </w:pPr>
          </w:p>
        </w:tc>
        <w:tc>
          <w:tcPr>
            <w:tcW w:w="32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6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4"/>
        </w:trPr>
        <w:tc>
          <w:tcPr>
            <w:tcW w:w="18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COMFORT SYSTEMS USA, INC.</w:t>
      </w: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 Thousands, Except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69,129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w w:val="92"/>
              </w:rPr>
              <w:t>Billed accounts receivable, less allowance for credit losses of $9,996 and $8,808,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942,208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773,716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Unbilled accounts receivable, less allowance for credit losses of $751 and $715, respectively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rPr>
              <w:t>Other receivables, less allowance for credit losses of $498 and $503,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71,408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rPr>
              <w:t>Prepaid expenses and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28,836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00"/>
              <w:spacing w:after="0" w:line="185" w:lineRule="exact"/>
              <w:rPr>
                <w:sz w:val="20"/>
                <w:szCs w:val="20"/>
                <w:color w:val="auto"/>
              </w:rPr>
            </w:pPr>
            <w:r>
              <w:rPr>
                <w:rFonts w:ascii="Arial" w:cs="Arial" w:eastAsia="Arial" w:hAnsi="Arial"/>
                <w:sz w:val="17"/>
                <w:szCs w:val="17"/>
                <w:color w:val="auto"/>
                <w:w w:val="92"/>
              </w:rPr>
              <w:t>Costs and estimated earnings in excess of billings, less allowance for credit losses of $53 and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$84, respectively</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1,238,223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1,027,321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7"/>
                <w:szCs w:val="17"/>
                <w:color w:val="auto"/>
              </w:rPr>
              <w:t>LEASE RIGHT-OF-USE ASSET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132,681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124,756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7"/>
                <w:szCs w:val="17"/>
                <w:color w:val="auto"/>
              </w:rPr>
              <w:t>IDENTIFIABLE 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296,538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304,781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11,940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2,439,622</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2,209,114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1480"/>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rPr>
              <w:t>Current maturities of long-term debt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2,448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rPr>
              <w:t>Accrued compensation and benefits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137,913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129,971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Billings in excess of costs and estimated earnings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386,258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rPr>
              <w:t>Accrued self-insurance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20,967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current liabilities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968,180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836,554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403,192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7"/>
                <w:szCs w:val="17"/>
                <w:color w:val="auto"/>
              </w:rPr>
              <w:t>LEASE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113,650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LONG-TERM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56,010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72,206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1,542,777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1,403,448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rPr>
              <w:t>Preferred stock, $.01 par, 5,000,000 shares authorized, none issued and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00"/>
              <w:spacing w:after="0" w:line="185" w:lineRule="exact"/>
              <w:rPr>
                <w:sz w:val="20"/>
                <w:szCs w:val="20"/>
                <w:color w:val="auto"/>
              </w:rPr>
            </w:pPr>
            <w:r>
              <w:rPr>
                <w:rFonts w:ascii="Arial" w:cs="Arial" w:eastAsia="Arial" w:hAnsi="Arial"/>
                <w:sz w:val="17"/>
                <w:szCs w:val="17"/>
                <w:color w:val="auto"/>
                <w:w w:val="92"/>
              </w:rPr>
              <w:t>Common stock, $.01 par, 102,969,912 shares authorized, 41,123,365 and 41,123,365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issued, respectively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7"/>
                <w:szCs w:val="17"/>
                <w:color w:val="auto"/>
              </w:rPr>
              <w:t>Treasury stock, at cost, 5,342,665 and 5,032,311 shares,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(183,024)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331,375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748,083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628,774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896,845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805,666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2,439,622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2,209,114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20"/>
          </w:cols>
          <w:pgMar w:left="1440" w:top="517" w:right="143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COMFORT SYSTEMS USA,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1,017,948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713,895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1,903,164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1,383,656</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842,956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587,440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1,575,028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1,133,732</w:t>
            </w:r>
          </w:p>
        </w:tc>
        <w:tc>
          <w:tcPr>
            <w:tcW w:w="60" w:type="dxa"/>
            <w:vAlign w:val="bottom"/>
            <w:tcBorders>
              <w:bottom w:val="single" w:sz="8" w:color="CCEEFF"/>
            </w:tcBorders>
          </w:tcPr>
          <w:p>
            <w:pPr>
              <w:spacing w:after="0"/>
              <w:rPr>
                <w:sz w:val="18"/>
                <w:szCs w:val="18"/>
                <w:color w:val="auto"/>
              </w:rPr>
            </w:pPr>
          </w:p>
        </w:tc>
      </w:tr>
      <w:tr>
        <w:trPr>
          <w:trHeight w:val="21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249,924</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175,763</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r>
      <w:tr>
        <w:trPr>
          <w:trHeight w:val="209"/>
        </w:trPr>
        <w:tc>
          <w:tcPr>
            <w:tcW w:w="472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75,002</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w:t>
            </w: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w w:val="95"/>
              </w:rPr>
              <w:t>Changes in the fair value of contingent earn-out obligations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5,767</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r>
      <w:tr>
        <w:trPr>
          <w:trHeight w:val="210"/>
        </w:trPr>
        <w:tc>
          <w:tcPr>
            <w:tcW w:w="47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60" w:type="dxa"/>
            <w:vAlign w:val="bottom"/>
            <w:tcBorders>
              <w:bottom w:val="single" w:sz="8" w:color="CCEEFF"/>
            </w:tcBorders>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(37,784)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18,554</w:t>
            </w:r>
          </w:p>
        </w:tc>
        <w:tc>
          <w:tcPr>
            <w:tcW w:w="60" w:type="dxa"/>
            <w:vAlign w:val="bottom"/>
          </w:tcPr>
          <w:p>
            <w:pPr>
              <w:spacing w:after="0"/>
              <w:rPr>
                <w:sz w:val="18"/>
                <w:szCs w:val="18"/>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472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22"/>
                <w:szCs w:val="22"/>
                <w:color w:val="auto"/>
              </w:rPr>
            </w:pPr>
          </w:p>
        </w:tc>
      </w:tr>
      <w:tr>
        <w:trPr>
          <w:trHeight w:val="197"/>
        </w:trPr>
        <w:tc>
          <w:tcPr>
            <w:tcW w:w="472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INCOME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35,970</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36,403</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36,022</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36,345</w:t>
            </w:r>
          </w:p>
        </w:tc>
        <w:tc>
          <w:tcPr>
            <w:tcW w:w="60" w:type="dxa"/>
            <w:vAlign w:val="bottom"/>
            <w:tcBorders>
              <w:bottom w:val="single" w:sz="8" w:color="CCEEFF"/>
            </w:tcBorders>
          </w:tcPr>
          <w:p>
            <w:pPr>
              <w:spacing w:after="0"/>
              <w:rPr>
                <w:sz w:val="22"/>
                <w:szCs w:val="22"/>
                <w:color w:val="auto"/>
              </w:rPr>
            </w:pPr>
          </w:p>
        </w:tc>
      </w:tr>
      <w:tr>
        <w:trPr>
          <w:trHeight w:val="197"/>
        </w:trPr>
        <w:tc>
          <w:tcPr>
            <w:tcW w:w="47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36,073</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36,566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36,130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36,533</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COMFORT SYSTEMS USA, INC.</w:t>
      </w:r>
    </w:p>
    <w:p>
      <w:pPr>
        <w:spacing w:after="0" w:line="18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gridSpan w:val="6"/>
          </w:tcPr>
          <w:p>
            <w:pPr>
              <w:jc w:val="center"/>
              <w:ind w:right="480"/>
              <w:spacing w:after="0"/>
              <w:rPr>
                <w:sz w:val="20"/>
                <w:szCs w:val="20"/>
                <w:color w:val="auto"/>
              </w:rPr>
            </w:pPr>
            <w:r>
              <w:rPr>
                <w:rFonts w:ascii="Arial" w:cs="Arial" w:eastAsia="Arial" w:hAnsi="Arial"/>
                <w:sz w:val="13"/>
                <w:szCs w:val="13"/>
                <w:b w:val="1"/>
                <w:bCs w:val="1"/>
                <w:color w:val="auto"/>
                <w:w w:val="86"/>
              </w:rPr>
              <w:t>Six Months Ended</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39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3"/>
                <w:szCs w:val="13"/>
                <w:b w:val="1"/>
                <w:bCs w:val="1"/>
                <w:color w:val="auto"/>
                <w:w w:val="87"/>
              </w:rPr>
              <w:t>June 30, 2021</w:t>
            </w: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3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77"/>
              <w:spacing w:after="0" w:line="110" w:lineRule="exact"/>
              <w:rPr>
                <w:sz w:val="20"/>
                <w:szCs w:val="20"/>
                <w:color w:val="auto"/>
              </w:rPr>
            </w:pPr>
            <w:r>
              <w:rPr>
                <w:rFonts w:ascii="Arial" w:cs="Arial" w:eastAsia="Arial" w:hAnsi="Arial"/>
                <w:sz w:val="12"/>
                <w:szCs w:val="12"/>
                <w:b w:val="1"/>
                <w:bCs w:val="1"/>
                <w:color w:val="auto"/>
                <w:w w:val="97"/>
              </w:rPr>
              <w:t>Total</w:t>
            </w:r>
          </w:p>
        </w:tc>
        <w:tc>
          <w:tcPr>
            <w:tcW w:w="40" w:type="dxa"/>
            <w:vAlign w:val="bottom"/>
          </w:tcPr>
          <w:p>
            <w:pPr>
              <w:spacing w:after="0"/>
              <w:rPr>
                <w:sz w:val="9"/>
                <w:szCs w:val="9"/>
                <w:color w:val="auto"/>
              </w:rPr>
            </w:pPr>
          </w:p>
        </w:tc>
      </w:tr>
      <w:tr>
        <w:trPr>
          <w:trHeight w:val="153"/>
        </w:trPr>
        <w:tc>
          <w:tcPr>
            <w:tcW w:w="3900" w:type="dxa"/>
            <w:vAlign w:val="bottom"/>
          </w:tcPr>
          <w:p>
            <w:pPr>
              <w:spacing w:after="0"/>
              <w:rPr>
                <w:sz w:val="13"/>
                <w:szCs w:val="13"/>
                <w:color w:val="auto"/>
              </w:rPr>
            </w:pPr>
          </w:p>
        </w:tc>
        <w:tc>
          <w:tcPr>
            <w:tcW w:w="1360" w:type="dxa"/>
            <w:vAlign w:val="bottom"/>
            <w:gridSpan w:val="5"/>
          </w:tcPr>
          <w:p>
            <w:pPr>
              <w:ind w:left="200"/>
              <w:spacing w:after="0"/>
              <w:rPr>
                <w:sz w:val="20"/>
                <w:szCs w:val="20"/>
                <w:color w:val="auto"/>
              </w:rPr>
            </w:pPr>
            <w:r>
              <w:rPr>
                <w:rFonts w:ascii="Arial" w:cs="Arial" w:eastAsia="Arial" w:hAnsi="Arial"/>
                <w:sz w:val="13"/>
                <w:szCs w:val="13"/>
                <w:b w:val="1"/>
                <w:bCs w:val="1"/>
                <w:color w:val="auto"/>
              </w:rPr>
              <w:t>Common Stock</w:t>
            </w:r>
          </w:p>
        </w:tc>
        <w:tc>
          <w:tcPr>
            <w:tcW w:w="1420" w:type="dxa"/>
            <w:vAlign w:val="bottom"/>
            <w:gridSpan w:val="4"/>
          </w:tcPr>
          <w:p>
            <w:pPr>
              <w:ind w:left="26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Retained</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88"/>
              </w:rPr>
              <w:t>Stockholders’</w:t>
            </w:r>
          </w:p>
        </w:tc>
      </w:tr>
      <w:tr>
        <w:trPr>
          <w:trHeight w:val="128"/>
        </w:trPr>
        <w:tc>
          <w:tcPr>
            <w:tcW w:w="390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2020</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(4,935,186)</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(129,243)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$ 322,451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$ 502,810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696,429</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26,491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26,491</w:t>
            </w: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900" w:type="dxa"/>
            <w:vAlign w:val="bottom"/>
          </w:tcPr>
          <w:p>
            <w:pPr>
              <w:ind w:left="340"/>
              <w:spacing w:after="0" w:line="135" w:lineRule="exact"/>
              <w:rPr>
                <w:sz w:val="20"/>
                <w:szCs w:val="20"/>
                <w:color w:val="auto"/>
              </w:rPr>
            </w:pPr>
            <w:r>
              <w:rPr>
                <w:rFonts w:ascii="Arial" w:cs="Arial" w:eastAsia="Arial" w:hAnsi="Arial"/>
                <w:sz w:val="13"/>
                <w:szCs w:val="13"/>
                <w:color w:val="auto"/>
              </w:rPr>
              <w:t>Issuance of shares for options exercised</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61,454</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1,616</w:t>
            </w:r>
          </w:p>
        </w:tc>
        <w:tc>
          <w:tcPr>
            <w:tcW w:w="6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(211)</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1,405</w:t>
            </w: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Issuance of restricted stock &amp; performance stock</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29,544</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777</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1,431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2,208</w:t>
            </w:r>
          </w:p>
        </w:tc>
        <w:tc>
          <w:tcPr>
            <w:tcW w:w="40" w:type="dxa"/>
            <w:vAlign w:val="bottom"/>
            <w:shd w:val="clear" w:color="auto" w:fill="CCEEFF"/>
          </w:tcPr>
          <w:p>
            <w:pPr>
              <w:spacing w:after="0"/>
              <w:rPr>
                <w:sz w:val="11"/>
                <w:szCs w:val="11"/>
                <w:color w:val="auto"/>
              </w:rPr>
            </w:pPr>
          </w:p>
        </w:tc>
      </w:tr>
      <w:tr>
        <w:trPr>
          <w:trHeight w:val="121"/>
        </w:trPr>
        <w:tc>
          <w:tcPr>
            <w:tcW w:w="3900" w:type="dxa"/>
            <w:vAlign w:val="bottom"/>
          </w:tcPr>
          <w:p>
            <w:pPr>
              <w:ind w:left="220"/>
              <w:spacing w:after="0" w:line="121" w:lineRule="exact"/>
              <w:rPr>
                <w:sz w:val="20"/>
                <w:szCs w:val="20"/>
                <w:color w:val="auto"/>
              </w:rPr>
            </w:pPr>
            <w:r>
              <w:rPr>
                <w:rFonts w:ascii="Arial" w:cs="Arial" w:eastAsia="Arial" w:hAnsi="Arial"/>
                <w:sz w:val="13"/>
                <w:szCs w:val="13"/>
                <w:color w:val="auto"/>
              </w:rPr>
              <w:t>Shares received in lieu of tax withholding payment on vested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900" w:type="dxa"/>
            <w:vAlign w:val="bottom"/>
          </w:tcPr>
          <w:p>
            <w:pPr>
              <w:ind w:left="220"/>
              <w:spacing w:after="0"/>
              <w:rPr>
                <w:sz w:val="20"/>
                <w:szCs w:val="20"/>
                <w:color w:val="auto"/>
              </w:rPr>
            </w:pPr>
            <w:r>
              <w:rPr>
                <w:rFonts w:ascii="Arial" w:cs="Arial" w:eastAsia="Arial" w:hAnsi="Arial"/>
                <w:sz w:val="13"/>
                <w:szCs w:val="13"/>
                <w:color w:val="auto"/>
              </w:rPr>
              <w:t>restricted stock</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(11,424)</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(854)</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(854)</w:t>
            </w: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2,472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2,472</w:t>
            </w:r>
          </w:p>
        </w:tc>
        <w:tc>
          <w:tcPr>
            <w:tcW w:w="40" w:type="dxa"/>
            <w:vAlign w:val="bottom"/>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Dividends ($0.115 per share)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(4,163)</w:t>
            </w: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(4,163)</w:t>
            </w: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Share repurchase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(13,250)</w:t>
            </w: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(885)</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(885)</w:t>
            </w:r>
          </w:p>
        </w:tc>
      </w:tr>
      <w:tr>
        <w:trPr>
          <w:trHeight w:val="128"/>
        </w:trPr>
        <w:tc>
          <w:tcPr>
            <w:tcW w:w="3900" w:type="dxa"/>
            <w:vAlign w:val="bottom"/>
          </w:tcPr>
          <w:p>
            <w:pPr>
              <w:spacing w:after="0" w:line="129" w:lineRule="exact"/>
              <w:rPr>
                <w:sz w:val="20"/>
                <w:szCs w:val="20"/>
                <w:color w:val="auto"/>
              </w:rPr>
            </w:pPr>
            <w:r>
              <w:rPr>
                <w:rFonts w:ascii="Arial" w:cs="Arial" w:eastAsia="Arial" w:hAnsi="Arial"/>
                <w:sz w:val="13"/>
                <w:szCs w:val="13"/>
                <w:color w:val="auto"/>
              </w:rPr>
              <w:t>BALANCE AT MARCH 31, 2021</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(4,868,862)</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(128,589)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326,143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525,138</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723,103</w:t>
            </w: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32,965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32,965</w:t>
            </w:r>
          </w:p>
        </w:tc>
        <w:tc>
          <w:tcPr>
            <w:tcW w:w="40" w:type="dxa"/>
            <w:vAlign w:val="bottom"/>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Issuance of shares for options exercised</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69,342</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1,853</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2,044</w:t>
            </w:r>
          </w:p>
        </w:tc>
        <w:tc>
          <w:tcPr>
            <w:tcW w:w="40" w:type="dxa"/>
            <w:vAlign w:val="bottom"/>
            <w:shd w:val="clear" w:color="auto" w:fill="CCEEFF"/>
          </w:tcPr>
          <w:p>
            <w:pPr>
              <w:spacing w:after="0"/>
              <w:rPr>
                <w:sz w:val="11"/>
                <w:szCs w:val="11"/>
                <w:color w:val="auto"/>
              </w:rPr>
            </w:pPr>
          </w:p>
        </w:tc>
      </w:tr>
      <w:tr>
        <w:trPr>
          <w:trHeight w:val="135"/>
        </w:trPr>
        <w:tc>
          <w:tcPr>
            <w:tcW w:w="3900" w:type="dxa"/>
            <w:vAlign w:val="bottom"/>
          </w:tcPr>
          <w:p>
            <w:pPr>
              <w:ind w:left="340"/>
              <w:spacing w:after="0" w:line="135" w:lineRule="exact"/>
              <w:rPr>
                <w:sz w:val="20"/>
                <w:szCs w:val="20"/>
                <w:color w:val="auto"/>
              </w:rPr>
            </w:pPr>
            <w:r>
              <w:rPr>
                <w:rFonts w:ascii="Arial" w:cs="Arial" w:eastAsia="Arial" w:hAnsi="Arial"/>
                <w:sz w:val="13"/>
                <w:szCs w:val="13"/>
                <w:color w:val="auto"/>
              </w:rPr>
              <w:t>Issuance of restricted stock &amp; performance stock</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71,816</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1,904</w:t>
            </w:r>
          </w:p>
        </w:tc>
        <w:tc>
          <w:tcPr>
            <w:tcW w:w="6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(1,904)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21"/>
        </w:trPr>
        <w:tc>
          <w:tcPr>
            <w:tcW w:w="390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Shares received in lieu of tax withholding payment on vested</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stock</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(19,989)</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(1,509)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(1,509)</w:t>
            </w: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1,749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1,749</w:t>
            </w: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Dividends ($0.115 per share)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(4,178)</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(4,178)</w:t>
            </w: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Share repurchase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(27,092)</w:t>
            </w: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(2,162)</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(2,162)</w:t>
            </w:r>
          </w:p>
        </w:tc>
      </w:tr>
      <w:tr>
        <w:trPr>
          <w:trHeight w:val="128"/>
        </w:trPr>
        <w:tc>
          <w:tcPr>
            <w:tcW w:w="39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JUNE 30, 2021</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(4,774,785)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(128,503)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$ 326,179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$ 553,925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752,012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7"/>
        </w:trPr>
        <w:tc>
          <w:tcPr>
            <w:tcW w:w="3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6"/>
          </w:tcPr>
          <w:p>
            <w:pPr>
              <w:jc w:val="center"/>
              <w:ind w:right="480"/>
              <w:spacing w:after="0"/>
              <w:rPr>
                <w:sz w:val="20"/>
                <w:szCs w:val="20"/>
                <w:color w:val="auto"/>
              </w:rPr>
            </w:pPr>
            <w:r>
              <w:rPr>
                <w:rFonts w:ascii="Arial" w:cs="Arial" w:eastAsia="Arial" w:hAnsi="Arial"/>
                <w:sz w:val="13"/>
                <w:szCs w:val="13"/>
                <w:b w:val="1"/>
                <w:bCs w:val="1"/>
                <w:color w:val="auto"/>
                <w:w w:val="86"/>
              </w:rPr>
              <w:t>Six Months Ended</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3"/>
        </w:trPr>
        <w:tc>
          <w:tcPr>
            <w:tcW w:w="39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3"/>
                <w:szCs w:val="13"/>
                <w:b w:val="1"/>
                <w:bCs w:val="1"/>
                <w:color w:val="auto"/>
                <w:w w:val="87"/>
              </w:rPr>
              <w:t>June 30, 2022</w:t>
            </w: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3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77"/>
              <w:spacing w:after="0" w:line="110" w:lineRule="exact"/>
              <w:rPr>
                <w:sz w:val="20"/>
                <w:szCs w:val="20"/>
                <w:color w:val="auto"/>
              </w:rPr>
            </w:pPr>
            <w:r>
              <w:rPr>
                <w:rFonts w:ascii="Arial" w:cs="Arial" w:eastAsia="Arial" w:hAnsi="Arial"/>
                <w:sz w:val="12"/>
                <w:szCs w:val="12"/>
                <w:b w:val="1"/>
                <w:bCs w:val="1"/>
                <w:color w:val="auto"/>
                <w:w w:val="97"/>
              </w:rPr>
              <w:t>Total</w:t>
            </w:r>
          </w:p>
        </w:tc>
        <w:tc>
          <w:tcPr>
            <w:tcW w:w="40" w:type="dxa"/>
            <w:vAlign w:val="bottom"/>
          </w:tcPr>
          <w:p>
            <w:pPr>
              <w:spacing w:after="0"/>
              <w:rPr>
                <w:sz w:val="9"/>
                <w:szCs w:val="9"/>
                <w:color w:val="auto"/>
              </w:rPr>
            </w:pPr>
          </w:p>
        </w:tc>
      </w:tr>
      <w:tr>
        <w:trPr>
          <w:trHeight w:val="153"/>
        </w:trPr>
        <w:tc>
          <w:tcPr>
            <w:tcW w:w="3900" w:type="dxa"/>
            <w:vAlign w:val="bottom"/>
          </w:tcPr>
          <w:p>
            <w:pPr>
              <w:spacing w:after="0"/>
              <w:rPr>
                <w:sz w:val="13"/>
                <w:szCs w:val="13"/>
                <w:color w:val="auto"/>
              </w:rPr>
            </w:pPr>
          </w:p>
        </w:tc>
        <w:tc>
          <w:tcPr>
            <w:tcW w:w="1360" w:type="dxa"/>
            <w:vAlign w:val="bottom"/>
            <w:gridSpan w:val="5"/>
          </w:tcPr>
          <w:p>
            <w:pPr>
              <w:ind w:left="200"/>
              <w:spacing w:after="0"/>
              <w:rPr>
                <w:sz w:val="20"/>
                <w:szCs w:val="20"/>
                <w:color w:val="auto"/>
              </w:rPr>
            </w:pPr>
            <w:r>
              <w:rPr>
                <w:rFonts w:ascii="Arial" w:cs="Arial" w:eastAsia="Arial" w:hAnsi="Arial"/>
                <w:sz w:val="13"/>
                <w:szCs w:val="13"/>
                <w:b w:val="1"/>
                <w:bCs w:val="1"/>
                <w:color w:val="auto"/>
              </w:rPr>
              <w:t>Common Stock</w:t>
            </w:r>
          </w:p>
        </w:tc>
        <w:tc>
          <w:tcPr>
            <w:tcW w:w="1420" w:type="dxa"/>
            <w:vAlign w:val="bottom"/>
            <w:gridSpan w:val="4"/>
          </w:tcPr>
          <w:p>
            <w:pPr>
              <w:ind w:left="26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Retained</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88"/>
              </w:rPr>
              <w:t>Stockholders’</w:t>
            </w:r>
          </w:p>
        </w:tc>
      </w:tr>
      <w:tr>
        <w:trPr>
          <w:trHeight w:val="128"/>
        </w:trPr>
        <w:tc>
          <w:tcPr>
            <w:tcW w:w="390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9"/>
        </w:trPr>
        <w:tc>
          <w:tcPr>
            <w:tcW w:w="3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2021</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(5,032,311)</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(150,580)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$ 327,061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$ 628,774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805,666</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86,762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86,762</w:t>
            </w: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900" w:type="dxa"/>
            <w:vAlign w:val="bottom"/>
          </w:tcPr>
          <w:p>
            <w:pPr>
              <w:ind w:left="340"/>
              <w:spacing w:after="0" w:line="135" w:lineRule="exact"/>
              <w:rPr>
                <w:sz w:val="20"/>
                <w:szCs w:val="20"/>
                <w:color w:val="auto"/>
              </w:rPr>
            </w:pPr>
            <w:r>
              <w:rPr>
                <w:rFonts w:ascii="Arial" w:cs="Arial" w:eastAsia="Arial" w:hAnsi="Arial"/>
                <w:sz w:val="13"/>
                <w:szCs w:val="13"/>
                <w:color w:val="auto"/>
              </w:rPr>
              <w:t>Issuance of shares for options exercised</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9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Issuance of restricted stock &amp; performance stock</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38,863</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1,232</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2,312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3,544</w:t>
            </w:r>
          </w:p>
        </w:tc>
        <w:tc>
          <w:tcPr>
            <w:tcW w:w="40" w:type="dxa"/>
            <w:vAlign w:val="bottom"/>
            <w:shd w:val="clear" w:color="auto" w:fill="CCEEFF"/>
          </w:tcPr>
          <w:p>
            <w:pPr>
              <w:spacing w:after="0"/>
              <w:rPr>
                <w:sz w:val="11"/>
                <w:szCs w:val="11"/>
                <w:color w:val="auto"/>
              </w:rPr>
            </w:pPr>
          </w:p>
        </w:tc>
      </w:tr>
      <w:tr>
        <w:trPr>
          <w:trHeight w:val="121"/>
        </w:trPr>
        <w:tc>
          <w:tcPr>
            <w:tcW w:w="3900" w:type="dxa"/>
            <w:vAlign w:val="bottom"/>
          </w:tcPr>
          <w:p>
            <w:pPr>
              <w:ind w:left="220"/>
              <w:spacing w:after="0" w:line="121" w:lineRule="exact"/>
              <w:rPr>
                <w:sz w:val="20"/>
                <w:szCs w:val="20"/>
                <w:color w:val="auto"/>
              </w:rPr>
            </w:pPr>
            <w:r>
              <w:rPr>
                <w:rFonts w:ascii="Arial" w:cs="Arial" w:eastAsia="Arial" w:hAnsi="Arial"/>
                <w:sz w:val="13"/>
                <w:szCs w:val="13"/>
                <w:color w:val="auto"/>
              </w:rPr>
              <w:t>Shares received in lieu of tax withholding payment on vested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900" w:type="dxa"/>
            <w:vAlign w:val="bottom"/>
          </w:tcPr>
          <w:p>
            <w:pPr>
              <w:ind w:left="220"/>
              <w:spacing w:after="0"/>
              <w:rPr>
                <w:sz w:val="20"/>
                <w:szCs w:val="20"/>
                <w:color w:val="auto"/>
              </w:rPr>
            </w:pPr>
            <w:r>
              <w:rPr>
                <w:rFonts w:ascii="Arial" w:cs="Arial" w:eastAsia="Arial" w:hAnsi="Arial"/>
                <w:sz w:val="13"/>
                <w:szCs w:val="13"/>
                <w:color w:val="auto"/>
              </w:rPr>
              <w:t>restricted stock</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(15,348)</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(1,399)</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(1,399)</w:t>
            </w: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2,605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2,605</w:t>
            </w:r>
          </w:p>
        </w:tc>
        <w:tc>
          <w:tcPr>
            <w:tcW w:w="40" w:type="dxa"/>
            <w:vAlign w:val="bottom"/>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Dividends ($0.13 per share)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(4,673)</w:t>
            </w: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(4,673)</w:t>
            </w: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Share repurchase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(161,614)</w:t>
            </w: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(14,097)</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(14,097)</w:t>
            </w:r>
          </w:p>
        </w:tc>
      </w:tr>
      <w:tr>
        <w:trPr>
          <w:trHeight w:val="129"/>
        </w:trPr>
        <w:tc>
          <w:tcPr>
            <w:tcW w:w="3900" w:type="dxa"/>
            <w:vAlign w:val="bottom"/>
          </w:tcPr>
          <w:p>
            <w:pPr>
              <w:spacing w:after="0" w:line="129" w:lineRule="exact"/>
              <w:rPr>
                <w:sz w:val="20"/>
                <w:szCs w:val="20"/>
                <w:color w:val="auto"/>
              </w:rPr>
            </w:pPr>
            <w:r>
              <w:rPr>
                <w:rFonts w:ascii="Arial" w:cs="Arial" w:eastAsia="Arial" w:hAnsi="Arial"/>
                <w:sz w:val="13"/>
                <w:szCs w:val="13"/>
                <w:color w:val="auto"/>
              </w:rPr>
              <w:t>BALANCE AT MARCH 31, 2022</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(5,170,410)</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(164,844)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331,978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710,863</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878,408</w:t>
            </w: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42,246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42,246</w:t>
            </w:r>
          </w:p>
        </w:tc>
        <w:tc>
          <w:tcPr>
            <w:tcW w:w="40" w:type="dxa"/>
            <w:vAlign w:val="bottom"/>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Issuance of shares for options exercised</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900" w:type="dxa"/>
            <w:vAlign w:val="bottom"/>
          </w:tcPr>
          <w:p>
            <w:pPr>
              <w:ind w:left="340"/>
              <w:spacing w:after="0" w:line="135" w:lineRule="exact"/>
              <w:rPr>
                <w:sz w:val="20"/>
                <w:szCs w:val="20"/>
                <w:color w:val="auto"/>
              </w:rPr>
            </w:pPr>
            <w:r>
              <w:rPr>
                <w:rFonts w:ascii="Arial" w:cs="Arial" w:eastAsia="Arial" w:hAnsi="Arial"/>
                <w:sz w:val="13"/>
                <w:szCs w:val="13"/>
                <w:color w:val="auto"/>
              </w:rPr>
              <w:t>Issuance of restricted stock &amp; performance stock</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75,092</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2,425</w:t>
            </w:r>
          </w:p>
        </w:tc>
        <w:tc>
          <w:tcPr>
            <w:tcW w:w="6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(2,425)</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21"/>
        </w:trPr>
        <w:tc>
          <w:tcPr>
            <w:tcW w:w="390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Shares received in lieu of tax withholding payment on vested</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stock</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(20,658)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(1,848)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(1,848)</w:t>
            </w: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1,822</w:t>
            </w:r>
          </w:p>
        </w:tc>
        <w:tc>
          <w:tcPr>
            <w:tcW w:w="4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Dividends ($0.14 per share)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(5,026)</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(5,026)</w:t>
            </w: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Share repurchase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(226,689)</w:t>
            </w: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(18,757)</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(18,757)</w:t>
            </w:r>
          </w:p>
        </w:tc>
      </w:tr>
      <w:tr>
        <w:trPr>
          <w:trHeight w:val="129"/>
        </w:trPr>
        <w:tc>
          <w:tcPr>
            <w:tcW w:w="39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JUNE 30, 2022</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(5,342,665)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(183,024)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$ 331,375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$ 748,083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896,845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COMFORT SYSTEMS USA,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Six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129,008</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59,456</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Amortization of identifiable intangible assets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25,158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17,749</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expense</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13,925</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Change in right-of-use assets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8,554</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Bad debt expense (benefit)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(429)</w:t>
            </w: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Deferred tax provision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financing costs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Gain on sale of assets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(706)</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(841)</w:t>
            </w: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the fair value of contingent earn-out obligations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(3,973)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(5,767)</w:t>
            </w: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Changes in operating assets and liabilities, net of effects of acquisitions and divestitures—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(Increase) decrease in—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Receivables, net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(179,871)</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(6,841)</w:t>
            </w:r>
          </w:p>
        </w:tc>
      </w:tr>
      <w:tr>
        <w:trPr>
          <w:trHeight w:val="203"/>
        </w:trPr>
        <w:tc>
          <w:tcPr>
            <w:tcW w:w="654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(9,432)</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(5,365)</w:t>
            </w: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13,037</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440"/>
              <w:spacing w:after="0"/>
              <w:rPr>
                <w:sz w:val="20"/>
                <w:szCs w:val="20"/>
                <w:color w:val="auto"/>
              </w:rPr>
            </w:pPr>
            <w:r>
              <w:rPr>
                <w:rFonts w:ascii="Arial" w:cs="Arial" w:eastAsia="Arial" w:hAnsi="Arial"/>
                <w:sz w:val="16"/>
                <w:szCs w:val="16"/>
                <w:color w:val="auto"/>
              </w:rPr>
              <w:t>Costs and estimated earnings in excess of billings and unbilled accounts receivable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(1,184)</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(2,752)</w:t>
            </w: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noncurrent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(1,105)</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Increase (decrease) in—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(10,964)</w:t>
            </w:r>
          </w:p>
        </w:tc>
      </w:tr>
      <w:tr>
        <w:trPr>
          <w:trHeight w:val="203"/>
        </w:trPr>
        <w:tc>
          <w:tcPr>
            <w:tcW w:w="6540" w:type="dxa"/>
            <w:vAlign w:val="bottom"/>
          </w:tcPr>
          <w:p>
            <w:pPr>
              <w:ind w:left="440"/>
              <w:spacing w:after="0"/>
              <w:rPr>
                <w:sz w:val="20"/>
                <w:szCs w:val="20"/>
                <w:color w:val="auto"/>
              </w:rPr>
            </w:pPr>
            <w:r>
              <w:rPr>
                <w:rFonts w:ascii="Arial" w:cs="Arial" w:eastAsia="Arial" w:hAnsi="Arial"/>
                <w:sz w:val="16"/>
                <w:szCs w:val="16"/>
                <w:color w:val="auto"/>
              </w:rPr>
              <w:t>Billings in excess of costs and estimated earnings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77,718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27,510</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long-term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(8,407)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(8,674)</w:t>
            </w:r>
          </w:p>
        </w:tc>
      </w:tr>
      <w:tr>
        <w:trPr>
          <w:trHeight w:val="196"/>
        </w:trPr>
        <w:tc>
          <w:tcPr>
            <w:tcW w:w="65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108,292</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110,069</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540" w:type="dxa"/>
            <w:vAlign w:val="bottom"/>
          </w:tcPr>
          <w:p>
            <w:pPr>
              <w:ind w:left="340"/>
              <w:spacing w:after="0"/>
              <w:rPr>
                <w:sz w:val="20"/>
                <w:szCs w:val="20"/>
                <w:color w:val="auto"/>
              </w:rPr>
            </w:pPr>
            <w:r>
              <w:rPr>
                <w:rFonts w:ascii="Arial" w:cs="Arial" w:eastAsia="Arial" w:hAnsi="Arial"/>
                <w:sz w:val="16"/>
                <w:szCs w:val="16"/>
                <w:color w:val="auto"/>
              </w:rPr>
              <w:t>Purchases of property and equipment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(20,215)</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(10,762)</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sales of property and equipment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Cash paid for acquisitions, net of cash acquired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(39,373)</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(11,742)</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investments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(1,236)</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6"/>
        </w:trPr>
        <w:tc>
          <w:tcPr>
            <w:tcW w:w="65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(59,265)</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(20,974)</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Proceeds from revolving credit facility</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485,000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revolving credit facility</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(345,000)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(80,000)</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Payments on term loan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(120,000)</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(15,000)</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other debt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(7,821)</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(8,765)</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Payments on finance lease liabilities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(899)</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financing costs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(2,297)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Payments of dividends to stockholders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(9,699)</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(8,341)</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repurchase</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(32,854)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(3,047)</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Shares received in lieu of tax withholding</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(3,247)</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(2,363)</w:t>
            </w:r>
          </w:p>
        </w:tc>
      </w:tr>
      <w:tr>
        <w:trPr>
          <w:trHeight w:val="202"/>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exercise of options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Deferred acquisition payments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(400)</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contingent consideration arrangements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(865)</w:t>
            </w:r>
          </w:p>
        </w:tc>
      </w:tr>
      <w:tr>
        <w:trPr>
          <w:trHeight w:val="196"/>
        </w:trPr>
        <w:tc>
          <w:tcPr>
            <w:tcW w:w="65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financing activities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(38,674)</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(90,332)</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10,353</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7"/>
                <w:szCs w:val="17"/>
                <w:color w:val="auto"/>
              </w:rPr>
            </w:pPr>
          </w:p>
        </w:tc>
      </w:tr>
      <w:tr>
        <w:trPr>
          <w:trHeight w:val="196"/>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54,896</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69,129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53,659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COMFORT SYSTEMS USA,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Business and Organization</w:t>
      </w:r>
    </w:p>
    <w:p>
      <w:pPr>
        <w:spacing w:after="0" w:line="211"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Comfort Systems USA, Inc., a Delaware corporation, provides comprehensive mechanical and electrical contracting services, which principally includes heating, ventilation and air conditioning (“HVAC”), plumbing, electrical, piping and controls, as well as off-site construction, monitoring and fire protection. We build, install, maintain, repair and replace mechanical, electrical and plumbing (“MEP”) systems throughout the United States. The terms “Comfort Systems,” “we,” “us,” or the “Company,” refer to Comfort Systems USA, Inc. or Comfort Systems USA, Inc. and its consolidated subsidiaries, as appropriate in the context.</w:t>
      </w:r>
    </w:p>
    <w:p>
      <w:pPr>
        <w:spacing w:after="0" w:line="215" w:lineRule="exact"/>
        <w:rPr>
          <w:sz w:val="20"/>
          <w:szCs w:val="20"/>
          <w:color w:val="auto"/>
        </w:rPr>
      </w:pPr>
    </w:p>
    <w:p>
      <w:pPr>
        <w:ind w:left="700" w:right="4279" w:hanging="656"/>
        <w:spacing w:after="0" w:line="503" w:lineRule="auto"/>
        <w:tabs>
          <w:tab w:leader="none" w:pos="2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and Estimates </w:t>
      </w:r>
      <w:r>
        <w:rPr>
          <w:rFonts w:ascii="Arial" w:cs="Arial" w:eastAsia="Arial" w:hAnsi="Arial"/>
          <w:sz w:val="18"/>
          <w:szCs w:val="18"/>
          <w:b w:val="1"/>
          <w:bCs w:val="1"/>
          <w:i w:val="1"/>
          <w:iCs w:val="1"/>
          <w:color w:val="auto"/>
        </w:rPr>
        <w:t>Basis of Presentation</w:t>
      </w:r>
    </w:p>
    <w:p>
      <w:pPr>
        <w:ind w:left="40" w:right="159" w:firstLine="648"/>
        <w:spacing w:after="0" w:line="263" w:lineRule="auto"/>
        <w:rPr>
          <w:sz w:val="20"/>
          <w:szCs w:val="20"/>
          <w:color w:val="auto"/>
        </w:rPr>
      </w:pPr>
      <w:r>
        <w:rPr>
          <w:rFonts w:ascii="Arial" w:cs="Arial" w:eastAsia="Arial" w:hAnsi="Arial"/>
          <w:sz w:val="18"/>
          <w:szCs w:val="18"/>
          <w:color w:val="auto"/>
        </w:rPr>
        <w:t>These interim statements should be read in conjunction with the historical Consolidated Financial Statements and related notes of Comfort Systems included in the Annual Report on Form 10-K as filed with the Securities and Exchange Commission (“SEC”) for the year ended December 31, 2021 (the “Form 10-K”).</w:t>
      </w:r>
    </w:p>
    <w:p>
      <w:pPr>
        <w:spacing w:after="0" w:line="184"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were prepared using generally accepted accounting principles for interim financial information and the instructions to Form 10-Q and applicable rules of Regulation S-X of the SEC. Accordingly, these financial statements do not include all the footnotes required by generally accepted accounting principles for complete financial statements and should be read in conjunction with the Form 10-K. We believe all adjustments necessary for a fair presentation of these interim statements have been included and are of a normal and recurring nature. The results of operations for interim periods are not necessarily indicative of the results for the full fiscal year.</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self-insurance accruals, deferred tax assets, fair value accounting for acquisitions and the quantification of fair value for reporting units in connection with our goodwill impairment testing.</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standard requires an acquirer to apply Accounting Standards Codification Topic 606 to recognize and measure contract assets and contract liabilities in a business combination. ASU 2021-08 is effective for fiscal years beginning after December 15, 2022 and interim periods within that year. Early adoption is permitted. We are currently evaluating the potential impact of this authoritative guidance on our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239" w:firstLine="648"/>
        <w:spacing w:after="0" w:line="257" w:lineRule="auto"/>
        <w:rPr>
          <w:sz w:val="20"/>
          <w:szCs w:val="20"/>
          <w:color w:val="auto"/>
        </w:rPr>
      </w:pPr>
      <w:r>
        <w:rPr>
          <w:rFonts w:ascii="Arial" w:cs="Arial" w:eastAsia="Arial" w:hAnsi="Arial"/>
          <w:sz w:val="18"/>
          <w:szCs w:val="18"/>
          <w:color w:val="auto"/>
        </w:rPr>
        <w:t>We recognize revenue over time for all of our services as we perform them because (i) control continuously transfers to that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for delivery of products or services that do not have an alternative use to the Company.</w:t>
      </w:r>
    </w:p>
    <w:p>
      <w:pPr>
        <w:spacing w:after="0" w:line="188" w:lineRule="exact"/>
        <w:rPr>
          <w:sz w:val="20"/>
          <w:szCs w:val="20"/>
          <w:color w:val="auto"/>
        </w:rPr>
      </w:pPr>
    </w:p>
    <w:p>
      <w:pPr>
        <w:ind w:left="40" w:right="59" w:firstLine="693"/>
        <w:spacing w:after="0" w:line="290" w:lineRule="auto"/>
        <w:rPr>
          <w:sz w:val="20"/>
          <w:szCs w:val="20"/>
          <w:color w:val="auto"/>
        </w:rPr>
      </w:pPr>
      <w:r>
        <w:rPr>
          <w:rFonts w:ascii="Arial" w:cs="Arial" w:eastAsia="Arial" w:hAnsi="Arial"/>
          <w:sz w:val="16"/>
          <w:szCs w:val="16"/>
          <w:color w:val="auto"/>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a cost-to-cost input method to measure our progress towards satisfaction of the performance obligation for our contracts, as it best depicts the transfer of assets to the customer that occurs as we incur costs on our contracts. Under the cost-to-cost input method,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subcontractors’ costs, other direct costs and an allocation of indirect costs.</w:t>
      </w:r>
    </w:p>
    <w:p>
      <w:pPr>
        <w:spacing w:after="0" w:line="165"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7"/>
          <w:szCs w:val="17"/>
          <w:color w:val="auto"/>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Similar to construction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 Our revenue recognition policy is further discussed in Note 3 “Revenue from Contracts with Customers.”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5" w:lineRule="exact"/>
        <w:rPr>
          <w:sz w:val="20"/>
          <w:szCs w:val="20"/>
          <w:color w:val="auto"/>
        </w:rPr>
      </w:pPr>
    </w:p>
    <w:p>
      <w:pPr>
        <w:ind w:left="40" w:right="239" w:firstLine="648"/>
        <w:spacing w:after="0" w:line="279" w:lineRule="auto"/>
        <w:rPr>
          <w:sz w:val="20"/>
          <w:szCs w:val="20"/>
          <w:color w:val="auto"/>
        </w:rPr>
      </w:pPr>
      <w:r>
        <w:rPr>
          <w:rFonts w:ascii="Arial" w:cs="Arial" w:eastAsia="Arial" w:hAnsi="Arial"/>
          <w:sz w:val="17"/>
          <w:szCs w:val="17"/>
          <w:color w:val="auto"/>
        </w:rPr>
        <w:t>We are required to estimate and record the expected credit losses over the contractual life of our financial assets measured at amortized cost, including billed and unbilled accounts receivable, other receivables and contract assets. Accounts receivable include amounts from work completed in which we have billed or have an unconditional right to bill our customers. Our trade receivables are contractually due in less than a year.</w:t>
      </w:r>
    </w:p>
    <w:p>
      <w:pPr>
        <w:spacing w:after="0" w:line="171" w:lineRule="exact"/>
        <w:rPr>
          <w:sz w:val="20"/>
          <w:szCs w:val="20"/>
          <w:color w:val="auto"/>
        </w:rPr>
      </w:pPr>
    </w:p>
    <w:p>
      <w:pPr>
        <w:ind w:left="40" w:right="159" w:firstLine="648"/>
        <w:spacing w:after="0" w:line="290" w:lineRule="auto"/>
        <w:rPr>
          <w:sz w:val="20"/>
          <w:szCs w:val="20"/>
          <w:color w:val="auto"/>
        </w:rPr>
      </w:pPr>
      <w:r>
        <w:rPr>
          <w:rFonts w:ascii="Arial" w:cs="Arial" w:eastAsia="Arial" w:hAnsi="Arial"/>
          <w:sz w:val="16"/>
          <w:szCs w:val="16"/>
          <w:color w:val="auto"/>
        </w:rPr>
        <w:t>We estimate our credit losses using a loss-rate method for each of our identified portfolio segments. Our portfolio segments are construction, service and other. While our construction and service financial assets are often with the same subset of customers and industries, our construction financial assets will generally have a lower loss-rate than service financial assets due to lien rights, which we are more likely to have on construction jobs. These lien rights result in lower credit loss expenses on average compared to receivables that do not have lien rights. Financial assets classified as Other include receivables that are not related to our core revenue producing activities, such as receivables related to our acquisition activity from former owners, our vendor rebate program or receivables for estimated losses in excess of our insurance deductible, which are accrued with a corresponding accrued insurance liability.</w:t>
      </w:r>
    </w:p>
    <w:p>
      <w:pPr>
        <w:spacing w:after="0" w:line="165" w:lineRule="exact"/>
        <w:rPr>
          <w:sz w:val="20"/>
          <w:szCs w:val="20"/>
          <w:color w:val="auto"/>
        </w:rPr>
      </w:pPr>
    </w:p>
    <w:p>
      <w:pPr>
        <w:ind w:left="40" w:right="439" w:firstLine="648"/>
        <w:spacing w:after="0" w:line="259" w:lineRule="auto"/>
        <w:rPr>
          <w:sz w:val="20"/>
          <w:szCs w:val="20"/>
          <w:color w:val="auto"/>
        </w:rPr>
      </w:pPr>
      <w:r>
        <w:rPr>
          <w:rFonts w:ascii="Arial" w:cs="Arial" w:eastAsia="Arial" w:hAnsi="Arial"/>
          <w:sz w:val="18"/>
          <w:szCs w:val="18"/>
          <w:color w:val="auto"/>
        </w:rPr>
        <w:t>Loss rates for our portfolios are based on numerous factors, including our history of credit loss expense by portfolio, the financial strength of our customers and counterparties in each portfolio, the aging of our receivables, our expectation of likelihood of payment, macroeconomic trends in the U.S. and the current and forecasted non-residential construction market trends in the U.S.</w:t>
      </w:r>
    </w:p>
    <w:p>
      <w:pPr>
        <w:spacing w:after="0" w:line="187" w:lineRule="exact"/>
        <w:rPr>
          <w:sz w:val="20"/>
          <w:szCs w:val="20"/>
          <w:color w:val="auto"/>
        </w:rPr>
      </w:pPr>
    </w:p>
    <w:p>
      <w:pPr>
        <w:ind w:left="40" w:right="279" w:firstLine="648"/>
        <w:spacing w:after="0" w:line="311" w:lineRule="auto"/>
        <w:rPr>
          <w:sz w:val="20"/>
          <w:szCs w:val="20"/>
          <w:color w:val="auto"/>
        </w:rPr>
      </w:pPr>
      <w:r>
        <w:rPr>
          <w:rFonts w:ascii="Arial" w:cs="Arial" w:eastAsia="Arial" w:hAnsi="Arial"/>
          <w:sz w:val="16"/>
          <w:szCs w:val="16"/>
          <w:color w:val="auto"/>
        </w:rPr>
        <w:t>In addition to the loss-rate calculations discussed above, we also record allowance for credit losses for specific receivables that are deemed to have a higher risk profile than the rest of the respective pool of receivables (e.g., when we hold concerns about a specific customer going bankrupt and no longer being able to pay the receivables due to us).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40" w:right="159" w:firstLine="648"/>
        <w:spacing w:after="0" w:line="311" w:lineRule="auto"/>
        <w:rPr>
          <w:sz w:val="20"/>
          <w:szCs w:val="20"/>
          <w:color w:val="auto"/>
        </w:rPr>
      </w:pPr>
      <w:r>
        <w:rPr>
          <w:rFonts w:ascii="Arial" w:cs="Arial" w:eastAsia="Arial" w:hAnsi="Arial"/>
          <w:sz w:val="16"/>
          <w:szCs w:val="16"/>
          <w:color w:val="auto"/>
        </w:rPr>
        <w:t>We conduct business throughout the United States in virtually all fifty states. Our effective tax rate changes based upon our relative profitability, or lack thereof, in states with varying tax rates and rules. In addition, discrete items such as tax law changes, judgments and legal structures, can impact our effective tax rate. These items can also include</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color w:val="auto"/>
        </w:rPr>
        <w:t>the tax treatment for impairment of goodwill and other intangible assets, changes in fair value of acquisition-related assets and liabilities, uncertain tax positions, and accounting for losses associated with underperforming operations.</w:t>
      </w:r>
    </w:p>
    <w:p>
      <w:pPr>
        <w:spacing w:after="0" w:line="146"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In early October 2020, we filed amended federal returns for 2016, 2017 and 2018, primarily to claim the credit for increasing research activities (the “R&amp;D tax credit”) requesting refunds of $9.8 million, $9.5 million and $11.9 million, respectively. The $31.2 million of refunds requested was offset by unrecognized tax benefits of $28.8 million due to the uncertainty of the outcome of an Internal Revenue Service (“IRS”) examination. The R&amp;D tax credit had no material impact on our effective tax rates for the 2020 and 2021 calendar years.</w:t>
      </w:r>
    </w:p>
    <w:p>
      <w:pPr>
        <w:spacing w:after="0" w:line="188" w:lineRule="exact"/>
        <w:rPr>
          <w:sz w:val="20"/>
          <w:szCs w:val="20"/>
          <w:color w:val="auto"/>
        </w:rPr>
      </w:pPr>
    </w:p>
    <w:p>
      <w:pPr>
        <w:ind w:left="40" w:right="339" w:firstLine="648"/>
        <w:spacing w:after="0" w:line="259" w:lineRule="auto"/>
        <w:rPr>
          <w:sz w:val="20"/>
          <w:szCs w:val="20"/>
          <w:color w:val="auto"/>
        </w:rPr>
      </w:pPr>
      <w:r>
        <w:rPr>
          <w:rFonts w:ascii="Arial" w:cs="Arial" w:eastAsia="Arial" w:hAnsi="Arial"/>
          <w:sz w:val="18"/>
          <w:szCs w:val="18"/>
          <w:color w:val="auto"/>
        </w:rPr>
        <w:t>Following an IRS survey of previously filed refund claims for the 2016, 2017 and 2018 tax years, the Joint Committee on Taxation approved such refunds in late January 2022. As a result, our benefit for income taxes in the first quarter of 2022 included a $28.8 million reduction in unrecognized tax benefits plus approximately $1.6 million of net interest income on the refunds.</w:t>
      </w:r>
    </w:p>
    <w:p>
      <w:pPr>
        <w:spacing w:after="0" w:line="187"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color w:val="auto"/>
        </w:rPr>
        <w:t>Our benefit for income taxes in the first quarter of 2022 was further increased by $26.8 million plus approximately $0.1 million of net interest income on the expected refunds due to our intention to claim the R&amp;D tax credit for the 2019, 2020 and 2021 tax years. Additionally, we have included an estimate for the R&amp;D tax credit in the computation of our annual effective tax rate for the current year and will continue to do so for the foreseeable future.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Our financial instruments consist of cash and cash equivalents, accounts receivable, other receivables, accounts payable and life insurance policies, for which we deem the carrying values approximate their fair value due to the short-term nature of these instruments, as well as notes to former owners and a revolving credit facility. We believe the carrying value of our debt associated with our revolving credit facility approximates its fair value due to the variable rate on such debt.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0" w:right="259" w:firstLine="648"/>
        <w:spacing w:after="0" w:line="286" w:lineRule="auto"/>
        <w:rPr>
          <w:sz w:val="20"/>
          <w:szCs w:val="20"/>
          <w:color w:val="auto"/>
        </w:rPr>
      </w:pPr>
      <w:r>
        <w:rPr>
          <w:rFonts w:ascii="Arial" w:cs="Arial" w:eastAsia="Arial" w:hAnsi="Arial"/>
          <w:sz w:val="17"/>
          <w:szCs w:val="17"/>
          <w:color w:val="auto"/>
        </w:rPr>
        <w:t>We have a $1.2 million investment with a fair value that is not readily determinable and is recorded at cost. This investment is included in “Other Noncurrent Assets” in our Consolidated Balance Sheet and is reviewed quarterly for impairment. We did not recognize any impairments in the current year related to this investment.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9" w:lineRule="exact"/>
        <w:rPr>
          <w:sz w:val="20"/>
          <w:szCs w:val="20"/>
          <w:color w:val="auto"/>
        </w:rPr>
      </w:pPr>
    </w:p>
    <w:p>
      <w:pPr>
        <w:ind w:left="40" w:right="379" w:firstLine="648"/>
        <w:spacing w:after="0" w:line="263"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spacing w:after="0" w:line="184"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We provide mechanical and electrical contracting services. Our mechanical segment principally includes HVAC, plumbing, piping and controls, as well as off-site construction, monitoring and fire protection. Our electrical segment includes installation and servicing of electrical systems. We build, install, maintain, repair and replace products and systems throughout the United States. All of our revenue is recognized over time as we deliver goods and services to our customers. Revenue can be earned based on an agreed-upon fixed price or based on actual costs incurred, marked up at an agreed-upon percentage.</w:t>
      </w:r>
    </w:p>
    <w:p>
      <w:pPr>
        <w:spacing w:after="0" w:line="19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either have written authorization from the customer to proceed or an executed contract.</w:t>
      </w:r>
    </w:p>
    <w:p>
      <w:pPr>
        <w:spacing w:after="0" w:line="187" w:lineRule="exact"/>
        <w:rPr>
          <w:sz w:val="20"/>
          <w:szCs w:val="20"/>
          <w:color w:val="auto"/>
        </w:rPr>
      </w:pPr>
    </w:p>
    <w:p>
      <w:pPr>
        <w:jc w:val="both"/>
        <w:ind w:left="40" w:right="79" w:firstLine="648"/>
        <w:spacing w:after="0" w:line="311" w:lineRule="auto"/>
        <w:rPr>
          <w:sz w:val="20"/>
          <w:szCs w:val="20"/>
          <w:color w:val="auto"/>
        </w:rPr>
      </w:pPr>
      <w:r>
        <w:rPr>
          <w:rFonts w:ascii="Arial" w:cs="Arial" w:eastAsia="Arial" w:hAnsi="Arial"/>
          <w:sz w:val="16"/>
          <w:szCs w:val="16"/>
          <w:color w:val="auto"/>
        </w:rPr>
        <w:t>We generally do not incur significant incremental costs related to obtaining or fulfilling a contract prior to the start of a project. On rare occasions, when significant pre-contract costs are incurred, they are capitalized and amortized over the life of the contract using a cost-to-cost input method to measure progress towards contract completion. We do</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not currently have any capitalized obtainment or fulfillment costs in our Consolidated Balance Sheet and have not incurred any impairment loss on such costs in the current year.</w:t>
      </w:r>
    </w:p>
    <w:p>
      <w:pPr>
        <w:spacing w:after="0" w:line="170" w:lineRule="exact"/>
        <w:rPr>
          <w:sz w:val="20"/>
          <w:szCs w:val="20"/>
          <w:color w:val="auto"/>
        </w:rPr>
      </w:pPr>
    </w:p>
    <w:p>
      <w:pPr>
        <w:ind w:left="40" w:right="79" w:firstLine="648"/>
        <w:spacing w:after="0" w:line="288" w:lineRule="auto"/>
        <w:rPr>
          <w:sz w:val="20"/>
          <w:szCs w:val="20"/>
          <w:color w:val="auto"/>
        </w:rPr>
      </w:pPr>
      <w:r>
        <w:rPr>
          <w:rFonts w:ascii="Arial" w:cs="Arial" w:eastAsia="Arial" w:hAnsi="Arial"/>
          <w:sz w:val="16"/>
          <w:szCs w:val="16"/>
          <w:color w:val="auto"/>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 discretion. Variable amounts can result in a deduction from contract revenue if we fail to meet stated performance requirements, such as complying with the construction schedule.</w:t>
      </w:r>
    </w:p>
    <w:p>
      <w:pPr>
        <w:spacing w:after="0" w:line="168"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9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w:t>
      </w:r>
    </w:p>
    <w:p>
      <w:pPr>
        <w:spacing w:after="0" w:line="192"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(e.g., the number and type of milestone events), technical requirements (e.g.,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our subcontractors, the availability and timing of funding from our customer, and overhead cost rates, among other variables.</w:t>
      </w:r>
    </w:p>
    <w:p>
      <w:pPr>
        <w:spacing w:after="0" w:line="182"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Based on this analysis, any adjustments to revenue, cost of services, and the related impact to operating income are recognized as necessary in the quarter when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 operating income. Changes in estimates of revenue, cost of services and the related impact to operating income are recognized quarterly on a cumulative catch-up basis, meaning we recognize in the current period the cumulative effect of the changes on current and prior periods based on our progress towards complete satisfaction of a performance obligation. A significant change in one or more of these estimates could affect the profitability of one or more of our performance obligations. For projects in which estimates of total costs to be incurred on a performance obligation exceed total estimates of revenue to be earned, a provision for the entire loss on the performance obligation is recognized in the period the loss is determined.</w:t>
      </w:r>
    </w:p>
    <w:p>
      <w:pPr>
        <w:sectPr>
          <w:pgSz w:w="11900" w:h="16838" w:orient="portrait"/>
          <w:cols w:equalWidth="0" w:num="1">
            <w:col w:w="9019"/>
          </w:cols>
          <w:pgMar w:left="1440" w:top="517"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In the first six months of 2022 and 2021, net revenue recognized from our performance obligations satisfied in previous periods was not material.</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Our consolidated 2022 revenue was derived from contracts to provide service activities in the mechanical and electrical services segments we serve. Refer to Note 11 “Segment Information” for additional information on our reportable segments. We disaggregate our revenue from contracts with customers by activity, customer type and service provided, as we believe it best depicts how the nature, amount, timing and uncertainty of our revenue and cash flows are affected by economic factors. See details in the following tables (dollars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ind w:left="340"/>
              <w:spacing w:after="0"/>
              <w:rPr>
                <w:sz w:val="20"/>
                <w:szCs w:val="20"/>
                <w:color w:val="auto"/>
              </w:rPr>
            </w:pPr>
            <w:r>
              <w:rPr>
                <w:rFonts w:ascii="Arial" w:cs="Arial" w:eastAsia="Arial" w:hAnsi="Arial"/>
                <w:sz w:val="16"/>
                <w:szCs w:val="16"/>
                <w:b w:val="1"/>
                <w:bCs w:val="1"/>
                <w:color w:val="auto"/>
                <w:w w:val="90"/>
              </w:rPr>
              <w:t>Three Months Ended June 30,</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02"/>
        </w:trPr>
        <w:tc>
          <w:tcPr>
            <w:tcW w:w="2300" w:type="dxa"/>
            <w:vAlign w:val="bottom"/>
          </w:tcPr>
          <w:p>
            <w:pPr>
              <w:spacing w:after="0"/>
              <w:rPr>
                <w:sz w:val="20"/>
                <w:szCs w:val="20"/>
                <w:color w:val="auto"/>
              </w:rPr>
            </w:pPr>
            <w:r>
              <w:rPr>
                <w:rFonts w:ascii="Arial" w:cs="Arial" w:eastAsia="Arial" w:hAnsi="Arial"/>
                <w:sz w:val="16"/>
                <w:szCs w:val="16"/>
                <w:b w:val="1"/>
                <w:bCs w:val="1"/>
                <w:color w:val="auto"/>
              </w:rPr>
              <w:t>Revenue by Service Provided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Mechanical Services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776,757</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$ 611,796</w:t>
            </w: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$ 1,459,268</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$ 1,177,416</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Electrical Services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241,191</w:t>
            </w:r>
          </w:p>
        </w:tc>
        <w:tc>
          <w:tcPr>
            <w:tcW w:w="140" w:type="dxa"/>
            <w:vAlign w:val="bottom"/>
          </w:tcPr>
          <w:p>
            <w:pPr>
              <w:spacing w:after="0"/>
              <w:rPr>
                <w:sz w:val="17"/>
                <w:szCs w:val="17"/>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23.7 %</w:t>
            </w:r>
          </w:p>
        </w:tc>
        <w:tc>
          <w:tcPr>
            <w:tcW w:w="700" w:type="dxa"/>
            <w:vAlign w:val="bottom"/>
          </w:tcPr>
          <w:p>
            <w:pPr>
              <w:jc w:val="right"/>
              <w:spacing w:after="0"/>
              <w:rPr>
                <w:sz w:val="20"/>
                <w:szCs w:val="20"/>
                <w:color w:val="auto"/>
              </w:rPr>
            </w:pPr>
            <w:r>
              <w:rPr>
                <w:rFonts w:ascii="Arial" w:cs="Arial" w:eastAsia="Arial" w:hAnsi="Arial"/>
                <w:sz w:val="16"/>
                <w:szCs w:val="16"/>
                <w:color w:val="auto"/>
              </w:rPr>
              <w:t>102,099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14.3 %</w:t>
            </w:r>
          </w:p>
        </w:tc>
        <w:tc>
          <w:tcPr>
            <w:tcW w:w="840" w:type="dxa"/>
            <w:vAlign w:val="bottom"/>
          </w:tcPr>
          <w:p>
            <w:pPr>
              <w:jc w:val="right"/>
              <w:spacing w:after="0"/>
              <w:rPr>
                <w:sz w:val="20"/>
                <w:szCs w:val="20"/>
                <w:color w:val="auto"/>
              </w:rPr>
            </w:pPr>
            <w:r>
              <w:rPr>
                <w:rFonts w:ascii="Arial" w:cs="Arial" w:eastAsia="Arial" w:hAnsi="Arial"/>
                <w:sz w:val="16"/>
                <w:szCs w:val="16"/>
                <w:color w:val="auto"/>
              </w:rPr>
              <w:t>443,896</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23.3 %</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206,240</w:t>
            </w: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14.9 %</w:t>
            </w:r>
          </w:p>
        </w:tc>
      </w:tr>
      <w:tr>
        <w:trPr>
          <w:trHeight w:val="196"/>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1,017,948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$ 713,895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$ 1,903,164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$ 1,383,656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ind w:left="340"/>
              <w:spacing w:after="0"/>
              <w:rPr>
                <w:sz w:val="20"/>
                <w:szCs w:val="20"/>
                <w:color w:val="auto"/>
              </w:rPr>
            </w:pPr>
            <w:r>
              <w:rPr>
                <w:rFonts w:ascii="Arial" w:cs="Arial" w:eastAsia="Arial" w:hAnsi="Arial"/>
                <w:sz w:val="16"/>
                <w:szCs w:val="16"/>
                <w:b w:val="1"/>
                <w:bCs w:val="1"/>
                <w:color w:val="auto"/>
                <w:w w:val="90"/>
              </w:rPr>
              <w:t>Three Months Ended June 30,</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02"/>
        </w:trPr>
        <w:tc>
          <w:tcPr>
            <w:tcW w:w="2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Revenue by Type of Customer</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r>
      <w:tr>
        <w:trPr>
          <w:trHeight w:val="196"/>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Industrial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470,491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$ 311,075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880,675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580,658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Education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119,248</w:t>
            </w:r>
          </w:p>
        </w:tc>
        <w:tc>
          <w:tcPr>
            <w:tcW w:w="140" w:type="dxa"/>
            <w:vAlign w:val="bottom"/>
          </w:tcPr>
          <w:p>
            <w:pPr>
              <w:spacing w:after="0"/>
              <w:rPr>
                <w:sz w:val="17"/>
                <w:szCs w:val="17"/>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11.7 %</w:t>
            </w:r>
          </w:p>
        </w:tc>
        <w:tc>
          <w:tcPr>
            <w:tcW w:w="700" w:type="dxa"/>
            <w:vAlign w:val="bottom"/>
          </w:tcPr>
          <w:p>
            <w:pPr>
              <w:jc w:val="right"/>
              <w:spacing w:after="0"/>
              <w:rPr>
                <w:sz w:val="20"/>
                <w:szCs w:val="20"/>
                <w:color w:val="auto"/>
              </w:rPr>
            </w:pPr>
            <w:r>
              <w:rPr>
                <w:rFonts w:ascii="Arial" w:cs="Arial" w:eastAsia="Arial" w:hAnsi="Arial"/>
                <w:sz w:val="16"/>
                <w:szCs w:val="16"/>
                <w:color w:val="auto"/>
              </w:rPr>
              <w:t>92,381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12.9 %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208,694</w:t>
            </w:r>
          </w:p>
        </w:tc>
        <w:tc>
          <w:tcPr>
            <w:tcW w:w="12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184,838</w:t>
            </w: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13.4 %</w:t>
            </w:r>
          </w:p>
        </w:tc>
      </w:tr>
      <w:tr>
        <w:trPr>
          <w:trHeight w:val="202"/>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Office Buildings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85,917</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8.4 %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73,014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10.2 %</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161,032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8.5 %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152,010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141,113</w:t>
            </w:r>
          </w:p>
        </w:tc>
        <w:tc>
          <w:tcPr>
            <w:tcW w:w="140" w:type="dxa"/>
            <w:vAlign w:val="bottom"/>
          </w:tcPr>
          <w:p>
            <w:pPr>
              <w:spacing w:after="0"/>
              <w:rPr>
                <w:sz w:val="17"/>
                <w:szCs w:val="17"/>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13.9 %</w:t>
            </w:r>
          </w:p>
        </w:tc>
        <w:tc>
          <w:tcPr>
            <w:tcW w:w="700" w:type="dxa"/>
            <w:vAlign w:val="bottom"/>
          </w:tcPr>
          <w:p>
            <w:pPr>
              <w:jc w:val="right"/>
              <w:spacing w:after="0"/>
              <w:rPr>
                <w:sz w:val="20"/>
                <w:szCs w:val="20"/>
                <w:color w:val="auto"/>
              </w:rPr>
            </w:pPr>
            <w:r>
              <w:rPr>
                <w:rFonts w:ascii="Arial" w:cs="Arial" w:eastAsia="Arial" w:hAnsi="Arial"/>
                <w:sz w:val="16"/>
                <w:szCs w:val="16"/>
                <w:color w:val="auto"/>
              </w:rPr>
              <w:t>96,004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13.4 %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275,908</w:t>
            </w:r>
          </w:p>
        </w:tc>
        <w:tc>
          <w:tcPr>
            <w:tcW w:w="12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191,095</w:t>
            </w: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13.8 %</w:t>
            </w: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Government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66,212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6.5 %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123,677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6.5 %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85,671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193"/>
        </w:trPr>
        <w:tc>
          <w:tcPr>
            <w:tcW w:w="2300" w:type="dxa"/>
            <w:vAlign w:val="bottom"/>
          </w:tcPr>
          <w:p>
            <w:pPr>
              <w:spacing w:after="0"/>
              <w:rPr>
                <w:sz w:val="20"/>
                <w:szCs w:val="20"/>
                <w:color w:val="auto"/>
              </w:rPr>
            </w:pPr>
            <w:r>
              <w:rPr>
                <w:rFonts w:ascii="Arial" w:cs="Arial" w:eastAsia="Arial" w:hAnsi="Arial"/>
                <w:sz w:val="16"/>
                <w:szCs w:val="16"/>
                <w:color w:val="auto"/>
              </w:rPr>
              <w:t>Retail, Restaurants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Entertainment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80,434</w:t>
            </w:r>
          </w:p>
        </w:tc>
        <w:tc>
          <w:tcPr>
            <w:tcW w:w="140" w:type="dxa"/>
            <w:vAlign w:val="bottom"/>
          </w:tcPr>
          <w:p>
            <w:pPr>
              <w:spacing w:after="0"/>
              <w:rPr>
                <w:sz w:val="18"/>
                <w:szCs w:val="18"/>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7.9 %</w:t>
            </w:r>
          </w:p>
        </w:tc>
        <w:tc>
          <w:tcPr>
            <w:tcW w:w="700" w:type="dxa"/>
            <w:vAlign w:val="bottom"/>
          </w:tcPr>
          <w:p>
            <w:pPr>
              <w:jc w:val="right"/>
              <w:spacing w:after="0"/>
              <w:rPr>
                <w:sz w:val="20"/>
                <w:szCs w:val="20"/>
                <w:color w:val="auto"/>
              </w:rPr>
            </w:pPr>
            <w:r>
              <w:rPr>
                <w:rFonts w:ascii="Arial" w:cs="Arial" w:eastAsia="Arial" w:hAnsi="Arial"/>
                <w:sz w:val="16"/>
                <w:szCs w:val="16"/>
                <w:color w:val="auto"/>
              </w:rPr>
              <w:t>48,933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146,016</w:t>
            </w:r>
          </w:p>
        </w:tc>
        <w:tc>
          <w:tcPr>
            <w:tcW w:w="120" w:type="dxa"/>
            <w:vAlign w:val="bottom"/>
          </w:tcPr>
          <w:p>
            <w:pPr>
              <w:spacing w:after="0"/>
              <w:rPr>
                <w:sz w:val="18"/>
                <w:szCs w:val="18"/>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93,509</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6.7 %</w:t>
            </w:r>
          </w:p>
        </w:tc>
      </w:tr>
      <w:tr>
        <w:trPr>
          <w:trHeight w:val="205"/>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Multi-Family and Residential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3.0 %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4.0 %</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54,614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24,361</w:t>
            </w:r>
          </w:p>
        </w:tc>
        <w:tc>
          <w:tcPr>
            <w:tcW w:w="140" w:type="dxa"/>
            <w:vAlign w:val="bottom"/>
          </w:tcPr>
          <w:p>
            <w:pPr>
              <w:spacing w:after="0"/>
              <w:rPr>
                <w:sz w:val="17"/>
                <w:szCs w:val="17"/>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2.4 %</w:t>
            </w:r>
          </w:p>
        </w:tc>
        <w:tc>
          <w:tcPr>
            <w:tcW w:w="700" w:type="dxa"/>
            <w:vAlign w:val="bottom"/>
          </w:tcPr>
          <w:p>
            <w:pPr>
              <w:jc w:val="right"/>
              <w:spacing w:after="0"/>
              <w:rPr>
                <w:sz w:val="20"/>
                <w:szCs w:val="20"/>
                <w:color w:val="auto"/>
              </w:rPr>
            </w:pPr>
            <w:r>
              <w:rPr>
                <w:rFonts w:ascii="Arial" w:cs="Arial" w:eastAsia="Arial" w:hAnsi="Arial"/>
                <w:sz w:val="16"/>
                <w:szCs w:val="16"/>
                <w:color w:val="auto"/>
              </w:rPr>
              <w:t>21,641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52,548</w:t>
            </w:r>
          </w:p>
        </w:tc>
        <w:tc>
          <w:tcPr>
            <w:tcW w:w="12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42,874</w:t>
            </w: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196"/>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1,017,948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$ 713,895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1,903,164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1,383,656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ind w:left="340"/>
              <w:spacing w:after="0"/>
              <w:rPr>
                <w:sz w:val="20"/>
                <w:szCs w:val="20"/>
                <w:color w:val="auto"/>
              </w:rPr>
            </w:pPr>
            <w:r>
              <w:rPr>
                <w:rFonts w:ascii="Arial" w:cs="Arial" w:eastAsia="Arial" w:hAnsi="Arial"/>
                <w:sz w:val="16"/>
                <w:szCs w:val="16"/>
                <w:b w:val="1"/>
                <w:bCs w:val="1"/>
                <w:color w:val="auto"/>
                <w:w w:val="90"/>
              </w:rPr>
              <w:t>Three Months Ended June 30,</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02"/>
        </w:trPr>
        <w:tc>
          <w:tcPr>
            <w:tcW w:w="2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Revenue by Activity Type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r>
      <w:tr>
        <w:trPr>
          <w:trHeight w:val="196"/>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New Construction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484,913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$ 329,890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914,331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631,951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Existing Building Construction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304,316</w:t>
            </w:r>
          </w:p>
        </w:tc>
        <w:tc>
          <w:tcPr>
            <w:tcW w:w="140" w:type="dxa"/>
            <w:vAlign w:val="bottom"/>
          </w:tcPr>
          <w:p>
            <w:pPr>
              <w:spacing w:after="0"/>
              <w:rPr>
                <w:sz w:val="17"/>
                <w:szCs w:val="17"/>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29.9 %</w:t>
            </w:r>
          </w:p>
        </w:tc>
        <w:tc>
          <w:tcPr>
            <w:tcW w:w="700" w:type="dxa"/>
            <w:vAlign w:val="bottom"/>
          </w:tcPr>
          <w:p>
            <w:pPr>
              <w:jc w:val="right"/>
              <w:spacing w:after="0"/>
              <w:rPr>
                <w:sz w:val="20"/>
                <w:szCs w:val="20"/>
                <w:color w:val="auto"/>
              </w:rPr>
            </w:pPr>
            <w:r>
              <w:rPr>
                <w:rFonts w:ascii="Arial" w:cs="Arial" w:eastAsia="Arial" w:hAnsi="Arial"/>
                <w:sz w:val="16"/>
                <w:szCs w:val="16"/>
                <w:color w:val="auto"/>
              </w:rPr>
              <w:t>215,317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30.2 %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563,601</w:t>
            </w:r>
          </w:p>
        </w:tc>
        <w:tc>
          <w:tcPr>
            <w:tcW w:w="12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29.6 %</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431,918</w:t>
            </w: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31.2 %</w:t>
            </w: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Service Projects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9.2 %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170,224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193"/>
        </w:trPr>
        <w:tc>
          <w:tcPr>
            <w:tcW w:w="2300" w:type="dxa"/>
            <w:vAlign w:val="bottom"/>
          </w:tcPr>
          <w:p>
            <w:pPr>
              <w:spacing w:after="0"/>
              <w:rPr>
                <w:sz w:val="20"/>
                <w:szCs w:val="20"/>
                <w:color w:val="auto"/>
              </w:rPr>
            </w:pPr>
            <w:r>
              <w:rPr>
                <w:rFonts w:ascii="Arial" w:cs="Arial" w:eastAsia="Arial" w:hAnsi="Arial"/>
                <w:sz w:val="16"/>
                <w:szCs w:val="16"/>
                <w:color w:val="auto"/>
              </w:rPr>
              <w:t>Service Calls, Maintenance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Monitoring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134,747</w:t>
            </w:r>
          </w:p>
        </w:tc>
        <w:tc>
          <w:tcPr>
            <w:tcW w:w="140" w:type="dxa"/>
            <w:vAlign w:val="bottom"/>
          </w:tcPr>
          <w:p>
            <w:pPr>
              <w:spacing w:after="0"/>
              <w:rPr>
                <w:sz w:val="18"/>
                <w:szCs w:val="18"/>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13.2 %</w:t>
            </w:r>
          </w:p>
        </w:tc>
        <w:tc>
          <w:tcPr>
            <w:tcW w:w="700" w:type="dxa"/>
            <w:vAlign w:val="bottom"/>
          </w:tcPr>
          <w:p>
            <w:pPr>
              <w:jc w:val="right"/>
              <w:spacing w:after="0"/>
              <w:rPr>
                <w:sz w:val="20"/>
                <w:szCs w:val="20"/>
                <w:color w:val="auto"/>
              </w:rPr>
            </w:pPr>
            <w:r>
              <w:rPr>
                <w:rFonts w:ascii="Arial" w:cs="Arial" w:eastAsia="Arial" w:hAnsi="Arial"/>
                <w:sz w:val="16"/>
                <w:szCs w:val="16"/>
                <w:color w:val="auto"/>
              </w:rPr>
              <w:t>102,425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255,008</w:t>
            </w:r>
          </w:p>
        </w:tc>
        <w:tc>
          <w:tcPr>
            <w:tcW w:w="120" w:type="dxa"/>
            <w:vAlign w:val="bottom"/>
          </w:tcPr>
          <w:p>
            <w:pPr>
              <w:spacing w:after="0"/>
              <w:rPr>
                <w:sz w:val="18"/>
                <w:szCs w:val="18"/>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13.4 %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193,464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14.0 %</w:t>
            </w:r>
          </w:p>
        </w:tc>
      </w:tr>
      <w:tr>
        <w:trPr>
          <w:trHeight w:val="199"/>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1,017,948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$ 713,895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1,903,164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1,383,656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Project contracts typically provide for a schedule of billings or invoices to the customer based on our job-to-date completion percentage of specific tasks inherent in the fulfillment of our performance obligation(s). The schedules for such billings usually do not precisely match the schedule on which costs are incurred. Contract assets include unbilled amounts typically resulting from sales under long term contracts when the cost-to-cost method of revenue recognition is used, revenue recognized exceeds the amount billed to the customer and right to payment is conditional or subject to completing a milestone, such as a phase of the project. Contract assets are not considered a significant financing component, as they are intended to protect the customer in the event that we do not perform our obligations under the contract. Contract assets are generally classified as current, as it is very unusual for us to have contract assets with a term of greater than one year.</w:t>
      </w:r>
    </w:p>
    <w:p>
      <w:pPr>
        <w:spacing w:after="0" w:line="165" w:lineRule="exact"/>
        <w:rPr>
          <w:sz w:val="20"/>
          <w:szCs w:val="20"/>
          <w:color w:val="auto"/>
        </w:rPr>
      </w:pPr>
    </w:p>
    <w:p>
      <w:pPr>
        <w:ind w:left="40" w:right="279" w:firstLine="648"/>
        <w:spacing w:after="0" w:line="296" w:lineRule="auto"/>
        <w:rPr>
          <w:sz w:val="20"/>
          <w:szCs w:val="20"/>
          <w:color w:val="auto"/>
        </w:rPr>
      </w:pPr>
      <w:r>
        <w:rPr>
          <w:rFonts w:ascii="Arial" w:cs="Arial" w:eastAsia="Arial" w:hAnsi="Arial"/>
          <w:sz w:val="16"/>
          <w:szCs w:val="16"/>
          <w:color w:val="auto"/>
        </w:rPr>
        <w:t>Contract liabilities consist of advance payments and billings in excess of revenue recognized. It is very unusual for us to have advanced payments with a term of greater than one year; therefore, our contract liabilities are usually all current. If we have advanced payments with a term greater than one year, the noncurrent portion of advanced payments would be included in “Other Long-term Liabilities” in our Consolidated Balance Sheets. Contract liabilities are not considered to have a significant financing component, as they are used to meet working capital requirements that are</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19"/>
        <w:spacing w:after="0" w:line="263" w:lineRule="auto"/>
        <w:rPr>
          <w:sz w:val="20"/>
          <w:szCs w:val="20"/>
          <w:color w:val="auto"/>
        </w:rPr>
      </w:pPr>
      <w:r>
        <w:rPr>
          <w:rFonts w:ascii="Arial" w:cs="Arial" w:eastAsia="Arial" w:hAnsi="Arial"/>
          <w:sz w:val="18"/>
          <w:szCs w:val="18"/>
          <w:color w:val="auto"/>
        </w:rPr>
        <w:t>generally higher in the early stages of a contract and are intended to protect us from the other party failing to meet its obligations under the contract. Our contract assets and liabilities are reported in a net position on a contract by contract basis at the end of each reporting period.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changes in contract assets and contract liabilities (in thousands):</w:t>
      </w:r>
    </w:p>
    <w:p>
      <w:pPr>
        <w:sectPr>
          <w:pgSz w:w="11900" w:h="16838" w:orient="portrait"/>
          <w:cols w:equalWidth="0" w:num="1">
            <w:col w:w="9019"/>
          </w:cols>
          <w:pgMar w:left="1440" w:top="517" w:right="1440" w:bottom="1440" w:gutter="0" w:footer="0" w:header="0"/>
        </w:sectPr>
      </w:pPr>
    </w:p>
    <w:p>
      <w:pPr>
        <w:spacing w:after="0" w:line="230" w:lineRule="exact"/>
        <w:rPr>
          <w:sz w:val="20"/>
          <w:szCs w:val="20"/>
          <w:color w:val="auto"/>
        </w:rPr>
      </w:pPr>
    </w:p>
    <w:p>
      <w:pPr>
        <w:jc w:val="center"/>
        <w:ind w:left="47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13970</wp:posOffset>
            </wp:positionV>
            <wp:extent cx="1337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9"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-3175</wp:posOffset>
            </wp:positionV>
            <wp:extent cx="13373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4700"/>
        <w:spacing w:after="0" w:line="222" w:lineRule="auto"/>
        <w:tabs>
          <w:tab w:leader="none" w:pos="5840" w:val="left"/>
        </w:tabs>
        <w:rPr>
          <w:sz w:val="20"/>
          <w:szCs w:val="20"/>
          <w:color w:val="auto"/>
        </w:rPr>
      </w:pPr>
      <w:r>
        <w:rPr>
          <w:rFonts w:ascii="Arial" w:cs="Arial" w:eastAsia="Arial" w:hAnsi="Arial"/>
          <w:sz w:val="14"/>
          <w:szCs w:val="14"/>
          <w:b w:val="1"/>
          <w:bCs w:val="1"/>
          <w:color w:val="auto"/>
        </w:rPr>
        <w:t>Contract</w:t>
      </w:r>
      <w:r>
        <w:rPr>
          <w:sz w:val="20"/>
          <w:szCs w:val="20"/>
          <w:color w:val="auto"/>
        </w:rPr>
        <w:tab/>
      </w:r>
      <w:r>
        <w:rPr>
          <w:rFonts w:ascii="Arial" w:cs="Arial" w:eastAsia="Arial" w:hAnsi="Arial"/>
          <w:sz w:val="14"/>
          <w:szCs w:val="14"/>
          <w:b w:val="1"/>
          <w:bCs w:val="1"/>
          <w:color w:val="auto"/>
        </w:rPr>
        <w:t>Contract</w:t>
      </w:r>
    </w:p>
    <w:p>
      <w:pPr>
        <w:spacing w:after="0" w:line="1" w:lineRule="exact"/>
        <w:rPr>
          <w:sz w:val="20"/>
          <w:szCs w:val="20"/>
          <w:color w:val="auto"/>
        </w:rPr>
      </w:pPr>
    </w:p>
    <w:p>
      <w:pPr>
        <w:ind w:left="4780"/>
        <w:spacing w:after="0"/>
        <w:tabs>
          <w:tab w:leader="none" w:pos="5820" w:val="left"/>
        </w:tabs>
        <w:rPr>
          <w:sz w:val="20"/>
          <w:szCs w:val="20"/>
          <w:color w:val="auto"/>
        </w:rPr>
      </w:pPr>
      <w:r>
        <w:rPr>
          <w:rFonts w:ascii="Arial" w:cs="Arial" w:eastAsia="Arial" w:hAnsi="Arial"/>
          <w:sz w:val="13"/>
          <w:szCs w:val="13"/>
          <w:b w:val="1"/>
          <w:bCs w:val="1"/>
          <w:color w:val="auto"/>
        </w:rPr>
        <w:t>Assets</w:t>
      </w:r>
      <w:r>
        <w:rPr>
          <w:sz w:val="20"/>
          <w:szCs w:val="20"/>
          <w:color w:val="auto"/>
        </w:rPr>
        <w:tab/>
      </w:r>
      <w:r>
        <w:rPr>
          <w:rFonts w:ascii="Arial" w:cs="Arial" w:eastAsia="Arial" w:hAnsi="Arial"/>
          <w:sz w:val="13"/>
          <w:szCs w:val="13"/>
          <w:b w:val="1"/>
          <w:bCs w:val="1"/>
          <w:color w:val="auto"/>
        </w:rPr>
        <w:t>Liabilities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13970</wp:posOffset>
            </wp:positionV>
            <wp:extent cx="13373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9"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-3175</wp:posOffset>
            </wp:positionV>
            <wp:extent cx="1337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2" w:lineRule="auto"/>
        <w:tabs>
          <w:tab w:leader="none" w:pos="1140" w:val="left"/>
        </w:tabs>
        <w:rPr>
          <w:sz w:val="20"/>
          <w:szCs w:val="20"/>
          <w:color w:val="auto"/>
        </w:rPr>
      </w:pPr>
      <w:r>
        <w:rPr>
          <w:rFonts w:ascii="Arial" w:cs="Arial" w:eastAsia="Arial" w:hAnsi="Arial"/>
          <w:sz w:val="14"/>
          <w:szCs w:val="14"/>
          <w:b w:val="1"/>
          <w:bCs w:val="1"/>
          <w:color w:val="auto"/>
        </w:rPr>
        <w:t>Contract</w:t>
      </w:r>
      <w:r>
        <w:rPr>
          <w:sz w:val="20"/>
          <w:szCs w:val="20"/>
          <w:color w:val="auto"/>
        </w:rPr>
        <w:tab/>
      </w:r>
      <w:r>
        <w:rPr>
          <w:rFonts w:ascii="Arial" w:cs="Arial" w:eastAsia="Arial" w:hAnsi="Arial"/>
          <w:sz w:val="14"/>
          <w:szCs w:val="14"/>
          <w:b w:val="1"/>
          <w:bCs w:val="1"/>
          <w:color w:val="auto"/>
        </w:rPr>
        <w:t>Contract</w:t>
      </w:r>
    </w:p>
    <w:p>
      <w:pPr>
        <w:spacing w:after="0" w:line="1" w:lineRule="exact"/>
        <w:rPr>
          <w:sz w:val="20"/>
          <w:szCs w:val="20"/>
          <w:color w:val="auto"/>
        </w:rPr>
      </w:pPr>
    </w:p>
    <w:p>
      <w:pPr>
        <w:ind w:left="80"/>
        <w:spacing w:after="0"/>
        <w:tabs>
          <w:tab w:leader="none" w:pos="1120" w:val="left"/>
        </w:tabs>
        <w:rPr>
          <w:sz w:val="20"/>
          <w:szCs w:val="20"/>
          <w:color w:val="auto"/>
        </w:rPr>
      </w:pPr>
      <w:r>
        <w:rPr>
          <w:rFonts w:ascii="Arial" w:cs="Arial" w:eastAsia="Arial" w:hAnsi="Arial"/>
          <w:sz w:val="13"/>
          <w:szCs w:val="13"/>
          <w:b w:val="1"/>
          <w:bCs w:val="1"/>
          <w:color w:val="auto"/>
        </w:rPr>
        <w:t>Assets</w:t>
      </w:r>
      <w:r>
        <w:rPr>
          <w:sz w:val="20"/>
          <w:szCs w:val="20"/>
          <w:color w:val="auto"/>
        </w:rPr>
        <w:tab/>
      </w:r>
      <w:r>
        <w:rPr>
          <w:rFonts w:ascii="Arial" w:cs="Arial" w:eastAsia="Arial" w:hAnsi="Arial"/>
          <w:sz w:val="13"/>
          <w:szCs w:val="13"/>
          <w:b w:val="1"/>
          <w:bCs w:val="1"/>
          <w:color w:val="auto"/>
        </w:rPr>
        <w:t>Liabilities</w:t>
      </w:r>
    </w:p>
    <w:p>
      <w:pPr>
        <w:spacing w:after="0" w:line="26" w:lineRule="exact"/>
        <w:rPr>
          <w:sz w:val="20"/>
          <w:szCs w:val="20"/>
          <w:color w:val="auto"/>
        </w:rPr>
      </w:pPr>
    </w:p>
    <w:p>
      <w:pPr>
        <w:sectPr>
          <w:pgSz w:w="11900" w:h="16838" w:orient="portrait"/>
          <w:cols w:equalWidth="0" w:num="2">
            <w:col w:w="6440" w:space="600"/>
            <w:col w:w="197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36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90"/>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Balance at beginning of period</w:t>
            </w:r>
          </w:p>
        </w:tc>
        <w:tc>
          <w:tcPr>
            <w:tcW w:w="1060" w:type="dxa"/>
            <w:vAlign w:val="bottom"/>
            <w:gridSpan w:val="2"/>
            <w:shd w:val="clear" w:color="auto" w:fill="CCEEFF"/>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29,900</w:t>
            </w:r>
          </w:p>
        </w:tc>
        <w:tc>
          <w:tcPr>
            <w:tcW w:w="420" w:type="dxa"/>
            <w:vAlign w:val="bottom"/>
            <w:gridSpan w:val="2"/>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307,380</w:t>
            </w:r>
          </w:p>
        </w:tc>
        <w:tc>
          <w:tcPr>
            <w:tcW w:w="46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18,622</w:t>
            </w:r>
          </w:p>
        </w:tc>
        <w:tc>
          <w:tcPr>
            <w:tcW w:w="420" w:type="dxa"/>
            <w:vAlign w:val="bottom"/>
            <w:gridSpan w:val="2"/>
            <w:shd w:val="clear" w:color="auto" w:fill="CCEEFF"/>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226,237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Change due to acquisitions / disposals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36,523</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Change related to credit allowance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changes in the period</w:t>
            </w:r>
          </w:p>
        </w:tc>
        <w:tc>
          <w:tcPr>
            <w:tcW w:w="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44,620</w:t>
            </w: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395,517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307,380</w:t>
            </w: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259" w:firstLine="648"/>
        <w:spacing w:after="0" w:line="277" w:lineRule="auto"/>
        <w:rPr>
          <w:sz w:val="20"/>
          <w:szCs w:val="20"/>
          <w:color w:val="auto"/>
        </w:rPr>
      </w:pPr>
      <w:r>
        <w:rPr>
          <w:rFonts w:ascii="Arial" w:cs="Arial" w:eastAsia="Arial" w:hAnsi="Arial"/>
          <w:sz w:val="18"/>
          <w:szCs w:val="18"/>
          <w:color w:val="auto"/>
        </w:rPr>
        <w:t>In the first six months of 2022 and 2021, we recognized revenue of $268.0 million and $195.0 million related to our contract liabilities at January 1, 2022 and January 1, 2021, respectively.</w:t>
      </w:r>
    </w:p>
    <w:p>
      <w:pPr>
        <w:spacing w:after="0" w:line="170"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We did not have any impairment losses recognized on our receivables or contract assets in the first six months of 2022 and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6"/>
          <w:szCs w:val="16"/>
          <w:color w:val="auto"/>
        </w:rPr>
        <w:t>Remaining construction performance obligations represent the remaining transaction price of firm orders for which work has not been performed and exclude unexercised contract options. As of June 30, 2022, the aggregate amount of the transaction price allocated to remaining performance obligations was $2.81 billion. The Company expects to recognize revenue on approximately 80-85%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with a total term of one year or less; therefore, we do not report unfulfilled performance obligations for service maintenance agreements.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Risk Management and Derivative Instruments</w:t>
      </w:r>
    </w:p>
    <w:p>
      <w:pPr>
        <w:spacing w:after="0" w:line="117"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We have interest rate swap agreements in place to reduce our exposure to variable interest rates on our revolving credit facility. The notional amount covered by these interest rate swaps was $80.0 million as of June 30, 2022, and the termination date is September 30, 2022.</w:t>
      </w:r>
    </w:p>
    <w:p>
      <w:pPr>
        <w:spacing w:after="0" w:line="184"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We use derivative instruments to manage exposure to market risk, including interest rate risk. Unsettled amounts under our interest rate swaps are recorded in the Consolidated Balance Sheet at fair value in “Other Receivables” or “Other Current Liabilities.” Gains and losses on our interest rate swaps are recorded in the Consolidated Income Statement in “Interest Expense.” For the three months ended June 30, 2022 and June 30, 2021, we recognized a net gain of $0.1 million and a net loss of $0.1 million, respectively, related to our interest rate swaps. For the six months ended June 30, 2022 and June 30, 2021, we recognized a net loss of less than $0.1 million and $0.2 million, respectively, related to our interest rate swaps. We currently do not have any derivatives that are accounted for as hedges under ASC 815.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classify and disclose assets and liabilities carried at fair value in one of the following three categories:</w:t>
      </w:r>
    </w:p>
    <w:p>
      <w:pPr>
        <w:spacing w:after="0" w:line="225" w:lineRule="exact"/>
        <w:rPr>
          <w:sz w:val="20"/>
          <w:szCs w:val="20"/>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3"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2—observable market-based inputs or unobservable inputs that are corroborated by market data; and</w:t>
      </w:r>
    </w:p>
    <w:p>
      <w:pPr>
        <w:spacing w:after="0" w:line="32" w:lineRule="exact"/>
        <w:rPr>
          <w:rFonts w:ascii="Arial" w:cs="Arial" w:eastAsia="Arial" w:hAnsi="Arial"/>
          <w:sz w:val="16"/>
          <w:szCs w:val="16"/>
          <w:color w:val="auto"/>
        </w:rPr>
      </w:pPr>
    </w:p>
    <w:p>
      <w:pPr>
        <w:ind w:left="1040" w:right="79" w:hanging="321"/>
        <w:spacing w:after="0" w:line="26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3—significant unobservable inputs in which little or no market data exists, therefore requiring an entity to develop its own assumptions.</w:t>
      </w:r>
    </w:p>
    <w:p>
      <w:pPr>
        <w:spacing w:after="0" w:line="185" w:lineRule="exact"/>
        <w:rPr>
          <w:sz w:val="20"/>
          <w:szCs w:val="20"/>
          <w:color w:val="auto"/>
        </w:rPr>
      </w:pPr>
    </w:p>
    <w:p>
      <w:pPr>
        <w:jc w:val="both"/>
        <w:ind w:left="40" w:right="239" w:firstLine="648"/>
        <w:spacing w:after="0" w:line="263" w:lineRule="auto"/>
        <w:rPr>
          <w:sz w:val="20"/>
          <w:szCs w:val="20"/>
          <w:color w:val="auto"/>
        </w:rPr>
      </w:pPr>
      <w:r>
        <w:rPr>
          <w:rFonts w:ascii="Arial" w:cs="Arial" w:eastAsia="Arial" w:hAnsi="Arial"/>
          <w:sz w:val="18"/>
          <w:szCs w:val="18"/>
          <w:color w:val="auto"/>
        </w:rPr>
        <w:t>The following table summarizes the fair values, and levels within the fair value hierarchy in which the fair value measurements are included, for assets and liabilities measured on a recurring basis as of June 30, 2022 and December 31, 2021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0"/>
          </w:tcPr>
          <w:p>
            <w:pPr>
              <w:jc w:val="right"/>
              <w:ind w:right="355"/>
              <w:spacing w:after="0"/>
              <w:rPr>
                <w:sz w:val="20"/>
                <w:szCs w:val="20"/>
                <w:color w:val="auto"/>
              </w:rPr>
            </w:pPr>
            <w:r>
              <w:rPr>
                <w:rFonts w:ascii="Arial" w:cs="Arial" w:eastAsia="Arial" w:hAnsi="Arial"/>
                <w:sz w:val="14"/>
                <w:szCs w:val="14"/>
                <w:b w:val="1"/>
                <w:bCs w:val="1"/>
                <w:color w:val="auto"/>
              </w:rPr>
              <w:t>Fair Value Measurements at June 30, 2022</w:t>
            </w:r>
          </w:p>
        </w:tc>
      </w:tr>
      <w:tr>
        <w:trPr>
          <w:trHeight w:val="142"/>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69,129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69,129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Life insurance—cash surrender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6,518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6,518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Contingent earn-out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26,676</w:t>
            </w:r>
          </w:p>
        </w:tc>
      </w:tr>
      <w:tr>
        <w:trPr>
          <w:trHeight w:val="378"/>
        </w:trPr>
        <w:tc>
          <w:tcPr>
            <w:tcW w:w="5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0"/>
          </w:tcPr>
          <w:p>
            <w:pPr>
              <w:jc w:val="right"/>
              <w:ind w:right="195"/>
              <w:spacing w:after="0"/>
              <w:rPr>
                <w:sz w:val="20"/>
                <w:szCs w:val="20"/>
                <w:color w:val="auto"/>
              </w:rPr>
            </w:pPr>
            <w:r>
              <w:rPr>
                <w:rFonts w:ascii="Arial" w:cs="Arial" w:eastAsia="Arial" w:hAnsi="Arial"/>
                <w:sz w:val="14"/>
                <w:szCs w:val="14"/>
                <w:b w:val="1"/>
                <w:bCs w:val="1"/>
                <w:color w:val="auto"/>
                <w:w w:val="97"/>
              </w:rPr>
              <w:t>Fair Value Measurements at December 31, 2021</w:t>
            </w:r>
          </w:p>
        </w:tc>
      </w:tr>
      <w:tr>
        <w:trPr>
          <w:trHeight w:val="142"/>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58,776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58,776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Life insurance—cash surrender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6,643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Contingent earn-out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34,114</w:t>
            </w:r>
          </w:p>
        </w:tc>
      </w:tr>
    </w:tbl>
    <w:p>
      <w:pPr>
        <w:spacing w:after="0" w:line="20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Cash and cash equivalents consist primarily of highly rated money market funds at a variety of well-known institutions with original maturities of three months or less. The original cost of these assets approximates fair value due to their short-term maturity. The carrying value of our borrowings associated with the revolving credit facility approximate its fair value due to the variable rate on such debt.</w:t>
      </w:r>
    </w:p>
    <w:p>
      <w:pPr>
        <w:spacing w:after="0" w:line="187"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We have life insurance policies covering 116 employees with a combined face value of $80.6 million. The policies are invested in several investment vehicles, and the fair value measurement of the cash surrender balance associated with these policies is determined using Level 2 inputs within the fair value hierarchy and will vary with investment performance. The cash surrender value of these policies was $6.5 million as of June 30, 2022 and $6.6 million as of December 31, 2021. These assets are included in “Other Noncurrent Assets” in our Consolidated Balance Sheets.</w:t>
      </w:r>
    </w:p>
    <w:p>
      <w:pPr>
        <w:spacing w:after="0" w:line="161"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We value contingent earn-out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(e.g., minimum and maximum payments, length of earn-out periods, manner of calculating any amounts due, etc.) and utilizes assumptions with regard to future cash flows and operating income, probabilities of achieving such future cash flows and operating income and a weighted average cost of capital. Significant changes in any of these assumptions could result in a significantly higher or lower potential liability. The contingent earn-out obligations are measured at fair value each reporting period, and changes in estimates of fair value are recognized in earnings. As of June 30, 2022, cash flows were discounted using a weighted average cost of capital ranging from 11.0% - 17.0%.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819" w:firstLine="648"/>
        <w:spacing w:after="0" w:line="277" w:lineRule="auto"/>
        <w:rPr>
          <w:sz w:val="20"/>
          <w:szCs w:val="20"/>
          <w:color w:val="auto"/>
        </w:rPr>
      </w:pPr>
      <w:r>
        <w:rPr>
          <w:rFonts w:ascii="Arial" w:cs="Arial" w:eastAsia="Arial" w:hAnsi="Arial"/>
          <w:sz w:val="18"/>
          <w:szCs w:val="18"/>
          <w:color w:val="auto"/>
        </w:rPr>
        <w:t>The table below presents a reconciliation of the fair value of our contingent earn-out obligations that use significant unobservable inputs (Level 3)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2022</w:t>
            </w: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2021</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Issuances</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19,949</w:t>
            </w: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Adjustments to fair value</w:t>
            </w: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(3,973)</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(7,820)</w:t>
            </w: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left="40" w:right="439" w:firstLine="648"/>
        <w:spacing w:after="0" w:line="293" w:lineRule="auto"/>
        <w:rPr>
          <w:sz w:val="20"/>
          <w:szCs w:val="20"/>
          <w:color w:val="auto"/>
        </w:rPr>
      </w:pPr>
      <w:r>
        <w:rPr>
          <w:rFonts w:ascii="Arial" w:cs="Arial" w:eastAsia="Arial" w:hAnsi="Arial"/>
          <w:sz w:val="16"/>
          <w:szCs w:val="16"/>
          <w:color w:val="auto"/>
        </w:rPr>
        <w:t>On April 1, 2022, we acquired Atlantic Electric, LLC and its related subsidiary (“Atlantic”), headquartered in Charleston, South Carolina, and with operations in South Carolina and Western North Carolina, for a total preliminary purchase price of $48.1 million, which included $34.1 million of cash paid on the closing date, $5.3 million in notes payable to former owners and a working capital adjustment. Atlantic performs electrical contracting for customers in various South Carolina markets, as well as installation of airport runway lighting in the Southeast. As a result of the acquisition, Atlantic is a wholly owned subsidiary of the Company reported in our electrical services segment.</w:t>
      </w:r>
    </w:p>
    <w:p>
      <w:pPr>
        <w:spacing w:after="0" w:line="164" w:lineRule="exact"/>
        <w:rPr>
          <w:sz w:val="20"/>
          <w:szCs w:val="20"/>
          <w:color w:val="auto"/>
        </w:rPr>
      </w:pPr>
    </w:p>
    <w:p>
      <w:pPr>
        <w:ind w:left="40" w:right="159" w:firstLine="648"/>
        <w:spacing w:after="0" w:line="271" w:lineRule="auto"/>
        <w:rPr>
          <w:sz w:val="20"/>
          <w:szCs w:val="20"/>
          <w:color w:val="auto"/>
        </w:rPr>
      </w:pPr>
      <w:r>
        <w:rPr>
          <w:rFonts w:ascii="Arial" w:cs="Arial" w:eastAsia="Arial" w:hAnsi="Arial"/>
          <w:sz w:val="17"/>
          <w:szCs w:val="17"/>
          <w:color w:val="auto"/>
        </w:rPr>
        <w:t>On December 31, 2021, we acquired MEP Holding Co., Inc., and its related subsidiaries (collectively, “MEP Holdings”) for a total preliminary purchase price of $57.3 million, which included $45.2 million funded on the closing date, $7.6 million in notes payable to former owners, an earn-out that will be paid if certain financial targets are met after the acquisition date and a working capital adjustment. As a result of the acquisition, MEP Holdings is a wholly owned subsidiary of the Company and reports as a separate operating location in our electrical services segment. Additionally, on December 31, 2021, we completed an acquisition of a service and controls business in Kentucky with a total preliminary purchase price of $20.5 million and a temporary staffing company based in Indiana with a total preliminary purchase price of $4.7 million, which are both reported in our mechanical services segment.</w:t>
      </w:r>
    </w:p>
    <w:p>
      <w:pPr>
        <w:spacing w:after="0" w:line="178"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On December 1, 2021, we acquired Ivey Mechanical Company, LLC (“Ivey”) headquartered in Kosciusko, Mississippi for a total preliminary purchase price of $79.1 million, which included $64.1 million of cash paid on the closing date, $8.0 million in notes payable to former owners, a $0.4 million short term payable plus an earn-out that will be paid if certain financial targets are met after the acquisition date and a working capital adjustment. As a result of the acquisition, Ivey is a wholly owned subsidiary of the Company and reports as a separate operating location in our mechanical services segment.</w:t>
      </w:r>
    </w:p>
    <w:p>
      <w:pPr>
        <w:spacing w:after="0" w:line="192"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color w:val="auto"/>
        </w:rPr>
        <w:t>On August 1, 2021, we acquired all of the issued and outstanding equity interests of Amteck Holdco LLC and each of its wholly owned subsidiaries (collectively “Amteck”). The total purchase price was $138.9 million of which $113.1 million was allocated to goodwill and identifiable intangible assets. The total purchase price included $107.4 million in cash, $8.6 million in working capital adjustment, $10.0 million in notes payable to former owners and a $12.9 million contingent earn-out obligation. Amteck provides electrical contracting solutions and services, including design and build, pre-fabrication and installation for core electric and low-voltage systems, as well as services for planned maintenance, retrofit and emergency work. Amteck is headquartered in Kentucky and primarily serves the greater Southeastern United States, including Kentucky, Tennessee and the Carolinas. As a result of the acquisition, Amteck is a wholly owned subsidiary of the Company reported in our electrical services segment.</w:t>
      </w:r>
    </w:p>
    <w:p>
      <w:pPr>
        <w:spacing w:after="0" w:line="181"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In the first quarter of 2021, we completed an acquisition of a mechanical contractor in Utah with a total purchase price of $18.1 million, which is reported in our mechanical services segment.</w:t>
      </w:r>
    </w:p>
    <w:p>
      <w:pPr>
        <w:spacing w:after="0" w:line="170"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The results of operations of acquisitions are included in our consolidated financial statements from their respective acquisition dates. Our Consolidated Balance Sheet includes preliminary allocations of the purchase price to the assets acquired and liabilities assumed for the applicable acquisitions pending the completion of the final valuation of intangible assets and accrued liabilities. The acquisitions completed in the current and prior year were not material, individually or in the aggregate. Additional contingent purchase price (“earn-out”) has been or will be paid if certain acquisitions achieve predetermined profitability targets. Such earn-outs, when they are not subject to the continued</w:t>
      </w:r>
    </w:p>
    <w:p>
      <w:pPr>
        <w:sectPr>
          <w:pgSz w:w="11900" w:h="16838" w:orient="portrait"/>
          <w:cols w:equalWidth="0" w:num="1">
            <w:col w:w="9019"/>
          </w:cols>
          <w:pgMar w:left="1440" w:top="517"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color w:val="auto"/>
        </w:rPr>
        <w:t>employment of the sellers, are estimated as of the purchase date and included as part of the consideration paid for the acquisition. If we have an earn-out under which continued employment is a condition to receipt of payment, then the earn-out is recorded as compensation expense over the period earned.</w:t>
      </w:r>
    </w:p>
    <w:p>
      <w:pPr>
        <w:spacing w:after="0" w:line="180" w:lineRule="exact"/>
        <w:rPr>
          <w:sz w:val="20"/>
          <w:szCs w:val="20"/>
          <w:color w:val="auto"/>
        </w:rPr>
      </w:pPr>
    </w:p>
    <w:p>
      <w:pPr>
        <w:ind w:left="700" w:right="5099" w:hanging="656"/>
        <w:spacing w:after="0" w:line="503" w:lineRule="auto"/>
        <w:tabs>
          <w:tab w:leader="none" w:pos="2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Identifiable Intangible Assets, Net </w:t>
      </w:r>
      <w:r>
        <w:rPr>
          <w:rFonts w:ascii="Arial" w:cs="Arial" w:eastAsia="Arial" w:hAnsi="Arial"/>
          <w:sz w:val="18"/>
          <w:szCs w:val="18"/>
          <w:b w:val="1"/>
          <w:bCs w:val="1"/>
          <w:i w:val="1"/>
          <w:iCs w:val="1"/>
          <w:color w:val="auto"/>
        </w:rPr>
        <w:t>Goodwill</w:t>
      </w: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Mechanical Services</w:t>
            </w:r>
          </w:p>
        </w:tc>
        <w:tc>
          <w:tcPr>
            <w:tcW w:w="1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Electrical Services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6"/>
              </w:rPr>
              <w:t>Acquisitions and purchase price adjustments (See Note 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74,951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Impact of segment reorganization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361,320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Acquisitions and purchase price adjustments (See Note 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363,153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247,847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7"/>
          <w:szCs w:val="17"/>
          <w:color w:val="auto"/>
        </w:rPr>
        <w:t>During the fourth quarter of 2021, the Company performed a qualitative assessment for all of our reporting units except one for which we performed a quantitative assessment, which considered various factors, including changes in the carrying value of the reporting unit, forecasted operating results, long-term growth rates and discount rates. Additionally, we considered qualitative key events and circumstances (i.e. macroeconomic environment, industry and market specific conditions, cost factors and events specific to the reporting unit, etc.). Based on this assessment, we concluded that it was more likely than not that the fair value of each of the reporting units was substantially greater than its carrying value. Accordingly, no further testing was required. For our Texas electrical operation, we performed a step 1 quantitative assessment, and the calculated fair value exceeded the carrying value by 32%. As a result of the reporting unit’s smaller excess of fair value percentage, this reporting unit is more susceptible to impairment risk from additional adverse changes in its operating environment, including micro- and macroeconomic environment conditions that could negatively impact them. Such adverse changes could include worsening economic conditions in the locations or markets they primarily serve, whether due to COVID-19 or other events and conditions. As of June 30, 2022, the Texas electrical operation had a goodwill balance of $96.8 million.</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Identifiable Intangible Assets, Net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 June 30, 2022, future amortization expense of identifiable intangible assets is as follows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2022 (remainder of the year)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2023</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36,252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2024</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34,063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2025</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31,876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2026</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Thereafter</w:t>
            </w:r>
          </w:p>
        </w:tc>
        <w:tc>
          <w:tcPr>
            <w:tcW w:w="2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140,678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2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296,538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80" w:type="dxa"/>
            <w:vAlign w:val="bottom"/>
            <w:vMerge w:val="restart"/>
          </w:tcPr>
          <w:p>
            <w:pPr>
              <w:jc w:val="right"/>
              <w:ind w:right="16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Debt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Debt obligations consist of the following (in thousands):</w:t>
      </w:r>
    </w:p>
    <w:p>
      <w:pPr>
        <w:spacing w:after="0" w:line="21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3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$ 360,000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220,000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Term loan</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Notes to former owners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Finance lease liabilities (See Note 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debt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09"/>
        </w:trPr>
        <w:tc>
          <w:tcPr>
            <w:tcW w:w="38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Total principal amount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405,640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388,220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Less—unamortized debt issuance costs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Total debt, net of unamortized debt issuance costs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405,640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388,030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Less—current portion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(2,788)</w:t>
            </w:r>
          </w:p>
        </w:tc>
        <w:tc>
          <w:tcPr>
            <w:tcW w:w="80" w:type="dxa"/>
            <w:vAlign w:val="bottom"/>
            <w:shd w:val="clear" w:color="auto" w:fill="CCEEFF"/>
          </w:tcPr>
          <w:p>
            <w:pPr>
              <w:spacing w:after="0"/>
              <w:rPr>
                <w:sz w:val="18"/>
                <w:szCs w:val="18"/>
                <w:color w:val="auto"/>
              </w:rPr>
            </w:pPr>
          </w:p>
        </w:tc>
      </w:tr>
      <w:tr>
        <w:trPr>
          <w:trHeight w:val="209"/>
        </w:trPr>
        <w:tc>
          <w:tcPr>
            <w:tcW w:w="38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Total long-term portion of debt, net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$ 403,192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385,242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180" w:type="dxa"/>
            <w:vAlign w:val="bottom"/>
            <w:gridSpan w:val="4"/>
          </w:tcPr>
          <w:p>
            <w:pPr>
              <w:spacing w:after="0"/>
              <w:rPr>
                <w:sz w:val="20"/>
                <w:szCs w:val="20"/>
                <w:color w:val="auto"/>
              </w:rPr>
            </w:pPr>
            <w:r>
              <w:rPr>
                <w:rFonts w:ascii="Arial" w:cs="Arial" w:eastAsia="Arial" w:hAnsi="Arial"/>
                <w:sz w:val="18"/>
                <w:szCs w:val="18"/>
                <w:color w:val="auto"/>
                <w:w w:val="95"/>
              </w:rPr>
              <w:t>At June 30, 2022, future principal payments of debt are as follows (in thousands):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2022 (remainder of the year)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9,467</w:t>
            </w: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10,867</w:t>
            </w: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22,229</w:t>
            </w: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2027</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360,000</w:t>
            </w:r>
          </w:p>
        </w:tc>
        <w:tc>
          <w:tcPr>
            <w:tcW w:w="80" w:type="dxa"/>
            <w:vAlign w:val="bottom"/>
            <w:shd w:val="clear" w:color="auto" w:fill="CCEEFF"/>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5"/>
              </w:rPr>
              <w:t>405,640</w:t>
            </w:r>
          </w:p>
        </w:tc>
        <w:tc>
          <w:tcPr>
            <w:tcW w:w="8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On May 25, 2022, we amended our senior credit facility (as amended, the “Facility”) arranged by Wells Fargo Bank, National Association, as administrative agent, and provided by a syndicate of banks, increasing our borrowing capacity from $562.5 million (of which $450 million was a revolving credit facility) to $850 million. As amended, the Facility is composed of a revolving credit line guaranteed by certain of our subsidiaries, in the amount of $850.0 million, and the previous term loan has been eliminated. The amended Facility also provides for an accordion or increase option not to exceed the greater of (a) $250 million and (b) 1.0x Credit Facility Adjusted EBITDA (as defined below), as well as a sublimit of up to $175.0 million issuable in the form of letters of credit. The Facility expires in July 2027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In 2022, we incurred approximately $2.3 million in financing and professional costs in connection with the amendment to the Facility, which, combined with previously unamortized costs of $1.2 million, are being amortized on a straight-line basis as a non-cash charge to interest expense over the remaining term of the Facility. As of June 30, 2022, we had $360.0 million of outstanding borrowings on the revolving credit facility, $55.6 million in letters of credit outstanding and $434.4 million of credit available.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Covenants and Restrictions</w:t>
      </w:r>
    </w:p>
    <w:p>
      <w:pPr>
        <w:spacing w:after="0" w:line="225"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The Facility contains financial covenants defining various financial measures and the levels of these measures with which we must comply. Covenant compliance is assessed as of each quarter end. Credit Facility Adjusted EBITDA is defined under the Facility for financial covenant purposes as consolidated net income for the four fiscal quarters ending as of any given quarterly covenant compliance measurement date, plus the corresponding amounts for (a) interest expense; (b) provision for income taxes; (c) depreciation and amortization; (d) stock or equity compensation; (e) other non-cash charges; and (f) pre-acquisition results of acquired companies. The Facility’s principal financial covenants include:</w:t>
      </w:r>
    </w:p>
    <w:p>
      <w:pPr>
        <w:sectPr>
          <w:pgSz w:w="11900" w:h="16838" w:orient="portrait"/>
          <w:cols w:equalWidth="0" w:num="1">
            <w:col w:w="9019"/>
          </w:cols>
          <w:pgMar w:left="1440" w:top="51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i w:val="1"/>
          <w:iCs w:val="1"/>
          <w:color w:val="auto"/>
        </w:rPr>
        <w:t>Net Leverage Ratio</w:t>
      </w:r>
      <w:r>
        <w:rPr>
          <w:rFonts w:ascii="Arial" w:cs="Arial" w:eastAsia="Arial" w:hAnsi="Arial"/>
          <w:sz w:val="18"/>
          <w:szCs w:val="18"/>
          <w:color w:val="auto"/>
        </w:rPr>
        <w:t>—The Facility requires that the ratio of (a) our Consolidated Total Indebtedness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minus unrestricted cash and cash equivalents up to $100,000,000, to (b) our Credit Facility Adjusted EBITDA not exceed 3.50 to 1.00 as of the end of each fiscal quarter.</w:t>
      </w:r>
    </w:p>
    <w:p>
      <w:pPr>
        <w:spacing w:after="0" w:line="184" w:lineRule="exact"/>
        <w:rPr>
          <w:sz w:val="20"/>
          <w:szCs w:val="20"/>
          <w:color w:val="auto"/>
        </w:rPr>
      </w:pPr>
    </w:p>
    <w:p>
      <w:pPr>
        <w:ind w:left="40" w:right="239" w:firstLine="648"/>
        <w:spacing w:after="0" w:line="275" w:lineRule="auto"/>
        <w:rPr>
          <w:sz w:val="20"/>
          <w:szCs w:val="20"/>
          <w:color w:val="auto"/>
        </w:rPr>
      </w:pPr>
      <w:r>
        <w:rPr>
          <w:rFonts w:ascii="Arial" w:cs="Arial" w:eastAsia="Arial" w:hAnsi="Arial"/>
          <w:sz w:val="17"/>
          <w:szCs w:val="17"/>
          <w:i w:val="1"/>
          <w:iCs w:val="1"/>
          <w:color w:val="auto"/>
        </w:rPr>
        <w:t>Interest Coverage Ratio</w:t>
      </w:r>
      <w:r>
        <w:rPr>
          <w:rFonts w:ascii="Arial" w:cs="Arial" w:eastAsia="Arial" w:hAnsi="Arial"/>
          <w:sz w:val="17"/>
          <w:szCs w:val="17"/>
          <w:color w:val="auto"/>
        </w:rPr>
        <w:t>—The Facility requires that the ratio of (a) Credit Facility Adjusted EBITDA to (b)</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interest expense, defined as all interest paid or accrued on indebtedness during the period excluding amortization of debt incurrence expenses, original issue discount, and mark-to-market interest expense, be at least 3.00 to 1.00. Credit Facility Adjusted EBITDA and consolidated interest expense are calculated for purposes of this covenant for the four fiscal quarters ending as of any given quarterly covenant compliance measurement date.</w:t>
      </w:r>
    </w:p>
    <w:p>
      <w:pPr>
        <w:spacing w:after="0" w:line="176"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Other Restrictions—The Facility (a) permits unlimited acquisitions when the Company’s Net Leverage Ratio is less than or equal to 3.25 to 1.00, (b) expands certain baskets for permitted indebtedness and liens, and (c) permits unlimited distributions, stock repurchases, and investments when the Net Leverage Ratio is less than or equal to 2.75 to 1.00.</w:t>
      </w:r>
    </w:p>
    <w:p>
      <w:pPr>
        <w:spacing w:after="0" w:line="187"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color w:val="auto"/>
        </w:rPr>
        <w:t>While the Facility’s financial covenants do not specifically govern capacity under the Facility, if our debt level under the Facility at a quarter-end covenant compliance measurement date were to cause us to violate the Facility’s Net Leverage Ratio covenant, our borrowing capacity under the Facility and the favorable terms that we currently have could be negatively impacted.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in compliance with all of our financial covenants as of June 30, 2022.</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7"/>
          <w:szCs w:val="17"/>
          <w:color w:val="auto"/>
        </w:rPr>
        <w:t>There are two interest rate options for borrowings under the Facility, the Base Rate Loan (as defined in the Facility) option and the Secured Overnight Financing Rate (“SOFR”) Loan option. Under the Base Rate Loan option, the interest rate is determined based on the highest of (a) the Federal Funds Rate (as defined in the Facility) plus 0.5%, (b) the prime lending rate established by Wells Fargo Bank, N.A., and (c) the one-month Adjusted Term SOFR (as defined in the Facility) plus 1.00%. Under the SOFR Loan option, the interest rate is determined based on Adjusted Term SOFR for a one, three, or six-month tenor at our election. Additional margins are then added to these two rates. The additional margins are determined based on our Net Leverage Ratio.</w:t>
      </w:r>
    </w:p>
    <w:p>
      <w:pPr>
        <w:spacing w:after="0" w:line="177"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The interest rates under the Facility are floating rates determined by the broad financial markets, meaning they can and do move up and down from time to time. For illustrative purposes, the following are the respective market rates as of June 30, 2022 relating to interest options under the Facility:</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Base Rate Loan Option:</w:t>
            </w:r>
          </w:p>
        </w:tc>
        <w:tc>
          <w:tcPr>
            <w:tcW w:w="248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Rate plus 0.50%</w:t>
            </w:r>
          </w:p>
        </w:tc>
        <w:tc>
          <w:tcPr>
            <w:tcW w:w="2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Wells Fargo Bank, N.A. Prime Rate</w:t>
            </w: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4.75%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One-month SOFR plus 1.00%</w:t>
            </w:r>
          </w:p>
        </w:tc>
        <w:tc>
          <w:tcPr>
            <w:tcW w:w="2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SOFR Loan Option:</w:t>
            </w:r>
          </w:p>
        </w:tc>
        <w:tc>
          <w:tcPr>
            <w:tcW w:w="24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One-month SOFR</w:t>
            </w:r>
          </w:p>
        </w:tc>
        <w:tc>
          <w:tcPr>
            <w:tcW w:w="2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Six-month SOFR</w:t>
            </w: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0.39%</w:t>
            </w:r>
          </w:p>
        </w:tc>
      </w:tr>
    </w:tbl>
    <w:p>
      <w:pPr>
        <w:spacing w:after="0" w:line="187"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Certain of our vendors require letters of credit to ensure reimbursement for accounts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308" w:lineRule="auto"/>
        <w:rPr>
          <w:sz w:val="20"/>
          <w:szCs w:val="20"/>
          <w:color w:val="auto"/>
        </w:rPr>
      </w:pPr>
      <w:r>
        <w:rPr>
          <w:rFonts w:ascii="Arial" w:cs="Arial" w:eastAsia="Arial" w:hAnsi="Arial"/>
          <w:sz w:val="17"/>
          <w:szCs w:val="17"/>
          <w:color w:val="auto"/>
        </w:rPr>
        <w:t>Commitment fees are payable on the portion of the revolving loan capacity not in use for borrowings or letters of credit at any given time. Letter of credit fees and commitment fees are based on the Net Leverage Ratio.</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Less than</w:t>
            </w:r>
          </w:p>
        </w:tc>
        <w:tc>
          <w:tcPr>
            <w:tcW w:w="700" w:type="dxa"/>
            <w:vAlign w:val="bottom"/>
          </w:tcPr>
          <w:p>
            <w:pPr>
              <w:spacing w:after="0"/>
              <w:rPr>
                <w:sz w:val="14"/>
                <w:szCs w:val="14"/>
                <w:color w:val="auto"/>
              </w:rPr>
            </w:pPr>
          </w:p>
        </w:tc>
        <w:tc>
          <w:tcPr>
            <w:tcW w:w="2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6"/>
              </w:rPr>
              <w:t>Net Leverage Ratio</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3.00 or</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w w:val="87"/>
              </w:rPr>
              <w:t>1.00 to less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1.75 to less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2.50 to less</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spacing w:after="0"/>
              <w:rPr>
                <w:sz w:val="14"/>
                <w:szCs w:val="14"/>
                <w:color w:val="auto"/>
              </w:rPr>
            </w:pPr>
          </w:p>
        </w:tc>
        <w:tc>
          <w:tcPr>
            <w:tcW w:w="9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8"/>
              </w:rPr>
              <w:t>than 1.75</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than 2.50</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than 3.00</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greater</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Per Annum Interest Margin Added Under:</w:t>
            </w: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Base Rate Loan Option</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0.00 %</w:t>
            </w:r>
          </w:p>
        </w:tc>
        <w:tc>
          <w:tcPr>
            <w:tcW w:w="940" w:type="dxa"/>
            <w:vAlign w:val="bottom"/>
            <w:gridSpan w:val="2"/>
          </w:tcPr>
          <w:p>
            <w:pPr>
              <w:jc w:val="right"/>
              <w:ind w:right="28"/>
              <w:spacing w:after="0"/>
              <w:rPr>
                <w:sz w:val="20"/>
                <w:szCs w:val="20"/>
                <w:color w:val="auto"/>
              </w:rPr>
            </w:pPr>
            <w:r>
              <w:rPr>
                <w:rFonts w:ascii="Arial" w:cs="Arial" w:eastAsia="Arial" w:hAnsi="Arial"/>
                <w:sz w:val="18"/>
                <w:szCs w:val="18"/>
                <w:color w:val="auto"/>
              </w:rPr>
              <w:t>0.25 %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0.50 %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0.75 %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SOFR Loan Option</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9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1.25 %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1.75 %</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Letter of credit fees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1.00 %</w:t>
            </w:r>
          </w:p>
        </w:tc>
        <w:tc>
          <w:tcPr>
            <w:tcW w:w="940" w:type="dxa"/>
            <w:vAlign w:val="bottom"/>
            <w:gridSpan w:val="2"/>
          </w:tcPr>
          <w:p>
            <w:pPr>
              <w:jc w:val="right"/>
              <w:ind w:right="28"/>
              <w:spacing w:after="0"/>
              <w:rPr>
                <w:sz w:val="20"/>
                <w:szCs w:val="20"/>
                <w:color w:val="auto"/>
              </w:rPr>
            </w:pPr>
            <w:r>
              <w:rPr>
                <w:rFonts w:ascii="Arial" w:cs="Arial" w:eastAsia="Arial" w:hAnsi="Arial"/>
                <w:sz w:val="18"/>
                <w:szCs w:val="18"/>
                <w:color w:val="auto"/>
              </w:rPr>
              <w:t>1.25 %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Commitment fees on any portion of the Revolving Loan</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7"/>
              </w:rPr>
              <w:t>capacity not in use for borrowings or letters of credit at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any given time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0.15 %</w:t>
            </w:r>
          </w:p>
        </w:tc>
        <w:tc>
          <w:tcPr>
            <w:tcW w:w="9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0.175 %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0.225 %</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59" w:firstLine="648"/>
        <w:spacing w:after="0" w:line="277" w:lineRule="auto"/>
        <w:rPr>
          <w:sz w:val="20"/>
          <w:szCs w:val="20"/>
          <w:color w:val="auto"/>
        </w:rPr>
      </w:pPr>
      <w:r>
        <w:rPr>
          <w:rFonts w:ascii="Arial" w:cs="Arial" w:eastAsia="Arial" w:hAnsi="Arial"/>
          <w:sz w:val="18"/>
          <w:szCs w:val="18"/>
          <w:color w:val="auto"/>
        </w:rPr>
        <w:t>The weighted average interest rate applicable to the borrowings under the revolving credit facility was approximately 2.8% as of June 30, 2022.</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Notes to Former Owners</w:t>
      </w:r>
    </w:p>
    <w:p>
      <w:pPr>
        <w:spacing w:after="0" w:line="225" w:lineRule="exact"/>
        <w:rPr>
          <w:sz w:val="20"/>
          <w:szCs w:val="20"/>
          <w:color w:val="auto"/>
        </w:rPr>
      </w:pPr>
    </w:p>
    <w:p>
      <w:pPr>
        <w:ind w:left="40" w:right="299" w:firstLine="648"/>
        <w:spacing w:after="0" w:line="286" w:lineRule="auto"/>
        <w:rPr>
          <w:sz w:val="20"/>
          <w:szCs w:val="20"/>
          <w:color w:val="auto"/>
        </w:rPr>
      </w:pPr>
      <w:r>
        <w:rPr>
          <w:rFonts w:ascii="Arial" w:cs="Arial" w:eastAsia="Arial" w:hAnsi="Arial"/>
          <w:sz w:val="17"/>
          <w:szCs w:val="17"/>
          <w:color w:val="auto"/>
        </w:rPr>
        <w:t>As part of the consideration used to acquire nine companies, we have outstanding notes to the former owners. Together, these notes had an outstanding balance of $45.4 million as of June 30, 2022. At June 30, 2022, future principal payments of notes to former owners by maturity year are as follows (dollars in thousands):</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b w:val="1"/>
                <w:bCs w:val="1"/>
                <w:color w:val="auto"/>
              </w:rPr>
              <w:t>Balance at</w:t>
            </w:r>
          </w:p>
        </w:tc>
        <w:tc>
          <w:tcPr>
            <w:tcW w:w="200" w:type="dxa"/>
            <w:vAlign w:val="bottom"/>
          </w:tcPr>
          <w:p>
            <w:pPr>
              <w:spacing w:after="0"/>
              <w:rPr>
                <w:sz w:val="14"/>
                <w:szCs w:val="14"/>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Range of Stated</w:t>
            </w:r>
          </w:p>
        </w:tc>
      </w:tr>
      <w:tr>
        <w:trPr>
          <w:trHeight w:val="171"/>
        </w:trPr>
        <w:tc>
          <w:tcPr>
            <w:tcW w:w="3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Interest Rates</w:t>
            </w:r>
          </w:p>
        </w:tc>
      </w:tr>
      <w:tr>
        <w:trPr>
          <w:trHeight w:val="223"/>
        </w:trPr>
        <w:tc>
          <w:tcPr>
            <w:tcW w:w="3840" w:type="dxa"/>
            <w:vAlign w:val="bottom"/>
            <w:shd w:val="clear" w:color="auto" w:fill="CCEEFF"/>
          </w:tcPr>
          <w:p>
            <w:pPr>
              <w:jc w:val="right"/>
              <w:ind w:right="317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r>
      <w:tr>
        <w:trPr>
          <w:trHeight w:val="230"/>
        </w:trPr>
        <w:tc>
          <w:tcPr>
            <w:tcW w:w="3840" w:type="dxa"/>
            <w:vAlign w:val="bottom"/>
          </w:tcPr>
          <w:p>
            <w:pPr>
              <w:jc w:val="right"/>
              <w:ind w:right="317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29"/>
        </w:trPr>
        <w:tc>
          <w:tcPr>
            <w:tcW w:w="3840" w:type="dxa"/>
            <w:vAlign w:val="bottom"/>
            <w:shd w:val="clear" w:color="auto" w:fill="CCEEFF"/>
          </w:tcPr>
          <w:p>
            <w:pPr>
              <w:jc w:val="right"/>
              <w:ind w:right="317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2.5 - 3.0 </w:t>
            </w:r>
            <w:r>
              <w:rPr>
                <w:rFonts w:ascii="Arial" w:cs="Arial" w:eastAsia="Arial" w:hAnsi="Arial"/>
                <w:sz w:val="19"/>
                <w:szCs w:val="19"/>
                <w:color w:val="auto"/>
              </w:rPr>
              <w:t>%</w:t>
            </w:r>
          </w:p>
        </w:tc>
      </w:tr>
      <w:tr>
        <w:trPr>
          <w:trHeight w:val="230"/>
        </w:trPr>
        <w:tc>
          <w:tcPr>
            <w:tcW w:w="3840" w:type="dxa"/>
            <w:vAlign w:val="bottom"/>
          </w:tcPr>
          <w:p>
            <w:pPr>
              <w:jc w:val="right"/>
              <w:ind w:right="317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2.3 - 2.5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3840" w:type="dxa"/>
            <w:vAlign w:val="bottom"/>
            <w:shd w:val="clear" w:color="auto" w:fill="CCEEFF"/>
          </w:tcPr>
          <w:p>
            <w:pPr>
              <w:jc w:val="right"/>
              <w:ind w:right="317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10"/>
        </w:trPr>
        <w:tc>
          <w:tcPr>
            <w:tcW w:w="3840" w:type="dxa"/>
            <w:vAlign w:val="bottom"/>
          </w:tcPr>
          <w:p>
            <w:pPr>
              <w:jc w:val="right"/>
              <w:ind w:right="307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We lease certain facilities, vehicles and equipment primarily under noncancelable operating leases. The most significant portion of these noncancelable operating leases are for the facilities occupied by our corporate office and our operating locations. We have finance leases on vehicles that are not material to our consolidated financial position. Leases with an initial term of 12 months or less are not recorded in the Balance Sheet. We do not separate lease components from their associated non-lease components pursuant to lease accounting guidance. We have certain leases with variable payments based on an index as well as some short-term leases on equipment and facilities. Variable lease expense and short-term lease expense were not material to our financial statements and aggregated to $8.1 million and $3.6 million in the first six months of 2022 and 2021, respectively. Lease right-of-use assets and liabilities are recognized at commencement date based on the present value of lease payments over the lease term. As most of our leases do not provide an implicit rate, we generally use our incremental borrowing rate based on the information available at commencement date in determining the present value of lease payments. The weighted average discount rate for our operating leases as of June 30, 2022 and December 31, 2021 was 4.1% and 4.0%, respectively. We recognize operating lease expense, including escalating lease payments and lease incentives, on a straight-line basis over the lease term. Operating lease expense for the three months ended June 30, 2022 and 2021 was $10.8 million and $7.1 million, respectively. Operating lease expense for the six months ended June 30, 2022 and 2021 was $21.2 million and $14.4 million, respectively.</w:t>
      </w:r>
    </w:p>
    <w:p>
      <w:pPr>
        <w:spacing w:after="0" w:line="167"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7"/>
          <w:szCs w:val="17"/>
          <w:color w:val="auto"/>
        </w:rPr>
        <w:t>The lease terms generally range from three to ten years. Some leases include one or more options to renew, which may be exercised to extend the lease term. We include the exercise of lease renewal options in the lease term when it is reasonably certain that we will exercise the option and such exercise is at our sole discretion. The weighted</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remaining lease term for our operating leases was 8.2 years at June 30, 2022 and 8.7 years at December 31, 2021.</w:t>
      </w:r>
    </w:p>
    <w:p>
      <w:pPr>
        <w:spacing w:after="0" w:line="248"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A majority of the Company’s real property leases are with individuals or entities with whom we have no other business relationship. However, in certain instances the Company enters into real property leases with current or former employees. Rent paid to related parties for the three months ended June 30, 2022 and 2021 was approximately $1.8 million and $1.3 million, respectively. Rent paid to related parties for the six months ended June 30, 2022 and 2021 was approximately $3.5 million and $2.5 million, respectively.</w:t>
      </w:r>
    </w:p>
    <w:p>
      <w:pPr>
        <w:spacing w:after="0" w:line="188" w:lineRule="exact"/>
        <w:rPr>
          <w:sz w:val="20"/>
          <w:szCs w:val="20"/>
          <w:color w:val="auto"/>
        </w:rPr>
      </w:pPr>
    </w:p>
    <w:p>
      <w:pPr>
        <w:ind w:left="40" w:right="439" w:firstLine="648"/>
        <w:spacing w:after="0" w:line="259" w:lineRule="auto"/>
        <w:rPr>
          <w:sz w:val="20"/>
          <w:szCs w:val="20"/>
          <w:color w:val="auto"/>
        </w:rPr>
      </w:pPr>
      <w:r>
        <w:rPr>
          <w:rFonts w:ascii="Arial" w:cs="Arial" w:eastAsia="Arial" w:hAnsi="Arial"/>
          <w:sz w:val="18"/>
          <w:szCs w:val="18"/>
          <w:color w:val="auto"/>
        </w:rPr>
        <w:t>If we decide to cancel or terminate a lease before the end of its term, we would typically owe the lessor the remaining lease payments under the term of the lease. Our lease agreements do not contain any material residual value guarantees or material restrictive covenants. On rare occasions, we rent or sublease certain real estate assets that we no longer use to third parties.</w:t>
      </w:r>
    </w:p>
    <w:p>
      <w:pPr>
        <w:spacing w:after="0" w:line="187"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Finance lease right-of-use assets are included in “Property and equipment, net,” and current and long-term finance lease liabilities are included within “Current maturities of long-term debt” and “Long-term debt, net,” respectively, in the Consolidated Balance Sheet. The following table summarizes the operating lease assets and liabilities included in the Consolidated Balance Sheet as follows (in thousands):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132,681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124,756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r>
      <w:tr>
        <w:trPr>
          <w:trHeight w:val="216"/>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operating lease liabilities</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113,650</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107,701</w:t>
            </w:r>
          </w:p>
        </w:tc>
      </w:tr>
      <w:tr>
        <w:trPr>
          <w:trHeight w:val="209"/>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134,708</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126,751</w:t>
            </w:r>
          </w:p>
        </w:tc>
      </w:tr>
      <w:tr>
        <w:trPr>
          <w:trHeight w:val="20"/>
        </w:trPr>
        <w:tc>
          <w:tcPr>
            <w:tcW w:w="3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maturities of operating lease liabilities are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40" w:type="dxa"/>
            <w:vAlign w:val="bottom"/>
            <w:gridSpan w:val="4"/>
          </w:tcPr>
          <w:p>
            <w:pPr>
              <w:ind w:left="220"/>
              <w:spacing w:after="0"/>
              <w:rPr>
                <w:sz w:val="20"/>
                <w:szCs w:val="20"/>
                <w:color w:val="auto"/>
              </w:rPr>
            </w:pPr>
            <w:r>
              <w:rPr>
                <w:rFonts w:ascii="Arial" w:cs="Arial" w:eastAsia="Arial" w:hAnsi="Arial"/>
                <w:sz w:val="18"/>
                <w:szCs w:val="18"/>
                <w:color w:val="auto"/>
              </w:rPr>
              <w:t>2022 (excluding the six months ended June 30, 2022)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13,357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22,013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17,980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60,273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Total Lease Payments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159,297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Less—Present Value Discount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w w:val="90"/>
              </w:rPr>
              <w:t>Present Value of Operating Lease 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5"/>
              </w:rPr>
              <w:t>134,708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9"/>
            <w:vMerge w:val="restart"/>
          </w:tcPr>
          <w:p>
            <w:pPr>
              <w:ind w:left="660"/>
              <w:spacing w:after="0"/>
              <w:rPr>
                <w:sz w:val="20"/>
                <w:szCs w:val="20"/>
                <w:color w:val="auto"/>
              </w:rPr>
            </w:pPr>
            <w:r>
              <w:rPr>
                <w:rFonts w:ascii="Arial" w:cs="Arial" w:eastAsia="Arial" w:hAnsi="Arial"/>
                <w:sz w:val="18"/>
                <w:szCs w:val="18"/>
                <w:color w:val="auto"/>
                <w:w w:val="90"/>
              </w:rPr>
              <w:t>Supplemental information related to operating leases was as follows (in thousands):</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gridSpan w:val="9"/>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6"/>
          </w:tcPr>
          <w:p>
            <w:pPr>
              <w:jc w:val="right"/>
              <w:ind w:right="182"/>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3"/>
        </w:trPr>
        <w:tc>
          <w:tcPr>
            <w:tcW w:w="43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w w:val="93"/>
              </w:rPr>
              <w:t>Cash paid for amounts included in the measurement of operating</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13,016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10,700</w:t>
            </w:r>
          </w:p>
        </w:tc>
        <w:tc>
          <w:tcPr>
            <w:tcW w:w="0" w:type="dxa"/>
            <w:vAlign w:val="bottom"/>
          </w:tcPr>
          <w:p>
            <w:pPr>
              <w:spacing w:after="0"/>
              <w:rPr>
                <w:sz w:val="1"/>
                <w:szCs w:val="1"/>
                <w:color w:val="auto"/>
              </w:rPr>
            </w:pPr>
          </w:p>
        </w:tc>
      </w:tr>
      <w:tr>
        <w:trPr>
          <w:trHeight w:val="193"/>
        </w:trPr>
        <w:tc>
          <w:tcPr>
            <w:tcW w:w="4340" w:type="dxa"/>
            <w:vAlign w:val="bottom"/>
            <w:gridSpan w:val="2"/>
          </w:tcPr>
          <w:p>
            <w:pPr>
              <w:spacing w:after="0"/>
              <w:rPr>
                <w:sz w:val="20"/>
                <w:szCs w:val="20"/>
                <w:color w:val="auto"/>
              </w:rPr>
            </w:pPr>
            <w:r>
              <w:rPr>
                <w:rFonts w:ascii="Arial" w:cs="Arial" w:eastAsia="Arial" w:hAnsi="Arial"/>
                <w:sz w:val="16"/>
                <w:szCs w:val="16"/>
                <w:color w:val="auto"/>
                <w:w w:val="91"/>
              </w:rPr>
              <w:t>Operating lease right-of-use assets obtained in exchange for lease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40" w:type="dxa"/>
            <w:vAlign w:val="bottom"/>
            <w:gridSpan w:val="2"/>
          </w:tcPr>
          <w:p>
            <w:pPr>
              <w:spacing w:after="0"/>
              <w:rPr>
                <w:sz w:val="20"/>
                <w:szCs w:val="20"/>
                <w:color w:val="auto"/>
              </w:rPr>
            </w:pPr>
            <w:r>
              <w:rPr>
                <w:rFonts w:ascii="Arial" w:cs="Arial" w:eastAsia="Arial" w:hAnsi="Arial"/>
                <w:sz w:val="16"/>
                <w:szCs w:val="16"/>
                <w:color w:val="auto"/>
              </w:rPr>
              <w:t>liabilities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13,455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2,927</w:t>
            </w:r>
          </w:p>
        </w:tc>
        <w:tc>
          <w:tcPr>
            <w:tcW w:w="10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18,369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9,359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Claims and Lawsuits</w:t>
      </w:r>
    </w:p>
    <w:p>
      <w:pPr>
        <w:spacing w:after="0" w:line="225" w:lineRule="exact"/>
        <w:rPr>
          <w:sz w:val="20"/>
          <w:szCs w:val="20"/>
          <w:color w:val="auto"/>
        </w:rPr>
      </w:pPr>
    </w:p>
    <w:p>
      <w:pPr>
        <w:jc w:val="both"/>
        <w:ind w:left="40" w:right="199" w:firstLine="648"/>
        <w:spacing w:after="0" w:line="286" w:lineRule="auto"/>
        <w:rPr>
          <w:sz w:val="20"/>
          <w:szCs w:val="20"/>
          <w:color w:val="auto"/>
        </w:rPr>
      </w:pPr>
      <w:r>
        <w:rPr>
          <w:rFonts w:ascii="Arial" w:cs="Arial" w:eastAsia="Arial" w:hAnsi="Arial"/>
          <w:sz w:val="17"/>
          <w:szCs w:val="17"/>
          <w:color w:val="auto"/>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accompanying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87"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We are in a dispute with a customer regarding the outcome of a completed project and also regarding the obligation to perform subcontract work under two executed letters of intent for subsequent projects that we believe are not enforceable. The customer is claiming approximately $12 million in damages related to performance of the original project as well as excess costs to perform the work that was subject to the letters of intent. We are claiming approximately $9 million composed of unpaid amounts under the completed contract as well as costs and inefficiencies that we suffered. We have a lien on the project. Arbitration for this matter was completed in the second quarter of 2022, and we expect a decision in the third quarter of 2022. As of June 30, 2022, we recorded an accrual for this matter based on our analysis of likely outcomes related to this dispute; however, it is possible that the ultimate outcome and associated costs will deviate from our estimates and that, in the event of an unexpectedly adverse outcome, we may experience additional costs and expenses in future periods.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Surety</w:t>
      </w:r>
    </w:p>
    <w:p>
      <w:pPr>
        <w:spacing w:after="0" w:line="225" w:lineRule="exact"/>
        <w:rPr>
          <w:sz w:val="20"/>
          <w:szCs w:val="20"/>
          <w:color w:val="auto"/>
        </w:rPr>
      </w:pPr>
    </w:p>
    <w:p>
      <w:pPr>
        <w:ind w:left="40" w:right="299" w:firstLine="648"/>
        <w:spacing w:after="0" w:line="301"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w:t>
      </w:r>
    </w:p>
    <w:p>
      <w:pPr>
        <w:spacing w:after="0" w:line="157" w:lineRule="exact"/>
        <w:rPr>
          <w:sz w:val="20"/>
          <w:szCs w:val="20"/>
          <w:color w:val="auto"/>
        </w:rPr>
      </w:pPr>
    </w:p>
    <w:p>
      <w:pPr>
        <w:ind w:left="40" w:right="239" w:firstLine="648"/>
        <w:spacing w:after="0" w:line="253" w:lineRule="auto"/>
        <w:rPr>
          <w:sz w:val="20"/>
          <w:szCs w:val="20"/>
          <w:color w:val="auto"/>
        </w:rPr>
      </w:pPr>
      <w:r>
        <w:rPr>
          <w:rFonts w:ascii="Arial" w:cs="Arial" w:eastAsia="Arial" w:hAnsi="Arial"/>
          <w:sz w:val="18"/>
          <w:szCs w:val="18"/>
          <w:color w:val="auto"/>
        </w:rPr>
        <w:t>Current market conditions for surety markets and bonding capacity are adequate, with acceptable terms and conditions. Historically, approximately 15% to 25% of our business has required bonds. While we currently have strong surety relationships to support our bonding needs, future market conditions or changes in the sureties’ assessment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We are substantially self-insured for workers’ compensation, employer’s liability, auto liability, general liability and employee group health claims, in view of the relatively high per-incident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longer-developing risks, such as workers’ compensation, auto liability and general liability, are reviewed by a third-party actuary quarterly.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Basic earnings per share (“EPS”) is computed by dividing net income by the weighted average number of shares of common stock outstanding during the year. Diluted EPS is computed considering the dilutive effect of stock options, restricted stock, restricted stock units and performance stock units. The vesting of unvested, contingently issuable performance stock units is based on the achievement of certain earnings per share targets and total shareholder return. These shares are considered contingently issuable shares for purposes of calculating diluted earnings per share. These shares are not included in the diluted earnings per share denominator until the performance criteria are met, if it is assumed that the end of the reporting period was the end of the contingency period.</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199" w:firstLine="648"/>
        <w:spacing w:after="0" w:line="311" w:lineRule="auto"/>
        <w:rPr>
          <w:sz w:val="20"/>
          <w:szCs w:val="20"/>
          <w:color w:val="auto"/>
        </w:rPr>
      </w:pPr>
      <w:r>
        <w:rPr>
          <w:rFonts w:ascii="Arial" w:cs="Arial" w:eastAsia="Arial" w:hAnsi="Arial"/>
          <w:sz w:val="16"/>
          <w:szCs w:val="16"/>
          <w:color w:val="auto"/>
        </w:rPr>
        <w:t>Unvested restricted stock, restricted stock units and performance stock units are included in diluted earnings per share, weighted outstanding until the shares and units vest. Upon vesting, the vested restricted stock, restricted stock units and performance stock units are included in basic earnings per share weighted outstanding from the vesting date.</w:t>
      </w:r>
    </w:p>
    <w:p>
      <w:pPr>
        <w:spacing w:after="0" w:line="149"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There were zero anti-dilutive stock options excluded from the calculation of diluted EPS for the three and six months ended June 30, 2022. There were less than 0.1 million anti-dilutive stock options excluded from the calculation of diluted EPS for the three and six months ended June 30, 2021.</w:t>
      </w:r>
    </w:p>
    <w:p>
      <w:pPr>
        <w:spacing w:after="0" w:line="184" w:lineRule="exact"/>
        <w:rPr>
          <w:sz w:val="20"/>
          <w:szCs w:val="20"/>
          <w:color w:val="auto"/>
        </w:rPr>
      </w:pPr>
    </w:p>
    <w:p>
      <w:pPr>
        <w:ind w:left="40" w:right="419" w:firstLine="648"/>
        <w:spacing w:after="0" w:line="277" w:lineRule="auto"/>
        <w:rPr>
          <w:sz w:val="20"/>
          <w:szCs w:val="20"/>
          <w:color w:val="auto"/>
        </w:rPr>
      </w:pPr>
      <w:r>
        <w:rPr>
          <w:rFonts w:ascii="Arial" w:cs="Arial" w:eastAsia="Arial" w:hAnsi="Arial"/>
          <w:sz w:val="18"/>
          <w:szCs w:val="18"/>
          <w:color w:val="auto"/>
        </w:rPr>
        <w:t>The following table reconciles the number of shares outstanding with the number of shares used in computing basic and diluted earnings per share for each of the periods presented (in thousands):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98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36,349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36,349</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computing earnings per share—basic</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36,403</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36,345</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4980" w:type="dxa"/>
            <w:vAlign w:val="bottom"/>
          </w:tcPr>
          <w:p>
            <w:pPr>
              <w:spacing w:after="0" w:line="201" w:lineRule="exact"/>
              <w:rPr>
                <w:sz w:val="20"/>
                <w:szCs w:val="20"/>
                <w:color w:val="auto"/>
              </w:rPr>
            </w:pPr>
            <w:r>
              <w:rPr>
                <w:rFonts w:ascii="Arial" w:cs="Arial" w:eastAsia="Arial" w:hAnsi="Arial"/>
                <w:sz w:val="18"/>
                <w:szCs w:val="18"/>
                <w:color w:val="auto"/>
                <w:w w:val="98"/>
              </w:rPr>
              <w:t>Effect of shares issuable under stock option plans based on the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treasury stock method</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 of restricted and contingently issuable shares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Shares used in computing earnings per share—diluted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36,073</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36,566</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36,130</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36,533</w:t>
            </w:r>
          </w:p>
        </w:tc>
        <w:tc>
          <w:tcPr>
            <w:tcW w:w="6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17, 2022, the Board approved an extension to the program by increasing the shares authorized for repurchase by 0.7 million shares. Since the inception of the repurchase program, the Board has approved 10.9 million shares to be repurchased. As of June 30, 2022, we have repurchased a cumulative total of 10.1 million shares at an average price of $24.12 per share under the repurchase program.</w:t>
      </w:r>
    </w:p>
    <w:p>
      <w:pPr>
        <w:spacing w:after="0" w:line="195"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six months ended June 30, 2022, we repurchased 0.4 million shares for approximately $32.9 million at an average price of $84.61 per share.</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left="40" w:right="119" w:firstLine="648"/>
        <w:spacing w:after="0" w:line="311" w:lineRule="auto"/>
        <w:rPr>
          <w:sz w:val="20"/>
          <w:szCs w:val="20"/>
          <w:color w:val="auto"/>
        </w:rPr>
      </w:pPr>
      <w:r>
        <w:rPr>
          <w:rFonts w:ascii="Arial" w:cs="Arial" w:eastAsia="Arial" w:hAnsi="Arial"/>
          <w:sz w:val="16"/>
          <w:szCs w:val="16"/>
          <w:color w:val="auto"/>
        </w:rPr>
        <w:t>Our activities are within the mechanical services industry and the electrical services industry, which represent our two reportable segments. We aggregate our operating segments into two reportable segments, as the operating segments meet all of the aggregation criteria. The following tables present information about our reportable segments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 June 30, 2022</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Mechanical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Electrical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42"/>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241,191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1,017,948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138,605</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36,387</w:t>
            </w:r>
          </w:p>
        </w:tc>
        <w:tc>
          <w:tcPr>
            <w:tcW w:w="4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174,992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 June 30, 2021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Mechanical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rPr>
              <w:t>Electrical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713,895</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112,405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14,050</w:t>
            </w:r>
          </w:p>
        </w:tc>
        <w:tc>
          <w:tcPr>
            <w:tcW w:w="4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126,455</w:t>
            </w:r>
          </w:p>
        </w:tc>
        <w:tc>
          <w:tcPr>
            <w:tcW w:w="0" w:type="dxa"/>
            <w:vAlign w:val="bottom"/>
          </w:tcPr>
          <w:p>
            <w:pPr>
              <w:spacing w:after="0"/>
              <w:rPr>
                <w:sz w:val="1"/>
                <w:szCs w:val="1"/>
                <w:color w:val="auto"/>
              </w:rPr>
            </w:pPr>
          </w:p>
        </w:tc>
      </w:tr>
      <w:tr>
        <w:trPr>
          <w:trHeight w:val="350"/>
        </w:trPr>
        <w:tc>
          <w:tcPr>
            <w:tcW w:w="2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Six Months Ended June 30, 2022</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Mechanical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rPr>
              <w:t>Electrical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1,903,164</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265,333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62,803</w:t>
            </w:r>
          </w:p>
        </w:tc>
        <w:tc>
          <w:tcPr>
            <w:tcW w:w="4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328,136</w:t>
            </w:r>
          </w:p>
        </w:tc>
        <w:tc>
          <w:tcPr>
            <w:tcW w:w="0" w:type="dxa"/>
            <w:vAlign w:val="bottom"/>
          </w:tcPr>
          <w:p>
            <w:pPr>
              <w:spacing w:after="0"/>
              <w:rPr>
                <w:sz w:val="1"/>
                <w:szCs w:val="1"/>
                <w:color w:val="auto"/>
              </w:rPr>
            </w:pPr>
          </w:p>
        </w:tc>
      </w:tr>
      <w:tr>
        <w:trPr>
          <w:trHeight w:val="350"/>
        </w:trPr>
        <w:tc>
          <w:tcPr>
            <w:tcW w:w="2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Six Months Ended June 30, 2021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Mechanical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rPr>
              <w:t>Electrical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1,383,656</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220,533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29,391</w:t>
            </w:r>
          </w:p>
        </w:tc>
        <w:tc>
          <w:tcPr>
            <w:tcW w:w="4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249,924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The following discussion and analysis should be read in conjunction with our historical Consolidated Financial Statements and related notes included elsewhere in this Form 10-Q and the Annual Report on Form 10-K filed with the Securities and Exchange Commission for the year ended December 31, 2021 (the “Form 10-K”). This discussion contains “forward-looking statements” regarding our business and industry within the meaning of applicable securities laws and regulations. These statements are based on our current plans and expectations and involve risks and uncertainties that could cause our actual future activities and results of operations to be materially different from those set forth in the forward-looking statements. Important factors that could cause actual results to differ include risks set forth in “Item 1A. Risk Factors” included in our Form 10-K. We undertake no obligation to revise or publicly release the results of any revision to these forward-looking statements, except as required by law. Given these risks and uncertainties, readers are cautioned not to place undue reliance on such forward-looking statements. The terms “Comfort Systems,” “we,” “us,” or the “Company,” refer to Comfort Systems USA, Inc. or Comfort Systems USA, Inc. and its consolidated subsidiaries, as appropriate in the context.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Introduction and Overview</w:t>
      </w:r>
    </w:p>
    <w:p>
      <w:pPr>
        <w:spacing w:after="0" w:line="225"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We are a national provider of comprehensive mechanical and electrical installation, renovation, maintenance, repair and replacement services within the mechanical and electrical services industries. We operate primarily in the commercial, industrial and institutional markets and perform most of our work in industrial, healthcare, education, office, technology, retail and government facilities. We operate our business in two business segments: mechanical and electrical.</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Nature and Economics of Our Business</w:t>
      </w:r>
    </w:p>
    <w:p>
      <w:pPr>
        <w:spacing w:after="0" w:line="225" w:lineRule="exact"/>
        <w:rPr>
          <w:sz w:val="20"/>
          <w:szCs w:val="20"/>
          <w:color w:val="auto"/>
        </w:rPr>
      </w:pPr>
    </w:p>
    <w:p>
      <w:pPr>
        <w:jc w:val="both"/>
        <w:ind w:left="40" w:right="379" w:firstLine="648"/>
        <w:spacing w:after="0" w:line="257" w:lineRule="auto"/>
        <w:rPr>
          <w:sz w:val="20"/>
          <w:szCs w:val="20"/>
          <w:color w:val="auto"/>
        </w:rPr>
      </w:pPr>
      <w:r>
        <w:rPr>
          <w:rFonts w:ascii="Arial" w:cs="Arial" w:eastAsia="Arial" w:hAnsi="Arial"/>
          <w:sz w:val="18"/>
          <w:szCs w:val="18"/>
          <w:color w:val="auto"/>
        </w:rPr>
        <w:t>In our mechanical business segment, customers hire us to ensure HVAC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w:t>
      </w:r>
    </w:p>
    <w:p>
      <w:pPr>
        <w:spacing w:after="0" w:line="188"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In our electrical business segment, our principal business activity is electrical construction and engineering in the commercial and industrial field. We also perform electrical logistics services, electrical service work, and electrical construction and engineering services.</w:t>
      </w:r>
    </w:p>
    <w:p>
      <w:pPr>
        <w:spacing w:after="0" w:line="184" w:lineRule="exact"/>
        <w:rPr>
          <w:sz w:val="20"/>
          <w:szCs w:val="20"/>
          <w:color w:val="auto"/>
        </w:rPr>
      </w:pPr>
    </w:p>
    <w:p>
      <w:pPr>
        <w:jc w:val="both"/>
        <w:ind w:left="40" w:right="439" w:firstLine="648"/>
        <w:spacing w:after="0" w:line="275" w:lineRule="auto"/>
        <w:rPr>
          <w:sz w:val="20"/>
          <w:szCs w:val="20"/>
          <w:color w:val="auto"/>
        </w:rPr>
      </w:pPr>
      <w:r>
        <w:rPr>
          <w:rFonts w:ascii="Arial" w:cs="Arial" w:eastAsia="Arial" w:hAnsi="Arial"/>
          <w:sz w:val="17"/>
          <w:szCs w:val="17"/>
          <w:color w:val="auto"/>
        </w:rPr>
        <w:t>In both our mechanical and electrical business segments, our responsibilities usually require conforming the systems to pre-established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spacing w:after="0" w:line="176"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Approximately 86.6% of our revenue is earned on a project basis for installation services in newly constructed facilities or for replacement of systems in existing facilities. 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provider vary widely and include factors such as quality, technical expertise, on-time performance, post-project support and service, and company history and financial strength, we believe that price for value is the most influential factor for most customers in choosing a mechanical or electrical installation and service provider.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After a customer accepts our bid, we generally enter into a contract with the customer that specifies what we will deliver on the project, what our related responsibilities are, and how much and when we will be paid. Our overall 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spacing w:after="0" w:line="178"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Labor, materials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cost-plus or a time and materials basis, under which we are paid our costs incurred plus an agreed-upon profit margin, and such projects are sometimes subject to a guaranteed maximum cost. These margins are frequently less than fixed-price contract margins because there is less risk of unrecoverable cost overruns in cost-plus or time and materials work.</w:t>
      </w:r>
    </w:p>
    <w:p>
      <w:pPr>
        <w:spacing w:after="0" w:line="192"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As of June 30, 2022, we had 9,410 projects in process. Our average project takes six to nine months to complete, with an average contract price of approximately $777,000.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consider to be a well-diversified distribution of revenue across end-use sectors that we believe reduces our exposure to negative developments in any given sector. Because of the integral nature of our services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also perform larger projects. Taken together, projects with contract prices of $1 million or more totaled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$6.4 billion of aggregate contract value as of June 30, 2022, or approximately 87% of a total contract value for all projects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progress, totaling $7.3 billion. Generally, projects closer in size to $1 million will be completed in one year or less. It is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unusual for us to work on a project that exceeds two years in length.</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stratification of projects in progress as of June 30, 2022, by contract price, is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Contract</w:t>
            </w:r>
          </w:p>
        </w:tc>
      </w:t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No. of</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Price Value</w:t>
            </w:r>
          </w:p>
        </w:tc>
      </w:tr>
      <w:tr>
        <w:trPr>
          <w:trHeight w:val="185"/>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Contract Price of Project</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Projects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(millions)</w:t>
            </w: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Under $1 million</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$1 million - $5 million</w:t>
            </w:r>
          </w:p>
        </w:tc>
        <w:tc>
          <w:tcPr>
            <w:tcW w:w="940" w:type="dxa"/>
            <w:vAlign w:val="bottom"/>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1,737.7</w:t>
            </w:r>
          </w:p>
        </w:tc>
        <w:tc>
          <w:tcPr>
            <w:tcW w:w="4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million - $10 million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4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$10 million - $15 million</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702.8</w:t>
            </w:r>
          </w:p>
        </w:tc>
        <w:tc>
          <w:tcPr>
            <w:tcW w:w="4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 million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2,778.0</w:t>
            </w:r>
          </w:p>
        </w:tc>
        <w:tc>
          <w:tcPr>
            <w:tcW w:w="40" w:type="dxa"/>
            <w:vAlign w:val="bottom"/>
            <w:shd w:val="clear" w:color="auto" w:fill="CCEEFF"/>
          </w:tcPr>
          <w:p>
            <w:pPr>
              <w:spacing w:after="0"/>
              <w:rPr>
                <w:sz w:val="18"/>
                <w:szCs w:val="18"/>
                <w:color w:val="auto"/>
              </w:rPr>
            </w:pPr>
          </w:p>
        </w:tc>
      </w:tr>
      <w:tr>
        <w:trPr>
          <w:trHeight w:val="209"/>
        </w:trPr>
        <w:tc>
          <w:tcPr>
            <w:tcW w:w="4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w:t>
            </w:r>
            <w:r>
              <w:rPr>
                <w:rFonts w:ascii="Arial" w:cs="Arial" w:eastAsia="Arial" w:hAnsi="Arial"/>
                <w:sz w:val="18"/>
                <w:szCs w:val="18"/>
                <w:u w:val="single" w:color="auto"/>
                <w:color w:val="auto"/>
              </w:rPr>
              <w:t>5</w:t>
            </w:r>
          </w:p>
        </w:tc>
        <w:tc>
          <w:tcPr>
            <w:tcW w:w="4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In addition to project work, approximately 13.4% of our revenue represents maintenance and repair service on already installed HVAC, electrical,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thirty days. We also provide maintenance and repair service under ongoing contracts. Under these contracts, we are paid regular monthly or quarterly amounts and provide specified service based on customer requirements. These agreements typically are for one or more years and frequently contain thirty- to sixty-day cancellation notice periods.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technicians to sites requiring service. We perform the majority of this work with our own employees, with the balance being subcontracted to third parties that meet our performance qualifications.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Profile and Management of Our Operations</w:t>
      </w:r>
    </w:p>
    <w:p>
      <w:pPr>
        <w:spacing w:after="0" w:line="225"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We manage our 42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management and execution practices, labor utilization, safety, training, and the make-up of both existing backlog as well as new business being pursued, in terms of project size, technical application, facility type, end-use customers and industries and location of the work.</w:t>
      </w:r>
    </w:p>
    <w:p>
      <w:pPr>
        <w:spacing w:after="0" w:line="178" w:lineRule="exact"/>
        <w:rPr>
          <w:sz w:val="20"/>
          <w:szCs w:val="20"/>
          <w:color w:val="auto"/>
        </w:rPr>
      </w:pPr>
    </w:p>
    <w:p>
      <w:pPr>
        <w:ind w:left="40" w:right="239" w:firstLine="648"/>
        <w:spacing w:after="0" w:line="273" w:lineRule="auto"/>
        <w:rPr>
          <w:sz w:val="20"/>
          <w:szCs w:val="20"/>
          <w:color w:val="auto"/>
        </w:rPr>
      </w:pPr>
      <w:r>
        <w:rPr>
          <w:rFonts w:ascii="Arial" w:cs="Arial" w:eastAsia="Arial" w:hAnsi="Arial"/>
          <w:sz w:val="17"/>
          <w:szCs w:val="17"/>
          <w:color w:val="auto"/>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non-competition protection where applicable.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Economic and Industry Factors</w:t>
      </w:r>
    </w:p>
    <w:p>
      <w:pPr>
        <w:spacing w:after="0" w:line="225"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As a mechanical and electrical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spacing w:after="0" w:line="195"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Environment and Management Emphasis</w:t>
      </w:r>
    </w:p>
    <w:p>
      <w:pPr>
        <w:spacing w:after="0" w:line="225"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During the five-year period from 2015 to 2019, there was an increase in nonresidential building construction and renovation activity levels. In 2020, the advent of a global pandemic led to some delays in service and construction, including delayed project starts and air pockets during 2020 and 2021. We believe that delays and air pockets have now substantially abated; however, we expect to continue to experience supply chain constraints and reduced labor availability during 2022.</w:t>
      </w:r>
    </w:p>
    <w:p>
      <w:pPr>
        <w:spacing w:after="0" w:line="188"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We have a credit facility in place with terms we believe are favorable that does not expire until July 2027. As of June 30, 2022, we had $434.4 million of credit available to borrow under our credit facility. We have strong surety relationships to support our bonding needs, and we believe our relationships with the surety markets are strong and benefit from our operating history and financial position. We have generated positive free cash flow in each of the last twenty-three calendar years and will continue our emphasis in this area. We believe that the relative size and strength of our Balance Sheet and surety relationships, as compared to most companies in our industry, represent competitive advantages for us.</w:t>
      </w:r>
    </w:p>
    <w:p>
      <w:pPr>
        <w:sectPr>
          <w:pgSz w:w="11900" w:h="16838" w:orient="portrait"/>
          <w:cols w:equalWidth="0" w:num="1">
            <w:col w:w="9019"/>
          </w:cols>
          <w:pgMar w:left="1440" w:top="51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199" w:firstLine="648"/>
        <w:spacing w:after="0" w:line="286" w:lineRule="auto"/>
        <w:rPr>
          <w:sz w:val="20"/>
          <w:szCs w:val="20"/>
          <w:color w:val="auto"/>
        </w:rPr>
      </w:pPr>
      <w:r>
        <w:rPr>
          <w:rFonts w:ascii="Arial" w:cs="Arial" w:eastAsia="Arial" w:hAnsi="Arial"/>
          <w:sz w:val="17"/>
          <w:szCs w:val="17"/>
          <w:color w:val="auto"/>
        </w:rPr>
        <w:t>As discussed at greater length in “Results of Operations” below, we expect price competition to continue as local and regional industry participants compete for customers. We will continue to invest in our service business, to pursue the more active sectors in our markets, and to emphasize our regional and national account business.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Cyclicality and Seasonality</w:t>
      </w:r>
    </w:p>
    <w:p>
      <w:pPr>
        <w:spacing w:after="0" w:line="225"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7"/>
          <w:szCs w:val="17"/>
          <w:color w:val="auto"/>
        </w:rPr>
        <w:t>The construction industry is subject to business cycle fluctuation.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spacing w:after="0" w:line="165"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The mechanical and electrical contracting industries are also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our services is generally higher in the second and third calendar quarters due to increased construction activity and increased use of air conditioning during the warmer months. Accordingly, we expect our revenue and operating results generally will be lower in the first calendar quarter.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31"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Management believes that there have been no significant changes during the three months ended June 30, 2022, to the items that we disclosed as our "Critical Accounting Policies and Estimates" in Management's Discussion and Analysis of Financial Condition and Results of Operations in our Annual Report on Form 10-K for the fiscal year ended December 31, 2021. A summary of significant accounting policies and a summary of recent accounting pronouncements applicable to our Consolidated Financial Statements are included in Note 2 “Summary of Significant Accounting Policies and Estimates”.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 (dollars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1"/>
              </w:rPr>
              <w:t>Six Months Ended 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59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1,017,948</w:t>
            </w:r>
          </w:p>
        </w:tc>
        <w:tc>
          <w:tcPr>
            <w:tcW w:w="1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713,895</w:t>
            </w:r>
          </w:p>
        </w:tc>
        <w:tc>
          <w:tcPr>
            <w:tcW w:w="16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1,903,164</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1,383,656</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1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842,956</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587,440</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1,575,028</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1,133,732</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126,455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Selling, general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and administrative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118,724</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87,549</w:t>
            </w:r>
          </w:p>
        </w:tc>
        <w:tc>
          <w:tcPr>
            <w:tcW w:w="16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12.3 %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236,500</w:t>
            </w: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175,763</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sale of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56,651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92,342</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(1,360)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Changes in the fair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7"/>
              </w:rPr>
              <w:t>value of contingent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earn-out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182"/>
        </w:trPr>
        <w:tc>
          <w:tcPr>
            <w:tcW w:w="1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53,515</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42,782</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Provision (benefit)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 income taxes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w:t>
            </w:r>
          </w:p>
        </w:tc>
        <w:tc>
          <w:tcPr>
            <w:tcW w:w="1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(37,784)</w:t>
            </w:r>
          </w:p>
        </w:tc>
        <w:tc>
          <w:tcPr>
            <w:tcW w:w="7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18,554</w:t>
            </w:r>
          </w:p>
        </w:tc>
        <w:tc>
          <w:tcPr>
            <w:tcW w:w="1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09"/>
        </w:trPr>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42,246</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32,965</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4.6 %</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59,456</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479" w:firstLine="648"/>
        <w:spacing w:after="0" w:line="342" w:lineRule="auto"/>
        <w:rPr>
          <w:sz w:val="20"/>
          <w:szCs w:val="20"/>
          <w:color w:val="auto"/>
        </w:rPr>
      </w:pPr>
      <w:r>
        <w:rPr>
          <w:rFonts w:ascii="Arial" w:cs="Arial" w:eastAsia="Arial" w:hAnsi="Arial"/>
          <w:sz w:val="16"/>
          <w:szCs w:val="16"/>
          <w:color w:val="auto"/>
        </w:rPr>
        <w:t>We had 41 operating locations as of December 31, 2021. In the second quarter of 2022, we completed the acquisition of Atlantic Electric, LLC (“Atlantic”), which reports as a separate operating location. We had 42 operating</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locations as of June 30, 2022. Acquisitions are included in our results of operations from the respective acquisition date. The same-store comparison from 2022 to 2021, as described below, excludes Atlantic, which was acquired on April 1, 2022, Amteck Holdco LLC (“Amteck”), which was acquired on August 1, 2021, Ivey Mechanical Company, LLC (“Ivey”), which was acquired on December 1, 2021 and MEP Holding Co., Inc. (“MEP Holdings”), which was acquired on December 31, 2021. An operating location is included in the same-store comparison on the first day it has comparable prior year operating data, except for immaterial acquisitions that are often absorbed and integrated with existing operations.</w:t>
      </w:r>
    </w:p>
    <w:p>
      <w:pPr>
        <w:spacing w:after="0" w:line="164"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—Revenue for the second quarter of 2022 increased $304.1 million, or 42.6%, to $1.02 billion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2021. The increase included a 24.7% increase in revenue related to same-store activity and a 17.9% increase related to the Atlantic, Amteck, Ivey and MEP Holdings acquisitions. The same-store revenue growth was largely driven by strong market conditions including the increase in our backlog, as well as the impact of inflation on our cost of goods sold that were passed on to our customers.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operating segment revenue (in thousands, except percentages):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w w:val="94"/>
              </w:rPr>
              <w:t>Three Months Ended June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09"/>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80" w:type="dxa"/>
            <w:vAlign w:val="bottom"/>
          </w:tcPr>
          <w:p>
            <w:pPr>
              <w:ind w:left="100"/>
              <w:spacing w:after="0"/>
              <w:rPr>
                <w:sz w:val="20"/>
                <w:szCs w:val="20"/>
                <w:color w:val="auto"/>
              </w:rPr>
            </w:pPr>
            <w:r>
              <w:rPr>
                <w:rFonts w:ascii="Arial" w:cs="Arial" w:eastAsia="Arial" w:hAnsi="Arial"/>
                <w:sz w:val="18"/>
                <w:szCs w:val="18"/>
                <w:color w:val="auto"/>
              </w:rPr>
              <w:t>Mechanical Services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776,757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76.3</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611,796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 Services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102,099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9"/>
        </w:trPr>
        <w:tc>
          <w:tcPr>
            <w:tcW w:w="2080" w:type="dxa"/>
            <w:vAlign w:val="bottom"/>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1,017,948</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713,895</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Revenue for our mechanical services segment increased $165.0 million, or 27.0%, to $776.8 million for the second quarter of 2022 compared to the same period in 2021. The increase was broad-based and included the acquisition of Ivey ($47.2 million), as well as an increase in activity in the industrial sector at our North Carolina operation ($19.2 million), in the retail, restaurants and entertainment sector at one of our Florida operations ($10.7 million) and in the healthcare sector at one of our Texas operations ($10.2 million).</w:t>
      </w:r>
    </w:p>
    <w:p>
      <w:pPr>
        <w:spacing w:after="0" w:line="188"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Revenue for our electrical services segment increased $139.1 million, or 136.2%, to $241.2 million for the second quarter of 2022 compared to the same period in 2021. The increase primarily resulted from the acquisitions of Atlantic ($14.7 million), Amteck ($43.1 million) and MEP Holdings ($22.6 million) as well as an increase in activity in the industrial sector at our Texas electrical operation ($44.7 million).</w:t>
      </w:r>
    </w:p>
    <w:p>
      <w:pPr>
        <w:spacing w:after="0" w:line="187"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Revenue for the first six months of 2022 increased $519.5 million, or 37.5%, to $1.90 billion compared to the same period in 2021. The increase included a 20.3% increase in revenue related to same-store activity and a 17.2% increase related to the Atlantic, Amteck, Ivey and MEP Holdings acquisitions. The same-store revenue growth was largely driven by strong market conditions including the increase in our backlog, as well as the impact of inflation on our cost of goods sold that were passed on to our customers.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operating segment revenue (in thousands, except percentages):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80" w:type="dxa"/>
            <w:vAlign w:val="bottom"/>
          </w:tcPr>
          <w:p>
            <w:pPr>
              <w:ind w:left="100"/>
              <w:spacing w:after="0"/>
              <w:rPr>
                <w:sz w:val="20"/>
                <w:szCs w:val="20"/>
                <w:color w:val="auto"/>
              </w:rPr>
            </w:pPr>
            <w:r>
              <w:rPr>
                <w:rFonts w:ascii="Arial" w:cs="Arial" w:eastAsia="Arial" w:hAnsi="Arial"/>
                <w:sz w:val="18"/>
                <w:szCs w:val="18"/>
                <w:color w:val="auto"/>
              </w:rPr>
              <w:t>Mechanical Services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1,459,268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w w:val="74"/>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1,177,416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 Services</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443,896</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206,240</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2080" w:type="dxa"/>
            <w:vAlign w:val="bottom"/>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1,903,164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1,383,656</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firstLine="648"/>
        <w:spacing w:after="0" w:line="275" w:lineRule="auto"/>
        <w:rPr>
          <w:sz w:val="20"/>
          <w:szCs w:val="20"/>
          <w:color w:val="auto"/>
        </w:rPr>
      </w:pPr>
      <w:r>
        <w:rPr>
          <w:rFonts w:ascii="Arial" w:cs="Arial" w:eastAsia="Arial" w:hAnsi="Arial"/>
          <w:sz w:val="17"/>
          <w:szCs w:val="17"/>
          <w:color w:val="auto"/>
        </w:rPr>
        <w:t>Revenue for our mechanical services segment increased $281.9 million, or 23.9%, to $1.46 billion for the first six months of 2022 compared to the same period in 2021. The increase was broad-based and included the acquisition of Ivey ($85.9 million), as well as an increase in activity in the industrial sector at our North Carolina operation ($27.8 million), one of our Texas operations ($15.5 million) and our Wisconsin operation ($13.5 million), and an increase in the retail, restaurants and entertainment sector at our Arizona operation ($13.1 million).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Revenue for our electrical services segment increased $237.7 million to $443.9 million for the first six months of 2022 compared to the same period in 2021. The increase primarily resulted from the acquisitions of Atlantic ($14.7 million), Amteck ($94.4 million) and MEP Holdings ($43.9 million) as well as an increase in activity in the industrial sector at our Texas electrical operation ($68.3 million).</w:t>
      </w:r>
    </w:p>
    <w:p>
      <w:pPr>
        <w:spacing w:after="0" w:line="187"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Backlog reflects revenue still to be recognized under contracted or committed installation and replacement project work. Project work generally lasts less than one year. Service agreement revenue,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twelve months. As a result, we believe the predictive value of backlog information is limited to indications of general revenue direction over the near term, and should not be interpreted as indicative of ongoing revenue performance over several quarters.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operating segment backlog (in thousands, except percentages):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9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09"/>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1960" w:type="dxa"/>
            <w:vAlign w:val="bottom"/>
          </w:tcPr>
          <w:p>
            <w:pPr>
              <w:ind w:left="120"/>
              <w:spacing w:after="0"/>
              <w:rPr>
                <w:sz w:val="20"/>
                <w:szCs w:val="20"/>
                <w:color w:val="auto"/>
              </w:rPr>
            </w:pPr>
            <w:r>
              <w:rPr>
                <w:rFonts w:ascii="Arial" w:cs="Arial" w:eastAsia="Arial" w:hAnsi="Arial"/>
                <w:sz w:val="18"/>
                <w:szCs w:val="18"/>
                <w:color w:val="auto"/>
              </w:rPr>
              <w:t>Mechanical Services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2,126,779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1,753,340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1,502,394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1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Electrical Services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1960" w:type="dxa"/>
            <w:vAlign w:val="bottom"/>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2,807,772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2,311,884</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1,840,009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88" w:lineRule="auto"/>
        <w:rPr>
          <w:sz w:val="20"/>
          <w:szCs w:val="20"/>
          <w:color w:val="auto"/>
        </w:rPr>
      </w:pPr>
      <w:r>
        <w:rPr>
          <w:rFonts w:ascii="Arial" w:cs="Arial" w:eastAsia="Arial" w:hAnsi="Arial"/>
          <w:sz w:val="16"/>
          <w:szCs w:val="16"/>
          <w:color w:val="auto"/>
        </w:rPr>
        <w:t>Backlog as of June 30, 2022 was $2.81 billion, a 2.7% increase from March 31, 2022 backlog of $2.73 billion, and a 52.6% increase from June 30, 2021 backlog of $1.84 billion. The sequential backlog growth included the acquisition of Atlantic ($23.0 million), as well as a same-store increase of $51.8 million, or 1.9%. Same-store sequential backlog growth was primarily due to increased project bookings at one of our Tennessee operations ($30.1 million), one of our Texas operations ($27.1 million) and one of our Utah operations ($20.7 million), partially offset by completion of project work at another one of our Tennessee operations ($32.6 million). The year-over-year backlog increase included the acquisitions of Ivey ($123.4 million), Amteck ($71.6 million), Atlantic ($23.0 million) and MEP Holdings ($47.4 million), as well as a same-store increase of $702.4 million, or 38.2%. Same-store year-over-year backlog growth was broad-based, including increased project bookings at our North Carolina operation ($195.8 million), our Texas electrical operation ($155.3 million), one of our Tennessee operations ($66.9 million) and one of our Florida operations ($44.1 million).</w:t>
      </w:r>
    </w:p>
    <w:p>
      <w:pPr>
        <w:spacing w:after="0" w:line="168"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—Gross profit increased $48.5 million, or 38.4%, to $175.0 million for the second quarter of 2022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2021. The increase included a 15.8% increase related to the Atlantic, Amteck, Ivey and MEP Holdings acquisitions, as well as a 22.6% increase in same-store activity. The same-store increase in gross profit was broad-based and was primarily driven by higher revenues in the current year, including increased volumes at our Texas electrical operation ($6.4 million), our North Carolina operation ($3.9 million) and our Wisconsin operation ($2.6 million). Additionally, we had improvements in project execution at one of our Florida operations ($4.2 million). As a percentage of revenue, gross profit for the second quarter decreased from 17.7% in 2021 to 17.2% in 2022 primarily due to product mix differences, including a higher percentage of electrical segment revenue and new construction revenue in the current year, as well as materials and equipment being a higher percentage of our costs in the current year.</w:t>
      </w:r>
    </w:p>
    <w:p>
      <w:pPr>
        <w:spacing w:after="0" w:line="166" w:lineRule="exact"/>
        <w:rPr>
          <w:sz w:val="20"/>
          <w:szCs w:val="20"/>
          <w:color w:val="auto"/>
        </w:rPr>
      </w:pPr>
    </w:p>
    <w:p>
      <w:pPr>
        <w:ind w:left="40" w:right="199" w:firstLine="648"/>
        <w:spacing w:after="0" w:line="288" w:lineRule="auto"/>
        <w:rPr>
          <w:sz w:val="20"/>
          <w:szCs w:val="20"/>
          <w:color w:val="auto"/>
        </w:rPr>
      </w:pPr>
      <w:r>
        <w:rPr>
          <w:rFonts w:ascii="Arial" w:cs="Arial" w:eastAsia="Arial" w:hAnsi="Arial"/>
          <w:sz w:val="16"/>
          <w:szCs w:val="16"/>
          <w:color w:val="auto"/>
        </w:rPr>
        <w:t>Gross profit increased $78.2 million, or 31.3%, to $328.1 million for the first six months of 2022 as compared to the same period in 2021. The increase included a 14.2% increase related to the Atlantic, Amteck, Ivey and MEP Holdings acquisitions, as well as a 17.1% increase in same-store activity. The same-store increase in gross profit was broad-based and was primarily driven by the higher revenues in the current year including increased volumes at our Texas electrical operation ($6.6 million). We had $7.6 million higher gross profit at our North Carolina operation due to both higher volumes and improvements in project execution. Additionally, we had improvements in project execution at one of our Florida operations ($6.6 million) and one of our Texas operations ($5.9 million). As a percentage of revenue, gross profit for the six-month period decreased from 18.1% in 2021 to 17.2% in 2022 primarily due to product mix differences, including a higher percentage of electrical segment revenue and new construction revenue in the current year, as well as materials and equipment being a higher percentage of our costs in the current year.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Selling, General and Administrative Expenses (“SG&amp;A”)</w:t>
      </w:r>
      <w:r>
        <w:rPr>
          <w:rFonts w:ascii="Arial" w:cs="Arial" w:eastAsia="Arial" w:hAnsi="Arial"/>
          <w:sz w:val="18"/>
          <w:szCs w:val="18"/>
          <w:color w:val="auto"/>
        </w:rPr>
        <w:t>—SG&amp;A increased $31.2 million, or 35.6%, to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$118.7 million for the second quarter of 2022 as compared to 2021. On a same-store basis, excluding amortization expense,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SG&amp;A increased $13.0 million, or 16.1%. The same-store increase is primarily due to higher same-store revenue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increased compensation costs ($8.9 million) due to increased headcount. Amortization expense increased $2.2 million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during the period, primarily as a result of the Atlantic, Amteck, Ivey and MEP Holdings acquisitions. As a percentage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SG&amp;A for the second quarter decreased from 12.3% in 2021 to 11.7% in 2022.</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SG&amp;A increased $60.7 million, or 34.6%, to $236.5 million for the first six months of 2022 as compared to 2021.</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a same-store basis, excluding amortization expense, SG&amp;A increased $26.2 million, or 16.2%. The same-store increase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is primarily due to higher same-store revenue, an increase in consulting fees and other expenses of $4.5 million related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credit for increasing research activities (the “R&amp;D tax credit”) for prior tax years and increased compensation costs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($13.7 million) due to increased headcount. Amortization expense increased $3.8 million during the period, primarily as 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result of the Atlantic, Amteck, Ivey and MEP Holdings acquisitions. As a percentage of revenue, SG&amp;A for the six-month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period decreased from 12.7% in 2021 to 12.4% in 2022.</w:t>
      </w:r>
    </w:p>
    <w:p>
      <w:pPr>
        <w:spacing w:after="0" w:line="211"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7"/>
          <w:szCs w:val="17"/>
          <w:color w:val="auto"/>
        </w:rPr>
        <w:t>We have included same-store SG&amp;A, excluding amortization,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59"/>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r>
      <w:tr>
        <w:trPr>
          <w:trHeight w:val="129"/>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4"/>
          </w:tcPr>
          <w:p>
            <w:pPr>
              <w:jc w:val="center"/>
              <w:ind w:left="359"/>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4"/>
          </w:tcPr>
          <w:p>
            <w:pPr>
              <w:jc w:val="center"/>
              <w:ind w:left="359"/>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118,724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175,763</w:t>
            </w: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Less: SG&amp;A from companies acquired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(16,048)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(30,702)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Amortization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(14,216)</w:t>
            </w: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w w:val="95"/>
              </w:rPr>
              <w:t>Same-store SG&amp;A, excluding amortization expense</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187,761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161,547</w:t>
            </w:r>
          </w:p>
        </w:tc>
        <w:tc>
          <w:tcPr>
            <w:tcW w:w="4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39" w:firstLine="648"/>
        <w:spacing w:after="0" w:line="293"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—Interest expense increased $1.7 million, or 122.5%, to $3.0 million for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2022 as compared to the same period in 2021. Interest expense increased $2.3 million for the first six months of 2022 as compared to the same period in 2021. The increase in interest expense for both the quarter and first six months of 2022 is due to an increase in our average interest rate on our outstanding borrowings in 2022 compared to the prior year as well as a higher average outstanding debt balance as compared to the prior year. Additionally, we expensed $0.2 million related to the unamortized debt issuance costs for the term loan, which was refinanced in the amendment of our senior credit facility.</w:t>
      </w:r>
    </w:p>
    <w:p>
      <w:pPr>
        <w:spacing w:after="0" w:line="164"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i w:val="1"/>
          <w:iCs w:val="1"/>
          <w:color w:val="auto"/>
        </w:rPr>
        <w:t>Changes in the Fair Value of Contingent Earn-out Obligations</w:t>
      </w:r>
      <w:r>
        <w:rPr>
          <w:rFonts w:ascii="Arial" w:cs="Arial" w:eastAsia="Arial" w:hAnsi="Arial"/>
          <w:sz w:val="16"/>
          <w:szCs w:val="16"/>
          <w:color w:val="auto"/>
        </w:rPr>
        <w:t>—The contingent earn-out obligations are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at fair value each reporting period, and changes in estimates of fair value are recognized in earnings. Expense from changes in the fair value of contingent earn-out obligations for the second quarter of 2022 increased $4.7 million as compared to the same period in 2021. Income from changes in the fair value of contingent earn-out obligations for the first six months of 2022 decreased $1.8 million as compared to the same period in 2021. These changes in value were primarily the result of higher earn-out expenses associated with our Texas and Tennessee electrical operations, driven by improved market conditions leading to higher forecasted results. Partially offsetting these changes was an increase in the discount rate in the second quarter of 2022 driven by higher interest rates that impacted all the earn-out liabilities as well as our lowering the obligation related to Amteck due to a downward adjustment of their forecasts, including the impact of certain job delays.</w:t>
      </w:r>
    </w:p>
    <w:p>
      <w:pPr>
        <w:spacing w:after="0" w:line="166"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i w:val="1"/>
          <w:iCs w:val="1"/>
          <w:color w:val="auto"/>
        </w:rPr>
        <w:t>Provision (Benefit) for Income Taxes</w:t>
      </w:r>
      <w:r>
        <w:rPr>
          <w:rFonts w:ascii="Arial" w:cs="Arial" w:eastAsia="Arial" w:hAnsi="Arial"/>
          <w:sz w:val="17"/>
          <w:szCs w:val="17"/>
          <w:color w:val="auto"/>
        </w:rPr>
        <w:t>—Our benefit for income taxes for the six months ended June 30, 2022 was</w:t>
      </w:r>
      <w:r>
        <w:rPr>
          <w:rFonts w:ascii="Arial" w:cs="Arial" w:eastAsia="Arial" w:hAnsi="Arial"/>
          <w:sz w:val="17"/>
          <w:szCs w:val="17"/>
          <w:i w:val="1"/>
          <w:iCs w:val="1"/>
          <w:color w:val="auto"/>
        </w:rPr>
        <w:t xml:space="preserve"> </w:t>
      </w:r>
      <w:r>
        <w:rPr>
          <w:rFonts w:ascii="Arial" w:cs="Arial" w:eastAsia="Arial" w:hAnsi="Arial"/>
          <w:sz w:val="17"/>
          <w:szCs w:val="17"/>
          <w:color w:val="auto"/>
        </w:rPr>
        <w:t>$37.8 million with a negative effective tax rate of 41.4% as compared to a provision for income taxes of $18.6 million with an effective tax rate of 23.8% for the same period in 2021. The effective tax rate for 2022 was significantly lower than the 21% federal statutory rate primarily due to a reduction in unrecognized tax benefits from settlement with the Internal Revenue Service for the 2016, 2017 and 2018 tax years (33.2%), our intention to claim the R&amp;D tax credit for the 2019, 2020 and 2021 tax years (29.6%) and inclusion of the R&amp;D tax credit for the current year 2022 (4.5%). These benefits were partially offset by net state income taxes (4.4%) and nondeductible expenses, including nondeductible expenses related to TAS (1.4%). The effective tax rate for 2021 was higher than the 21% federal</w:t>
      </w:r>
    </w:p>
    <w:p>
      <w:pPr>
        <w:sectPr>
          <w:pgSz w:w="11900" w:h="16838" w:orient="portrait"/>
          <w:cols w:equalWidth="0" w:num="1">
            <w:col w:w="9019"/>
          </w:cols>
          <w:pgMar w:left="1440" w:top="517"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308" w:lineRule="auto"/>
        <w:rPr>
          <w:sz w:val="20"/>
          <w:szCs w:val="20"/>
          <w:color w:val="auto"/>
        </w:rPr>
      </w:pPr>
      <w:r>
        <w:rPr>
          <w:rFonts w:ascii="Arial" w:cs="Arial" w:eastAsia="Arial" w:hAnsi="Arial"/>
          <w:sz w:val="17"/>
          <w:szCs w:val="17"/>
          <w:color w:val="auto"/>
        </w:rPr>
        <w:t>statutory rate primarily due to net state income taxes (4.1%) and nondeductible expenses, including nondeductible expenses related to TAS (0.8%), partially offset by deductions for stock-based compensation (2.2%).</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We are experiencing strong demand in 2022, and we believe that we have largely recovered from negative impacts to industry demand in our business due to the business disruption caused by COVID-19. We continue to see instances of delayed starts, and we continue to experience increased labor costs. We also are experiencing supply constraints and cost increases, reduced availability, and delays in delivery of various materials and equipment. We are recognizing these challenges in our job planning and pricing, and we are working to order materials earlier than usual and seeking to collaborate with customers to share supply risks and to mitigate the effects of these challenges.</w:t>
      </w:r>
    </w:p>
    <w:p>
      <w:pPr>
        <w:spacing w:after="0" w:line="178"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color w:val="auto"/>
        </w:rPr>
        <w:t>We have a good pipeline of opportunities and potential backlog, and we have been generally successful in maintaining activity levels and productivity and in procuring needed materials despite ongoing challenges. Considering all these factors, we currently anticipate solid earnings and cash flow in 2022. We continue to prepare for a wide range of challenges and economic circumstances; however, despite challenges, we currently expect supportive conditions for our industry are likely to continue in 2022.</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 (in thousands):</w:t>
      </w:r>
    </w:p>
    <w:p>
      <w:pPr>
        <w:spacing w:after="0" w:line="234"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Six Months Ended</w:t>
      </w:r>
    </w:p>
    <w:p>
      <w:pPr>
        <w:jc w:val="center"/>
        <w:ind w:left="51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94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108,292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110,069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(59,265)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(20,974)</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(38,674)</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(90,332)</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110,069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(20,215)</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(10,762)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property and equipment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40" w:right="119" w:firstLine="648"/>
        <w:spacing w:after="0" w:line="273" w:lineRule="auto"/>
        <w:rPr>
          <w:sz w:val="20"/>
          <w:szCs w:val="20"/>
          <w:color w:val="auto"/>
        </w:rPr>
      </w:pPr>
      <w:r>
        <w:rPr>
          <w:rFonts w:ascii="Arial" w:cs="Arial" w:eastAsia="Arial" w:hAnsi="Arial"/>
          <w:sz w:val="17"/>
          <w:szCs w:val="17"/>
          <w:color w:val="auto"/>
        </w:rPr>
        <w:t>Our business does not require significant amounts of investment in long-term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 under this practice are known as retention or retainage. Our average project duration, together with typical retention terms, generally allow us to complete the realization of revenue and earnings in cash within one year.</w:t>
      </w:r>
    </w:p>
    <w:p>
      <w:pPr>
        <w:spacing w:after="0" w:line="178"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i w:val="1"/>
          <w:iCs w:val="1"/>
          <w:color w:val="auto"/>
        </w:rPr>
        <w:t>Cash Provided by Operating Activities</w:t>
      </w:r>
      <w:r>
        <w:rPr>
          <w:rFonts w:ascii="Arial" w:cs="Arial" w:eastAsia="Arial" w:hAnsi="Arial"/>
          <w:sz w:val="17"/>
          <w:szCs w:val="17"/>
          <w:color w:val="auto"/>
        </w:rPr>
        <w:t>—Cash flow from operations is primarily influenced by demand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Cash provided by operating activities was $108.3 million during the first six months of 2022 compared with $110.1 million during the same period in 2021. This decrease was primarily driven by a $173.0 million change in receivables, net, attributable to strong collections in the prior year and higher billings in the current year due to the increase in revenue. This decrease was partially offset by $49.0 million of increases in accounts payable and accrued liabilities due to timing of payments as well as higher activity in the current year, $33.3 million of tax refunds received in the first six months of 2022 and higher earnings in the current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Cash Used in Investing Activities</w:t>
      </w:r>
      <w:r>
        <w:rPr>
          <w:rFonts w:ascii="Arial" w:cs="Arial" w:eastAsia="Arial" w:hAnsi="Arial"/>
          <w:sz w:val="17"/>
          <w:szCs w:val="17"/>
          <w:color w:val="auto"/>
        </w:rPr>
        <w:t>—During the first six months of 2022, cash used in investing activities was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$59.3 million compared to $21.0 million during the same period in 2021. The $38.3 million increase in cash used primarily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relates to an increase in cash paid (net of cash acquired) for acquisitions and higher purchases of property and equipment 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current year compared to the same period in 2021.</w:t>
      </w:r>
    </w:p>
    <w:p>
      <w:pPr>
        <w:spacing w:after="0" w:line="211"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i w:val="1"/>
          <w:iCs w:val="1"/>
          <w:color w:val="auto"/>
        </w:rPr>
        <w:t>Cash Used in Financing Activities</w:t>
      </w:r>
      <w:r>
        <w:rPr>
          <w:rFonts w:ascii="Arial" w:cs="Arial" w:eastAsia="Arial" w:hAnsi="Arial"/>
          <w:sz w:val="17"/>
          <w:szCs w:val="17"/>
          <w:color w:val="auto"/>
        </w:rPr>
        <w:t>—Cash used in financing activities was $38.7 million for the first six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to $90.3 million during the same period in 2021. The $51.6 million decrease in cash used is primarily due to an increase in net proceeds from debt, including borrowings used to fund the Atlantic acquisition that closed in April 2022. This decrease was partially offset by an increase in share repurchases in 2022.</w:t>
      </w:r>
    </w:p>
    <w:p>
      <w:pPr>
        <w:spacing w:after="0" w:line="171" w:lineRule="exact"/>
        <w:rPr>
          <w:sz w:val="20"/>
          <w:szCs w:val="20"/>
          <w:color w:val="auto"/>
        </w:rPr>
      </w:pPr>
    </w:p>
    <w:p>
      <w:pPr>
        <w:ind w:left="40" w:right="159" w:firstLine="648"/>
        <w:spacing w:after="0" w:line="253" w:lineRule="auto"/>
        <w:rPr>
          <w:sz w:val="20"/>
          <w:szCs w:val="20"/>
          <w:color w:val="auto"/>
        </w:rPr>
      </w:pPr>
      <w:r>
        <w:rPr>
          <w:rFonts w:ascii="Arial" w:cs="Arial" w:eastAsia="Arial" w:hAnsi="Arial"/>
          <w:sz w:val="18"/>
          <w:szCs w:val="18"/>
          <w:i w:val="1"/>
          <w:iCs w:val="1"/>
          <w:color w:val="auto"/>
        </w:rPr>
        <w:t>Free Cash Flow</w:t>
      </w:r>
      <w:r>
        <w:rPr>
          <w:rFonts w:ascii="Arial" w:cs="Arial" w:eastAsia="Arial" w:hAnsi="Arial"/>
          <w:sz w:val="18"/>
          <w:szCs w:val="18"/>
          <w:color w:val="auto"/>
        </w:rPr>
        <w:t>—We define free cash flow as cash provided by operating activities, less customary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17, 2022, the Board approved an extension to the program by increasing the shares authorized for repurchase by 0.7 million shares. Since the inception of the repurchase program, the Board has approved 10.9 million shares to be repurchased. As of June 30, 2022, we have repurchased a cumulative total of 10.1 million shares at an average price of $24.12 per share under the repurchase program.</w:t>
      </w:r>
    </w:p>
    <w:p>
      <w:pPr>
        <w:spacing w:after="0" w:line="195"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six months ended June 30, 2022, we repurchased 0.4 million shares for approximately $32.9 million at an average price of $84.61 per share.</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On May 25, 2022, we amended our senior credit facility (as amended, the “Facility”) arranged by Wells Fargo Bank, National Association, as administrative agent, and provided by a syndicate of banks, increasing our borrowing capacity from $562.5 million (of which $450 million was a revolving credit facility) to $850 million. As amended, the Facility is composed of a revolving credit line guaranteed by certain of our subsidiaries, in the amount of $850.0 million, and the previous term loan has been eliminated. The amended Facility also provides for an accordion or increase option not to exceed the greater of (a) $250 million and (b) 1.0x Credit Facility Adjusted EBITDA (as defined below), as well as a sublimit of up to $175.0 million issuable in the form of letters of credit. The Facility expires in July 2027 and is secured by a first lien on substantially all of our personal property except for assets related to projects subject to surety</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93" w:lineRule="auto"/>
        <w:rPr>
          <w:sz w:val="20"/>
          <w:szCs w:val="20"/>
          <w:color w:val="auto"/>
        </w:rPr>
      </w:pPr>
      <w:r>
        <w:rPr>
          <w:rFonts w:ascii="Arial" w:cs="Arial" w:eastAsia="Arial" w:hAnsi="Arial"/>
          <w:sz w:val="16"/>
          <w:szCs w:val="16"/>
          <w:color w:val="auto"/>
        </w:rPr>
        <w:t>bonds and the equity of, and assets held by, certain unrestricted subsidiaries and our wholly owned captive insurance company, and a second lien on our assets related to projects subject to surety bonds. In 2022, we incurred approximately $2.3 million in financing and professional costs in connection with the amendment to the Facility, which, combined with previously unamortized costs of $1.2 million, are being amortized on a straight-line basis as a non-cash charge to interest expense over the remaining term of the Facility. As of June 30, 2022, we had $360.0 million of outstanding borrowings on the revolving credit facility, $55.6 million in letters of credit outstanding and $434.4 million of credit available.</w:t>
      </w:r>
    </w:p>
    <w:p>
      <w:pPr>
        <w:spacing w:after="0" w:line="164" w:lineRule="exact"/>
        <w:rPr>
          <w:sz w:val="20"/>
          <w:szCs w:val="20"/>
          <w:color w:val="auto"/>
        </w:rPr>
      </w:pPr>
    </w:p>
    <w:p>
      <w:pPr>
        <w:ind w:left="40" w:right="459" w:firstLine="648"/>
        <w:spacing w:after="0" w:line="259" w:lineRule="auto"/>
        <w:rPr>
          <w:sz w:val="20"/>
          <w:szCs w:val="20"/>
          <w:color w:val="auto"/>
        </w:rPr>
      </w:pPr>
      <w:r>
        <w:rPr>
          <w:rFonts w:ascii="Arial" w:cs="Arial" w:eastAsia="Arial" w:hAnsi="Arial"/>
          <w:sz w:val="18"/>
          <w:szCs w:val="18"/>
          <w:color w:val="auto"/>
        </w:rPr>
        <w:t>There are two interest rate options for borrowings under the Facility, the Base Rate Loan (as defined in the Facility) option and the Secured Overnight Financing Rate (“SOFR”) Loan option. These rates are floating rates determined by the broad financial markets, meaning they can and do move up and down from time to time. Additional margins are then added to these two rates.</w:t>
      </w:r>
    </w:p>
    <w:p>
      <w:pPr>
        <w:spacing w:after="0" w:line="187"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Such letters of credit are issued under the Facility for a fee. The letter of credit fees range from 1.00% to 2.00% per annum, based on the Net Leverage Ratio.</w:t>
      </w:r>
    </w:p>
    <w:p>
      <w:pPr>
        <w:spacing w:after="0" w:line="188"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Commitment fees are payable on the portion of the revolving loan capacity not in use for borrowings or letters of credit at any given time. These fees range from 0.15% to 0.25% per annum, based on the Net Leverage Ratio.</w:t>
      </w:r>
    </w:p>
    <w:p>
      <w:pPr>
        <w:spacing w:after="0" w:line="124"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The Facility contains financial covenants defining various financial measures and the levels of these measures with which we must comply. Covenant compliance is assessed as of each quarter end. Credit Facility Adjusted EBITDA is defined under the Facility for financial covenant purposes as consolidated net income for the four fiscal quarters ending as of any given quarterly covenant compliance measurement date, plus the corresponding amounts for (a) interest expense; (b) provision for income taxes; (c) depreciation and amortization; (d) stock or equity compensation; (e) other non-cash charges; and (f) pre-acquisition results of acquired companies. The Facility’s principal financial covenants include:</w:t>
      </w:r>
    </w:p>
    <w:p>
      <w:pPr>
        <w:spacing w:after="0" w:line="164"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i w:val="1"/>
          <w:iCs w:val="1"/>
          <w:color w:val="auto"/>
        </w:rPr>
        <w:t>Net Leverage Ratio</w:t>
      </w:r>
      <w:r>
        <w:rPr>
          <w:rFonts w:ascii="Arial" w:cs="Arial" w:eastAsia="Arial" w:hAnsi="Arial"/>
          <w:sz w:val="18"/>
          <w:szCs w:val="18"/>
          <w:color w:val="auto"/>
        </w:rPr>
        <w:t>—The Facility requires that the ratio of (a) our Consolidated Total Indebtedness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minus unrestricted cash and cash equivalents up to $100,000,000, to (b) our Credit Facility Adjusted EBITDA not exceed 3.50 to 1.00 as of the end of each fiscal quarter.</w:t>
      </w:r>
    </w:p>
    <w:p>
      <w:pPr>
        <w:spacing w:after="0" w:line="184" w:lineRule="exact"/>
        <w:rPr>
          <w:sz w:val="20"/>
          <w:szCs w:val="20"/>
          <w:color w:val="auto"/>
        </w:rPr>
      </w:pPr>
    </w:p>
    <w:p>
      <w:pPr>
        <w:ind w:left="40" w:right="239" w:firstLine="648"/>
        <w:spacing w:after="0" w:line="275" w:lineRule="auto"/>
        <w:rPr>
          <w:sz w:val="20"/>
          <w:szCs w:val="20"/>
          <w:color w:val="auto"/>
        </w:rPr>
      </w:pPr>
      <w:r>
        <w:rPr>
          <w:rFonts w:ascii="Arial" w:cs="Arial" w:eastAsia="Arial" w:hAnsi="Arial"/>
          <w:sz w:val="17"/>
          <w:szCs w:val="17"/>
          <w:i w:val="1"/>
          <w:iCs w:val="1"/>
          <w:color w:val="auto"/>
        </w:rPr>
        <w:t>Interest Coverage Ratio</w:t>
      </w:r>
      <w:r>
        <w:rPr>
          <w:rFonts w:ascii="Arial" w:cs="Arial" w:eastAsia="Arial" w:hAnsi="Arial"/>
          <w:sz w:val="17"/>
          <w:szCs w:val="17"/>
          <w:color w:val="auto"/>
        </w:rPr>
        <w:t>—The Facility requires that the ratio of (a) Credit Facility Adjusted EBITDA to (b)</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interest expense, defined as all interest paid or accrued on indebtedness during the period excluding amortization of debt incurrence expenses, original issue discount, and mark-to-market interest expense, be at least 3.00 to 1.00. Credit Facility Adjusted EBITDA and consolidated interest expense are calculated for purposes of this covenant for the four fiscal quarters ending as of any given quarterly covenant compliance measurement date.</w:t>
      </w:r>
    </w:p>
    <w:p>
      <w:pPr>
        <w:spacing w:after="0" w:line="176"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Other Restrictions—The Facility (a) permits unlimited acquisitions when the Company’s Net Leverage Ratio is less than or equal to 3.25 to 1.00, (b) expands certain baskets for permitted indebtedness and liens, and (c) permits unlimited distributions, stock repurchases, and investments when the Net Leverage Ratio is less than or equal to 2.75 to 1.00.</w:t>
      </w:r>
    </w:p>
    <w:p>
      <w:pPr>
        <w:spacing w:after="0" w:line="187"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color w:val="auto"/>
        </w:rPr>
        <w:t>While the Facility’s financial covenants do not specifically govern capacity under the Facility, if our debt level under the Facility at a quarter-end covenant compliance measurement date were to cause us to violate the Facility’s Net Leverage Ratio covenant, our borrowing capacity under the Facility and the favorable terms that we currently have could be negatively impacted.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in compliance with all of our financial covenants as of June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Notes to Former Owners</w:t>
      </w:r>
    </w:p>
    <w:p>
      <w:pPr>
        <w:spacing w:after="0" w:line="225" w:lineRule="exact"/>
        <w:rPr>
          <w:sz w:val="20"/>
          <w:szCs w:val="20"/>
          <w:color w:val="auto"/>
        </w:rPr>
      </w:pPr>
    </w:p>
    <w:p>
      <w:pPr>
        <w:ind w:left="40" w:right="299" w:firstLine="648"/>
        <w:spacing w:after="0" w:line="286" w:lineRule="auto"/>
        <w:rPr>
          <w:sz w:val="20"/>
          <w:szCs w:val="20"/>
          <w:color w:val="auto"/>
        </w:rPr>
      </w:pPr>
      <w:r>
        <w:rPr>
          <w:rFonts w:ascii="Arial" w:cs="Arial" w:eastAsia="Arial" w:hAnsi="Arial"/>
          <w:sz w:val="17"/>
          <w:szCs w:val="17"/>
          <w:color w:val="auto"/>
        </w:rPr>
        <w:t>As part of the consideration used to acquire nine companies, we have outstanding notes to the former owners. Together, these notes had an outstanding balance of $45.4 million as of June 30, 2022. At June 30, 2022, future principal payments of notes to former owners by maturity year are as follows (dollars in thousands):</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355"/>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Range of Stated</w:t>
            </w:r>
          </w:p>
        </w:tc>
      </w:tr>
      <w:tr>
        <w:trPr>
          <w:trHeight w:val="171"/>
        </w:trPr>
        <w:tc>
          <w:tcPr>
            <w:tcW w:w="3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Interest Rates</w:t>
            </w:r>
          </w:p>
        </w:tc>
      </w:tr>
      <w:tr>
        <w:trPr>
          <w:trHeight w:val="223"/>
        </w:trPr>
        <w:tc>
          <w:tcPr>
            <w:tcW w:w="3980" w:type="dxa"/>
            <w:vAlign w:val="bottom"/>
            <w:shd w:val="clear" w:color="auto" w:fill="CCEEFF"/>
          </w:tcPr>
          <w:p>
            <w:pPr>
              <w:jc w:val="right"/>
              <w:ind w:right="331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r>
      <w:tr>
        <w:trPr>
          <w:trHeight w:val="229"/>
        </w:trPr>
        <w:tc>
          <w:tcPr>
            <w:tcW w:w="3980" w:type="dxa"/>
            <w:vAlign w:val="bottom"/>
          </w:tcPr>
          <w:p>
            <w:pPr>
              <w:jc w:val="right"/>
              <w:ind w:right="331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3980" w:type="dxa"/>
            <w:vAlign w:val="bottom"/>
            <w:shd w:val="clear" w:color="auto" w:fill="CCEEFF"/>
          </w:tcPr>
          <w:p>
            <w:pPr>
              <w:jc w:val="right"/>
              <w:ind w:right="331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2.5 - 3.0 </w:t>
            </w:r>
            <w:r>
              <w:rPr>
                <w:rFonts w:ascii="Arial" w:cs="Arial" w:eastAsia="Arial" w:hAnsi="Arial"/>
                <w:sz w:val="19"/>
                <w:szCs w:val="19"/>
                <w:color w:val="auto"/>
              </w:rPr>
              <w:t>%</w:t>
            </w:r>
          </w:p>
        </w:tc>
      </w:tr>
      <w:tr>
        <w:trPr>
          <w:trHeight w:val="229"/>
        </w:trPr>
        <w:tc>
          <w:tcPr>
            <w:tcW w:w="3980" w:type="dxa"/>
            <w:vAlign w:val="bottom"/>
          </w:tcPr>
          <w:p>
            <w:pPr>
              <w:jc w:val="right"/>
              <w:ind w:right="331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2.3 - 2.5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3980" w:type="dxa"/>
            <w:vAlign w:val="bottom"/>
            <w:shd w:val="clear" w:color="auto" w:fill="CCEEFF"/>
          </w:tcPr>
          <w:p>
            <w:pPr>
              <w:jc w:val="right"/>
              <w:ind w:right="331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09"/>
        </w:trPr>
        <w:tc>
          <w:tcPr>
            <w:tcW w:w="3980" w:type="dxa"/>
            <w:vAlign w:val="bottom"/>
          </w:tcPr>
          <w:p>
            <w:pPr>
              <w:jc w:val="right"/>
              <w:ind w:right="319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left="40" w:right="259" w:firstLine="648"/>
        <w:spacing w:after="0" w:line="259" w:lineRule="auto"/>
        <w:rPr>
          <w:sz w:val="20"/>
          <w:szCs w:val="20"/>
          <w:color w:val="auto"/>
        </w:rPr>
      </w:pPr>
      <w:r>
        <w:rPr>
          <w:rFonts w:ascii="Arial" w:cs="Arial" w:eastAsia="Arial" w:hAnsi="Arial"/>
          <w:sz w:val="18"/>
          <w:szCs w:val="18"/>
          <w:color w:val="auto"/>
        </w:rPr>
        <w:t>We have generated positive net free cash flow for the last twenty-three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Cash Requirements and Other Commitments</w:t>
      </w:r>
    </w:p>
    <w:p>
      <w:pPr>
        <w:spacing w:after="0" w:line="229"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The letters of credit we provide are actually issued by our lenders through the Facility as described above. A letter of credit commits the lenders to pay specified amounts to the holder of the letter of credit if the holder demonstrates that we have failed to perform specified actions. If this were to occur, we would be required to reimburse the lenders. Depending on the circumstances of such a reimbursement, we may also have to record a charge to earnings for the reimbursement. Absent a claim, there is no payment or reserving of funds by us in connection with a letter of credit. However, because a claim on a letter of credit would require immediate reimbursement by us to our lenders, letters of credit are treated as a use of the Facility’s capacity just the same as actual borrowings. Claims against letters of credit are rare in our industry.</w:t>
      </w:r>
    </w:p>
    <w:p>
      <w:pPr>
        <w:spacing w:after="0" w:line="182" w:lineRule="exact"/>
        <w:rPr>
          <w:sz w:val="20"/>
          <w:szCs w:val="20"/>
          <w:color w:val="auto"/>
        </w:rPr>
      </w:pPr>
    </w:p>
    <w:p>
      <w:pPr>
        <w:ind w:left="40" w:right="159" w:firstLine="648"/>
        <w:spacing w:after="0" w:line="253" w:lineRule="auto"/>
        <w:rPr>
          <w:sz w:val="20"/>
          <w:szCs w:val="20"/>
          <w:color w:val="auto"/>
        </w:rPr>
      </w:pPr>
      <w:r>
        <w:rPr>
          <w:rFonts w:ascii="Arial" w:cs="Arial" w:eastAsia="Arial" w:hAnsi="Arial"/>
          <w:sz w:val="18"/>
          <w:szCs w:val="18"/>
          <w:color w:val="auto"/>
        </w:rPr>
        <w:t>As of June 30, 2022, we have $55.6 million in letter of credit commitments, of which $28.2 million will expire in 2022 and $27.4 million will expire in 2023.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self-insurance programs through third-party insurers as we do. While some of these letter of credit commitments expire in the next twelve months, we expect nearly all of them, particularly those supporting our insurance programs, will be renewed annually.</w:t>
      </w:r>
    </w:p>
    <w:p>
      <w:pPr>
        <w:spacing w:after="0" w:line="196"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sureties for any expenses or outlays they incur.</w:t>
      </w:r>
    </w:p>
    <w:p>
      <w:pPr>
        <w:spacing w:after="0" w:line="157" w:lineRule="exact"/>
        <w:rPr>
          <w:sz w:val="20"/>
          <w:szCs w:val="20"/>
          <w:color w:val="auto"/>
        </w:rPr>
      </w:pPr>
    </w:p>
    <w:p>
      <w:pPr>
        <w:jc w:val="both"/>
        <w:ind w:left="40" w:right="279" w:firstLine="648"/>
        <w:spacing w:after="0" w:line="311" w:lineRule="auto"/>
        <w:rPr>
          <w:sz w:val="20"/>
          <w:szCs w:val="20"/>
          <w:color w:val="auto"/>
        </w:rPr>
      </w:pPr>
      <w:r>
        <w:rPr>
          <w:rFonts w:ascii="Arial" w:cs="Arial" w:eastAsia="Arial" w:hAnsi="Arial"/>
          <w:sz w:val="16"/>
          <w:szCs w:val="16"/>
          <w:color w:val="auto"/>
        </w:rPr>
        <w:t>Under standard terms in the surety market, sureties issue bonds on a project-by-project basis, and can decline to issue bonds at any time. Historically, approximately 15% to 25% of our business has required bonds. While we currently have strong surety relationships to support our bonding needs, future market conditions or changes in our sureties’</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54" w:lineRule="auto"/>
        <w:rPr>
          <w:sz w:val="20"/>
          <w:szCs w:val="20"/>
          <w:color w:val="auto"/>
        </w:rPr>
      </w:pPr>
      <w:r>
        <w:rPr>
          <w:rFonts w:ascii="Arial" w:cs="Arial" w:eastAsia="Arial" w:hAnsi="Arial"/>
          <w:sz w:val="18"/>
          <w:szCs w:val="18"/>
          <w:color w:val="auto"/>
        </w:rPr>
        <w:t>assessment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We are exposed to market risk primarily related to potential adverse changes in interest rates, as discussed below. We are actively involved in monitoring exposure to market risk and continue to develop and utilize appropriate risk management techniques. We are not exposed to any other significant financial market risks, including commodity price risk, or foreign currency exchange risk from the use of derivative financial instruments. At times, we use derivative financial instruments to manage our interest rate risk.</w:t>
      </w:r>
    </w:p>
    <w:p>
      <w:pPr>
        <w:spacing w:after="0" w:line="188" w:lineRule="exact"/>
        <w:rPr>
          <w:sz w:val="20"/>
          <w:szCs w:val="20"/>
          <w:color w:val="auto"/>
        </w:rPr>
      </w:pPr>
    </w:p>
    <w:p>
      <w:pPr>
        <w:ind w:left="40" w:right="159" w:firstLine="648"/>
        <w:spacing w:after="0" w:line="311" w:lineRule="auto"/>
        <w:rPr>
          <w:sz w:val="20"/>
          <w:szCs w:val="20"/>
          <w:color w:val="auto"/>
        </w:rPr>
      </w:pPr>
      <w:r>
        <w:rPr>
          <w:rFonts w:ascii="Arial" w:cs="Arial" w:eastAsia="Arial" w:hAnsi="Arial"/>
          <w:sz w:val="16"/>
          <w:szCs w:val="16"/>
          <w:color w:val="auto"/>
        </w:rPr>
        <w:t>We have exposure to changes in interest rates under our revolving credit facility. The weighted average interest rate applicable to the borrowings under the revolving credit facility was approximately 2.8% as of June 30, 2022. Our debt with fixed interest rates consists of notes to former owners of acquired companies and acquired notes payable.</w:t>
      </w:r>
    </w:p>
    <w:p>
      <w:pPr>
        <w:spacing w:after="0" w:line="149"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We measure certain assets at fair value on a nonrecurring basis. These assets are recognized at fair value when they are deemed to be other-than-temporarily impaired. We did not recognize any impairments in the current year on those assets required to be measured at fair value on a nonrecurring basis.</w:t>
      </w:r>
    </w:p>
    <w:p>
      <w:pPr>
        <w:spacing w:after="0" w:line="184"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The valuation of the Company’s contingent earn-out payments is determined using a probability weighted discounted cash flow method. This analysis reflects the contractual terms of the purchase agreements (e.g., minimum and maximum payment, length of earn-out periods, manner of calculating any amounts due, etc.) and utilizes assumptions with regard to future cash flows, probabilities of achieving such future cash flows and a discount rate.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Our executive management is responsible for ensuring the effectiveness of the design and operation of our disclosure controls and procedures.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report. Based on that evaluation, our Chief Executive Officer and Chief Financial Officer have concluded that our disclosure controls and procedures (as defined in Rules 13a-15(e) and 15d-15(e) of the Securities Exchange Act of 1934) are effective as of the end of the period covered by this report.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40" w:right="319" w:firstLine="648"/>
        <w:spacing w:after="0" w:line="311"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Securities Exchange Act of 1934)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40" w:right="199" w:firstLine="648"/>
        <w:spacing w:after="0" w:line="293" w:lineRule="auto"/>
        <w:rPr>
          <w:sz w:val="20"/>
          <w:szCs w:val="20"/>
          <w:color w:val="auto"/>
        </w:rPr>
      </w:pPr>
      <w:r>
        <w:rPr>
          <w:rFonts w:ascii="Arial" w:cs="Arial" w:eastAsia="Arial" w:hAnsi="Arial"/>
          <w:sz w:val="16"/>
          <w:szCs w:val="16"/>
          <w:color w:val="auto"/>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64"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We are in a dispute with a customer regarding the outcome of a completed project and also regarding the obligation to perform subcontract work under two executed letters of intent for subsequent projects that we believe are not enforceable. The customer is claiming approximately $12 million in damages related to performance of the original project as well as excess costs to perform the work that was subject to the letters of intent. We are claiming approximately $9 million composed of unpaid amounts under the completed contract as well as costs and inefficiencies that we suffered. We have a lien on the project. Arbitration for this matter was completed in the second quarter of 2022, and we expect a decision in the third quarter of 2022. As of June 30, 2022, we recorded an accrual for this matter based on our analysis of likely outcomes related to this dispute; however, it is possible that the ultimate outcome and associated costs will deviate from our estimates and that, in the event of an unexpectedly adverse outcome, we may experience additional costs and expenses in future periods.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Risk Factors” in our Annual Report on Form 10-K for the year ended December 31, 2021, which could materially affect our business, financial condition, or future results. Additional risks and uncertainties not currently known to us or that we currently deem to be immaterial also may materially adversely affect our business, financial condition, or future results.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17, 2022, the Board approved an extension to the program by increasing the shares authorized for repurchase by 0.7 million shares. Since the inception of the repurchase program, the Board has approved 10.9 million shares to be repurchased. As of June 30, 2022, we have repurchased a cumulative total of 10.1 million shares at an average price of $24.12 per share under the repurchase program.</w:t>
      </w:r>
    </w:p>
    <w:p>
      <w:pPr>
        <w:spacing w:after="0" w:line="195"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six months ended June 30, 2022, we repurchased 0.4 million shares for approximately $32.9 million at an average price of $84.61 per share.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firstLine="648"/>
        <w:spacing w:after="0" w:line="277" w:lineRule="auto"/>
        <w:rPr>
          <w:sz w:val="20"/>
          <w:szCs w:val="20"/>
          <w:color w:val="auto"/>
        </w:rPr>
      </w:pPr>
      <w:r>
        <w:rPr>
          <w:rFonts w:ascii="Arial" w:cs="Arial" w:eastAsia="Arial" w:hAnsi="Arial"/>
          <w:sz w:val="18"/>
          <w:szCs w:val="18"/>
          <w:color w:val="auto"/>
        </w:rPr>
        <w:t>During the quarter ended June 30, 2022, we purchased our common shares in the following amounts at the following average prices: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Purchased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Programs (1)</w:t>
            </w: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9,836,411</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May 1 - May 31</w:t>
            </w:r>
          </w:p>
        </w:tc>
        <w:tc>
          <w:tcPr>
            <w:tcW w:w="1120" w:type="dxa"/>
            <w:vAlign w:val="bottom"/>
          </w:tcPr>
          <w:p>
            <w:pPr>
              <w:jc w:val="right"/>
              <w:spacing w:after="0"/>
              <w:rPr>
                <w:sz w:val="20"/>
                <w:szCs w:val="20"/>
                <w:color w:val="auto"/>
              </w:rPr>
            </w:pPr>
            <w:r>
              <w:rPr>
                <w:rFonts w:ascii="Arial" w:cs="Arial" w:eastAsia="Arial" w:hAnsi="Arial"/>
                <w:sz w:val="18"/>
                <w:szCs w:val="18"/>
                <w:color w:val="auto"/>
              </w:rPr>
              <w:t>156,680</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84.33</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9,993,091</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951,034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4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10,063,100</w:t>
            </w:r>
          </w:p>
        </w:tc>
        <w:tc>
          <w:tcPr>
            <w:tcW w:w="16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226,689</w:t>
            </w:r>
          </w:p>
        </w:tc>
        <w:tc>
          <w:tcPr>
            <w:tcW w:w="1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82.74</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10,063,100</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881,025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-8255</wp:posOffset>
            </wp:positionV>
            <wp:extent cx="37204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-130175</wp:posOffset>
            </wp:positionV>
            <wp:extent cx="372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3" w:lineRule="exact"/>
        <w:rPr>
          <w:sz w:val="20"/>
          <w:szCs w:val="20"/>
          <w:color w:val="auto"/>
        </w:rPr>
      </w:pPr>
    </w:p>
    <w:p>
      <w:pPr>
        <w:ind w:left="1040" w:right="619" w:hanging="645"/>
        <w:spacing w:after="0" w:line="26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Purchased as part of a program announced on March 29, 2007 under which, since the inception of this program, 10.9 million shares have been approved for repurchase.</w:t>
      </w:r>
    </w:p>
    <w:p>
      <w:pPr>
        <w:spacing w:after="0" w:line="18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Under our 2012 Equity Incentive Plan and 2017 Omnibus Incentive Plan,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15"/>
          </w:tcPr>
          <w:p>
            <w:pPr>
              <w:ind w:left="300"/>
              <w:spacing w:after="0"/>
              <w:rPr>
                <w:sz w:val="20"/>
                <w:szCs w:val="20"/>
                <w:color w:val="auto"/>
              </w:rPr>
            </w:pPr>
            <w:r>
              <w:rPr>
                <w:rFonts w:ascii="Arial" w:cs="Arial" w:eastAsia="Arial" w:hAnsi="Arial"/>
                <w:sz w:val="14"/>
                <w:szCs w:val="14"/>
                <w:b w:val="1"/>
                <w:bCs w:val="1"/>
                <w:color w:val="auto"/>
              </w:rPr>
              <w:t>Description of Exhibits</w:t>
            </w:r>
          </w:p>
        </w:tc>
      </w:tr>
      <w:tr>
        <w:trPr>
          <w:trHeight w:val="169"/>
        </w:trPr>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80" w:type="dxa"/>
            <w:vAlign w:val="bottom"/>
            <w:tcBorders>
              <w:top w:val="single" w:sz="8" w:color="auto"/>
            </w:tcBorders>
            <w:gridSpan w:val="19"/>
          </w:tcPr>
          <w:p>
            <w:pPr>
              <w:spacing w:after="0" w:line="169"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Second Amended and Restated Certificate of Incorporation</w:t>
              </w:r>
            </w:hyperlink>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of the Registrant</w:t>
              </w:r>
            </w:hyperlink>
          </w:p>
        </w:tc>
        <w:tc>
          <w:tcPr>
            <w:tcW w:w="3060" w:type="dxa"/>
            <w:vAlign w:val="bottom"/>
            <w:tcBorders>
              <w:top w:val="single" w:sz="8" w:color="0000EE"/>
            </w:tcBorders>
            <w:gridSpan w:val="11"/>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Certificate of Amendment dated May 21, 1998</w:t>
              </w:r>
            </w:hyperlink>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top w:val="single" w:sz="8" w:color="0000EE"/>
            </w:tcBorders>
            <w:gridSpan w:val="6"/>
          </w:tcPr>
          <w:p>
            <w:pPr>
              <w:spacing w:after="0" w:line="19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Certificate of Amendment dated July 9, 2003</w:t>
              </w:r>
            </w:hyperlink>
          </w:p>
        </w:tc>
        <w:tc>
          <w:tcPr>
            <w:tcW w:w="1120" w:type="dxa"/>
            <w:vAlign w:val="bottom"/>
            <w:gridSpan w:val="1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Certificate of Amendment dated May 20, 2016</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gridSpan w:val="19"/>
          </w:tcPr>
          <w:p>
            <w:pPr>
              <w:spacing w:after="0"/>
              <w:rPr>
                <w:rFonts w:ascii="Arial" w:cs="Arial" w:eastAsia="Arial" w:hAnsi="Arial"/>
                <w:sz w:val="18"/>
                <w:szCs w:val="18"/>
                <w:color w:val="0000EE"/>
              </w:rPr>
            </w:pPr>
            <w:hyperlink r:id="rId55">
              <w:r>
                <w:rPr>
                  <w:rFonts w:ascii="Arial" w:cs="Arial" w:eastAsia="Arial" w:hAnsi="Arial"/>
                  <w:sz w:val="18"/>
                  <w:szCs w:val="18"/>
                  <w:color w:val="0000EE"/>
                </w:rPr>
                <w:t>Amended and Restated Bylaws of Comfort Systems</w:t>
              </w:r>
            </w:hyperlink>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USA, Inc.</w:t>
              </w:r>
            </w:hyperlink>
          </w:p>
        </w:tc>
        <w:tc>
          <w:tcPr>
            <w:tcW w:w="3020" w:type="dxa"/>
            <w:vAlign w:val="bottom"/>
            <w:tcBorders>
              <w:top w:val="single" w:sz="8" w:color="0000EE"/>
            </w:tcBorders>
            <w:gridSpan w:val="10"/>
          </w:tcPr>
          <w:p>
            <w:pPr>
              <w:spacing w:after="0"/>
              <w:rPr>
                <w:sz w:val="17"/>
                <w:szCs w:val="17"/>
                <w:color w:val="auto"/>
              </w:rPr>
            </w:pPr>
          </w:p>
        </w:tc>
        <w:tc>
          <w:tcPr>
            <w:tcW w:w="740" w:type="dxa"/>
            <w:vAlign w:val="bottom"/>
            <w:gridSpan w:val="8"/>
          </w:tcPr>
          <w:p>
            <w:pPr>
              <w:spacing w:after="0"/>
              <w:rPr>
                <w:sz w:val="17"/>
                <w:szCs w:val="17"/>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Third Amended and Restated Credit Agreement dated as of</w:t>
              </w:r>
            </w:hyperlink>
          </w:p>
        </w:tc>
        <w:tc>
          <w:tcPr>
            <w:tcW w:w="2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May 25, 2022 by and among Comfort Systems USA, Inc., as</w:t>
              </w:r>
            </w:hyperlink>
          </w:p>
        </w:tc>
        <w:tc>
          <w:tcPr>
            <w:tcW w:w="1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Borrower, the Lenders listed on the signature pages thereof,</w:t>
              </w:r>
            </w:hyperlink>
          </w:p>
        </w:tc>
        <w:tc>
          <w:tcPr>
            <w:tcW w:w="18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and Wells Fargo Bank, National Association, as Agent for</w:t>
              </w:r>
            </w:hyperlink>
          </w:p>
        </w:tc>
        <w:tc>
          <w:tcPr>
            <w:tcW w:w="3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56">
              <w:r>
                <w:rPr>
                  <w:rFonts w:ascii="Arial" w:cs="Arial" w:eastAsia="Arial" w:hAnsi="Arial"/>
                  <w:sz w:val="18"/>
                  <w:szCs w:val="18"/>
                  <w:color w:val="0000EE"/>
                  <w:w w:val="86"/>
                </w:rPr>
                <w:t>the Lenders</w:t>
              </w:r>
            </w:hyperlink>
          </w:p>
        </w:tc>
        <w:tc>
          <w:tcPr>
            <w:tcW w:w="3640" w:type="dxa"/>
            <w:vAlign w:val="bottom"/>
            <w:gridSpan w:val="17"/>
          </w:tcPr>
          <w:p>
            <w:pPr>
              <w:spacing w:after="0"/>
              <w:rPr>
                <w:sz w:val="17"/>
                <w:szCs w:val="17"/>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Form of Restricted Stock Unit Agreement with a Blank</w:t>
              </w:r>
            </w:hyperlink>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Vesting Schedule under the Company’s 2017 Omnibus</w:t>
              </w:r>
            </w:hyperlink>
          </w:p>
        </w:tc>
        <w:tc>
          <w:tcPr>
            <w:tcW w:w="40" w:type="dxa"/>
            <w:vAlign w:val="bottom"/>
            <w:tcBorders>
              <w:top w:val="single" w:sz="8" w:color="0000EE"/>
            </w:tcBorders>
          </w:tcPr>
          <w:p>
            <w:pPr>
              <w:spacing w:after="0"/>
              <w:rPr>
                <w:sz w:val="17"/>
                <w:szCs w:val="17"/>
                <w:color w:val="auto"/>
              </w:rPr>
            </w:pPr>
          </w:p>
        </w:tc>
        <w:tc>
          <w:tcPr>
            <w:tcW w:w="50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Incentive Plan</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Chief Executive Officer pursuant to</w:t>
              </w:r>
            </w:hyperlink>
          </w:p>
        </w:tc>
        <w:tc>
          <w:tcPr>
            <w:tcW w:w="76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Section 302 of the Sarbanes-Oxley Act of 2002</w:t>
              </w:r>
            </w:hyperlink>
          </w:p>
        </w:tc>
        <w:tc>
          <w:tcPr>
            <w:tcW w:w="1060" w:type="dxa"/>
            <w:vAlign w:val="bottom"/>
            <w:gridSpan w:val="11"/>
          </w:tcPr>
          <w:p>
            <w:pPr>
              <w:spacing w:after="0"/>
              <w:rPr>
                <w:sz w:val="17"/>
                <w:szCs w:val="17"/>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Certification of Chief Financial Officer pursuant to</w:t>
              </w:r>
            </w:hyperlink>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Section 302 of the Sarbanes-Oxley Act of 2002</w:t>
              </w:r>
            </w:hyperlink>
          </w:p>
        </w:tc>
        <w:tc>
          <w:tcPr>
            <w:tcW w:w="240" w:type="dxa"/>
            <w:vAlign w:val="bottom"/>
            <w:tcBorders>
              <w:top w:val="single" w:sz="8" w:color="0000EE"/>
            </w:tcBorders>
          </w:tcPr>
          <w:p>
            <w:pPr>
              <w:spacing w:after="0"/>
              <w:rPr>
                <w:sz w:val="17"/>
                <w:szCs w:val="17"/>
                <w:color w:val="auto"/>
              </w:rPr>
            </w:pPr>
          </w:p>
        </w:tc>
        <w:tc>
          <w:tcPr>
            <w:tcW w:w="820" w:type="dxa"/>
            <w:vAlign w:val="bottom"/>
            <w:gridSpan w:val="10"/>
          </w:tcPr>
          <w:p>
            <w:pPr>
              <w:spacing w:after="0"/>
              <w:rPr>
                <w:sz w:val="17"/>
                <w:szCs w:val="17"/>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Chief Executive Officer pursuant to</w:t>
              </w:r>
            </w:hyperlink>
          </w:p>
        </w:tc>
        <w:tc>
          <w:tcPr>
            <w:tcW w:w="76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Section 906 of the Sarbanes-Oxley Act of 2002</w:t>
              </w:r>
            </w:hyperlink>
          </w:p>
        </w:tc>
        <w:tc>
          <w:tcPr>
            <w:tcW w:w="1060" w:type="dxa"/>
            <w:vAlign w:val="bottom"/>
            <w:gridSpan w:val="11"/>
          </w:tcPr>
          <w:p>
            <w:pPr>
              <w:spacing w:after="0"/>
              <w:rPr>
                <w:sz w:val="17"/>
                <w:szCs w:val="17"/>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Certification of Chief Financial Officer pursuant to</w:t>
              </w:r>
            </w:hyperlink>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tcBorders>
              <w:top w:val="single" w:sz="8" w:color="0000EE"/>
            </w:tcBorders>
            <w:gridSpan w:val="9"/>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Section 906 of the Sarbanes-Oxley Act of 2002</w:t>
              </w:r>
            </w:hyperlink>
          </w:p>
        </w:tc>
        <w:tc>
          <w:tcPr>
            <w:tcW w:w="820" w:type="dxa"/>
            <w:vAlign w:val="bottom"/>
            <w:gridSpan w:val="10"/>
          </w:tcPr>
          <w:p>
            <w:pPr>
              <w:spacing w:after="0"/>
              <w:rPr>
                <w:sz w:val="17"/>
                <w:szCs w:val="17"/>
                <w:color w:val="auto"/>
              </w:rPr>
            </w:pPr>
          </w:p>
        </w:tc>
      </w:tr>
      <w:tr>
        <w:trPr>
          <w:trHeight w:val="222"/>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34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Inline XBRL Instance Document</w:t>
            </w:r>
          </w:p>
        </w:tc>
        <w:tc>
          <w:tcPr>
            <w:tcW w:w="1080" w:type="dxa"/>
            <w:vAlign w:val="bottom"/>
            <w:gridSpan w:val="12"/>
          </w:tcPr>
          <w:p>
            <w:pPr>
              <w:spacing w:after="0"/>
              <w:rPr>
                <w:sz w:val="19"/>
                <w:szCs w:val="19"/>
                <w:color w:val="auto"/>
              </w:rPr>
            </w:pP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rPr>
              <w:t>Document</w:t>
            </w: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rPr>
              <w:t>Document</w:t>
            </w: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rPr>
              <w:t>Document</w:t>
            </w:r>
          </w:p>
        </w:tc>
      </w:tr>
      <w:tr>
        <w:trPr>
          <w:trHeight w:val="230"/>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0"/>
                <w:szCs w:val="20"/>
                <w:color w:val="auto"/>
              </w:rPr>
            </w:pPr>
          </w:p>
        </w:tc>
        <w:tc>
          <w:tcPr>
            <w:tcW w:w="4480" w:type="dxa"/>
            <w:vAlign w:val="bottom"/>
            <w:gridSpan w:val="19"/>
          </w:tcPr>
          <w:p>
            <w:pPr>
              <w:spacing w:after="0"/>
              <w:rPr>
                <w:sz w:val="20"/>
                <w:szCs w:val="20"/>
                <w:color w:val="auto"/>
              </w:rPr>
            </w:pPr>
            <w:r>
              <w:rPr>
                <w:rFonts w:ascii="Arial" w:cs="Arial" w:eastAsia="Arial" w:hAnsi="Arial"/>
                <w:sz w:val="18"/>
                <w:szCs w:val="18"/>
                <w:color w:val="auto"/>
                <w:w w:val="98"/>
              </w:rPr>
              <w:t>Inline XBRL Taxonomy Extension Presentation Linkbase</w:t>
            </w:r>
          </w:p>
        </w:tc>
      </w:tr>
    </w:tbl>
    <w:p>
      <w:pPr>
        <w:ind w:left="1320" w:right="120" w:hanging="687"/>
        <w:spacing w:after="0" w:line="290" w:lineRule="auto"/>
        <w:tabs>
          <w:tab w:leader="none" w:pos="1320" w:val="left"/>
        </w:tabs>
        <w:numPr>
          <w:ilvl w:val="1"/>
          <w:numId w:val="7"/>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157"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b w:val="1"/>
          <w:bCs w:val="1"/>
          <w:color w:val="auto"/>
        </w:rPr>
        <w:t>*  Filed herewith.</w:t>
      </w:r>
    </w:p>
    <w:p>
      <w:pPr>
        <w:spacing w:after="0" w:line="27" w:lineRule="exact"/>
        <w:rPr>
          <w:rFonts w:ascii="Arial" w:cs="Arial" w:eastAsia="Arial" w:hAnsi="Arial"/>
          <w:sz w:val="17"/>
          <w:szCs w:val="17"/>
          <w:color w:val="auto"/>
        </w:rPr>
      </w:pPr>
    </w:p>
    <w:p>
      <w:pPr>
        <w:ind w:left="260" w:hanging="216"/>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500" w:right="59"/>
        <w:spacing w:after="0" w:line="277" w:lineRule="auto"/>
        <w:rPr>
          <w:sz w:val="20"/>
          <w:szCs w:val="20"/>
          <w:color w:val="auto"/>
        </w:rPr>
      </w:pPr>
      <w:r>
        <w:rPr>
          <w:rFonts w:ascii="Arial" w:cs="Arial" w:eastAsia="Arial" w:hAnsi="Arial"/>
          <w:sz w:val="13"/>
          <w:szCs w:val="13"/>
          <w:b w:val="1"/>
          <w:bCs w:val="1"/>
          <w:color w:val="auto"/>
        </w:rPr>
        <w:t>Incorporated by Reference to the Exhibit Indicated Below and to the Filing with the Commission Indicated Below</w:t>
      </w:r>
    </w:p>
    <w:tbl>
      <w:tblPr>
        <w:tblLayout w:type="fixed"/>
        <w:tblInd w:w="0" w:type="dxa"/>
        <w:tblCellMar>
          <w:top w:w="0" w:type="dxa"/>
          <w:left w:w="0" w:type="dxa"/>
          <w:bottom w:w="0" w:type="dxa"/>
          <w:right w:w="0" w:type="dxa"/>
        </w:tblCellMar>
      </w:tblPr>
      <w:tr>
        <w:trPr>
          <w:trHeight w:val="113"/>
        </w:trPr>
        <w:tc>
          <w:tcPr>
            <w:tcW w:w="940" w:type="dxa"/>
            <w:vAlign w:val="bottom"/>
            <w:tcBorders>
              <w:top w:val="single" w:sz="8" w:color="auto"/>
            </w:tcBorders>
            <w:gridSpan w:val="2"/>
          </w:tcPr>
          <w:p>
            <w:pPr>
              <w:jc w:val="center"/>
              <w:ind w:right="280"/>
              <w:spacing w:after="0" w:line="113" w:lineRule="exact"/>
              <w:rPr>
                <w:sz w:val="20"/>
                <w:szCs w:val="20"/>
                <w:color w:val="auto"/>
              </w:rPr>
            </w:pPr>
            <w:r>
              <w:rPr>
                <w:rFonts w:ascii="Arial" w:cs="Arial" w:eastAsia="Arial" w:hAnsi="Arial"/>
                <w:sz w:val="13"/>
                <w:szCs w:val="13"/>
                <w:b w:val="1"/>
                <w:bCs w:val="1"/>
                <w:color w:val="auto"/>
              </w:rPr>
              <w:t>Exhibit</w:t>
            </w:r>
          </w:p>
        </w:tc>
        <w:tc>
          <w:tcPr>
            <w:tcW w:w="194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Filing or</w:t>
            </w:r>
          </w:p>
        </w:tc>
      </w:tr>
      <w:tr>
        <w:trPr>
          <w:trHeight w:val="185"/>
        </w:trPr>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File Number</w:t>
            </w:r>
          </w:p>
        </w:tc>
      </w:tr>
      <w:tr>
        <w:trPr>
          <w:trHeight w:val="224"/>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333-24021</w:t>
            </w:r>
          </w:p>
        </w:tc>
      </w:tr>
      <w:tr>
        <w:trPr>
          <w:trHeight w:val="403"/>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1998 Form 10-K</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2003 Form 10-K</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20, 2016</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Form 8-K</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25, 2016</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Form 8-K</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27, 2022</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Form 8-K/A</w:t>
            </w:r>
          </w:p>
        </w:tc>
      </w:tr>
      <w:tr>
        <w:trPr>
          <w:trHeight w:val="864"/>
        </w:trPr>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r>
    </w:tbl>
    <w:p>
      <w:pPr>
        <w:sectPr>
          <w:pgSz w:w="11900" w:h="16838" w:orient="portrait"/>
          <w:cols w:equalWidth="0" w:num="2">
            <w:col w:w="5800" w:space="280"/>
            <w:col w:w="293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6280" w:type="dxa"/>
            <w:vAlign w:val="bottom"/>
            <w:gridSpan w:val="2"/>
          </w:tcPr>
          <w:p>
            <w:pPr>
              <w:ind w:left="164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OMFORT</w:t>
            </w:r>
            <w:r>
              <w:rPr>
                <w:rFonts w:ascii="Arial" w:cs="Arial" w:eastAsia="Arial" w:hAnsi="Arial"/>
                <w:sz w:val="18"/>
                <w:szCs w:val="18"/>
                <w:color w:val="auto"/>
              </w:rPr>
              <w:t xml:space="preserve"> S</w:t>
            </w:r>
            <w:r>
              <w:rPr>
                <w:rFonts w:ascii="Arial" w:cs="Arial" w:eastAsia="Arial" w:hAnsi="Arial"/>
                <w:sz w:val="12"/>
                <w:szCs w:val="12"/>
                <w:color w:val="auto"/>
              </w:rPr>
              <w:t>YSTEMS</w:t>
            </w:r>
            <w:r>
              <w:rPr>
                <w:rFonts w:ascii="Arial" w:cs="Arial" w:eastAsia="Arial" w:hAnsi="Arial"/>
                <w:sz w:val="18"/>
                <w:szCs w:val="18"/>
                <w:color w:val="auto"/>
              </w:rPr>
              <w:t xml:space="preserve"> USA,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July 27, 2022</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B</w:t>
            </w:r>
            <w:r>
              <w:rPr>
                <w:rFonts w:ascii="Arial" w:cs="Arial" w:eastAsia="Arial" w:hAnsi="Arial"/>
                <w:sz w:val="12"/>
                <w:szCs w:val="12"/>
                <w:color w:val="auto"/>
                <w:w w:val="98"/>
              </w:rPr>
              <w:t>RIAN</w:t>
            </w:r>
            <w:r>
              <w:rPr>
                <w:rFonts w:ascii="Arial" w:cs="Arial" w:eastAsia="Arial" w:hAnsi="Arial"/>
                <w:sz w:val="18"/>
                <w:szCs w:val="18"/>
                <w:color w:val="auto"/>
                <w:w w:val="98"/>
              </w:rPr>
              <w:t xml:space="preserve"> E. L</w:t>
            </w:r>
            <w:r>
              <w:rPr>
                <w:rFonts w:ascii="Arial" w:cs="Arial" w:eastAsia="Arial" w:hAnsi="Arial"/>
                <w:sz w:val="12"/>
                <w:szCs w:val="12"/>
                <w:color w:val="auto"/>
                <w:w w:val="98"/>
              </w:rPr>
              <w:t>ANE</w:t>
            </w:r>
          </w:p>
        </w:tc>
      </w:tr>
      <w:tr>
        <w:trPr>
          <w:trHeight w:val="195"/>
        </w:trPr>
        <w:tc>
          <w:tcPr>
            <w:tcW w:w="2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91"/>
              </w:rPr>
              <w:t>Brian E. Lane</w:t>
            </w:r>
          </w:p>
        </w:tc>
      </w:tr>
      <w:tr>
        <w:trPr>
          <w:trHeight w:val="230"/>
        </w:trPr>
        <w:tc>
          <w:tcPr>
            <w:tcW w:w="2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Chief Executive Officer and Director</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July 27, 2022</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ILLIAM</w:t>
            </w:r>
            <w:r>
              <w:rPr>
                <w:rFonts w:ascii="Arial" w:cs="Arial" w:eastAsia="Arial" w:hAnsi="Arial"/>
                <w:sz w:val="18"/>
                <w:szCs w:val="18"/>
                <w:color w:val="auto"/>
                <w:w w:val="98"/>
              </w:rPr>
              <w:t xml:space="preserve"> G</w:t>
            </w:r>
            <w:r>
              <w:rPr>
                <w:rFonts w:ascii="Arial" w:cs="Arial" w:eastAsia="Arial" w:hAnsi="Arial"/>
                <w:sz w:val="12"/>
                <w:szCs w:val="12"/>
                <w:color w:val="auto"/>
                <w:w w:val="98"/>
              </w:rPr>
              <w:t>EORGE</w:t>
            </w:r>
          </w:p>
        </w:tc>
      </w:tr>
      <w:tr>
        <w:trPr>
          <w:trHeight w:val="195"/>
        </w:trPr>
        <w:tc>
          <w:tcPr>
            <w:tcW w:w="2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94"/>
              </w:rPr>
              <w:t>William George</w:t>
            </w:r>
          </w:p>
        </w:tc>
      </w:tr>
      <w:tr>
        <w:trPr>
          <w:trHeight w:val="230"/>
        </w:trPr>
        <w:tc>
          <w:tcPr>
            <w:tcW w:w="2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and Chief Financial Officer</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July 27, 2022</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w:t>
            </w:r>
            <w:r>
              <w:rPr>
                <w:rFonts w:ascii="Arial" w:cs="Arial" w:eastAsia="Arial" w:hAnsi="Arial"/>
                <w:sz w:val="12"/>
                <w:szCs w:val="12"/>
                <w:color w:val="auto"/>
                <w:w w:val="92"/>
              </w:rPr>
              <w:t>ULIE</w:t>
            </w:r>
            <w:r>
              <w:rPr>
                <w:rFonts w:ascii="Arial" w:cs="Arial" w:eastAsia="Arial" w:hAnsi="Arial"/>
                <w:sz w:val="18"/>
                <w:szCs w:val="18"/>
                <w:color w:val="auto"/>
                <w:w w:val="92"/>
              </w:rPr>
              <w:t xml:space="preserve"> S. S</w:t>
            </w:r>
            <w:r>
              <w:rPr>
                <w:rFonts w:ascii="Arial" w:cs="Arial" w:eastAsia="Arial" w:hAnsi="Arial"/>
                <w:sz w:val="12"/>
                <w:szCs w:val="12"/>
                <w:color w:val="auto"/>
                <w:w w:val="92"/>
              </w:rPr>
              <w:t>HAEFF</w:t>
            </w:r>
          </w:p>
        </w:tc>
      </w:tr>
      <w:tr>
        <w:trPr>
          <w:trHeight w:val="195"/>
        </w:trPr>
        <w:tc>
          <w:tcPr>
            <w:tcW w:w="2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89"/>
              </w:rPr>
              <w:t>Julie S. Shaeff</w:t>
            </w:r>
          </w:p>
        </w:tc>
      </w:tr>
      <w:tr>
        <w:trPr>
          <w:trHeight w:val="230"/>
        </w:trPr>
        <w:tc>
          <w:tcPr>
            <w:tcW w:w="2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1"/>
              </w:rPr>
              <w:t>Senior Vice President and Chief Accounting Officer</w:t>
            </w:r>
          </w:p>
        </w:tc>
      </w:tr>
      <w:tr>
        <w:trPr>
          <w:trHeight w:val="878"/>
        </w:trPr>
        <w:tc>
          <w:tcPr>
            <w:tcW w:w="26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c>
          <w:tcPr>
            <w:tcW w:w="4280" w:type="dxa"/>
            <w:vAlign w:val="bottom"/>
          </w:tcPr>
          <w:p>
            <w:pPr>
              <w:spacing w:after="0"/>
              <w:rPr>
                <w:sz w:val="24"/>
                <w:szCs w:val="24"/>
                <w:color w:val="auto"/>
              </w:rPr>
            </w:pPr>
          </w:p>
        </w:tc>
      </w:tr>
      <w:tr>
        <w:trPr>
          <w:trHeight w:val="560"/>
        </w:trPr>
        <w:tc>
          <w:tcPr>
            <w:tcW w:w="2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10.2</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31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r>
      <w:tr>
        <w:trPr>
          <w:trHeight w:val="209"/>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Number of Restricted Stock Units:</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r>
      <w:tr>
        <w:trPr>
          <w:trHeight w:val="210"/>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Date of Grant:</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69" w:lineRule="exact"/>
        <w:rPr>
          <w:sz w:val="20"/>
          <w:szCs w:val="20"/>
          <w:color w:val="auto"/>
        </w:rPr>
      </w:pPr>
    </w:p>
    <w:p>
      <w:pPr>
        <w:ind w:left="3160"/>
        <w:spacing w:after="0"/>
        <w:rPr>
          <w:sz w:val="20"/>
          <w:szCs w:val="20"/>
          <w:color w:val="auto"/>
        </w:rPr>
      </w:pPr>
      <w:r>
        <w:rPr>
          <w:rFonts w:ascii="Arial" w:cs="Arial" w:eastAsia="Arial" w:hAnsi="Arial"/>
          <w:sz w:val="25"/>
          <w:szCs w:val="25"/>
          <w:color w:val="auto"/>
        </w:rPr>
        <w:t>COMFORT SYSTEMS USA, INC.</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25"/>
          <w:szCs w:val="25"/>
          <w:color w:val="auto"/>
        </w:rPr>
        <w:t>2017 OMNIBUS INCENTIVE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RESTRICTED STOCK UNIT AGREEMENT</w:t>
      </w:r>
    </w:p>
    <w:p>
      <w:pPr>
        <w:spacing w:after="0" w:line="206"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This Restricted Stock Unit Agreement (the “Agreement”), is made, effective as of the [•] day of [•], [•] (the “Grant Date”) between Comfort Systems USA, Inc., a Delaware corporation (the “Company”), and [•] (the “Participant”).</w:t>
      </w:r>
    </w:p>
    <w:p>
      <w:pPr>
        <w:spacing w:after="0" w:line="186" w:lineRule="exact"/>
        <w:rPr>
          <w:sz w:val="20"/>
          <w:szCs w:val="20"/>
          <w:color w:val="auto"/>
        </w:rPr>
      </w:pPr>
    </w:p>
    <w:p>
      <w:pPr>
        <w:ind w:right="100" w:firstLine="8"/>
        <w:spacing w:after="0" w:line="270" w:lineRule="auto"/>
        <w:tabs>
          <w:tab w:leader="none" w:pos="648"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Restricted Stock Unit Award</w:t>
      </w:r>
      <w:r>
        <w:rPr>
          <w:rFonts w:ascii="Arial" w:cs="Arial" w:eastAsia="Arial" w:hAnsi="Arial"/>
          <w:sz w:val="19"/>
          <w:szCs w:val="19"/>
          <w:color w:val="auto"/>
        </w:rPr>
        <w:t>. The Participant is hereby awarded, pursuant to the Comfort Systems USA, Inc. 2017 Omnibus Incentive Plan (as amended from time to time, the “Plan”), and subject to its terms, an award (this “Award”) consisting of [•] Restricted Stock Units (the “Units”). Each Unit entitles the Participant to the conditional right to receive, without payment but subject to the conditions and limitations set forth in this Agreement and in the Plan, one share of Common Stock (the “Shares”), subject to adjustment pursuant to Section</w:t>
      </w:r>
    </w:p>
    <w:p>
      <w:pPr>
        <w:spacing w:after="0" w:line="4" w:lineRule="exact"/>
        <w:rPr>
          <w:rFonts w:ascii="Arial" w:cs="Arial" w:eastAsia="Arial" w:hAnsi="Arial"/>
          <w:sz w:val="19"/>
          <w:szCs w:val="19"/>
          <w:color w:val="auto"/>
        </w:rPr>
      </w:pPr>
    </w:p>
    <w:p>
      <w:pPr>
        <w:ind w:right="320" w:firstLine="8"/>
        <w:spacing w:after="0" w:line="236" w:lineRule="auto"/>
        <w:tabs>
          <w:tab w:leader="none" w:pos="27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of the Plan in respect of transactions occurring after the date hereof. Except as otherwise defined herein, all capitalized terms used herein have the same meaning as in the Plan.</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656"/>
        <w:spacing w:after="0" w:line="279" w:lineRule="auto"/>
        <w:tabs>
          <w:tab w:leader="none" w:pos="1296"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Units, unless earlier cancelled and forfeited in accordance with the Plan and this Agreement, shall become vested as to [•] of the total number of Units subject to this Award on the first day of the first month following [each of] the [•] [anniversary(ies)] of the Grant Date, such that the Units shall be fully vested on the first day of the first month following the [•] anniversary of the Grant Date. Notwithstanding the foregoing, except as provided in subsection (b) below, the Units subject to this Award shall not vest on any vesting date unless the Participant has remained continuously employed by the Company or its Affiliates on the applicable vesting date.</w:t>
      </w:r>
    </w:p>
    <w:p>
      <w:pPr>
        <w:spacing w:after="0" w:line="150" w:lineRule="exact"/>
        <w:rPr>
          <w:rFonts w:ascii="Arial" w:cs="Arial" w:eastAsia="Arial" w:hAnsi="Arial"/>
          <w:sz w:val="19"/>
          <w:szCs w:val="19"/>
          <w:color w:val="auto"/>
        </w:rPr>
      </w:pPr>
    </w:p>
    <w:p>
      <w:pPr>
        <w:ind w:right="40" w:firstLine="656"/>
        <w:spacing w:after="0" w:line="277" w:lineRule="auto"/>
        <w:tabs>
          <w:tab w:leader="none" w:pos="1296" w:val="left"/>
        </w:tabs>
        <w:numPr>
          <w:ilvl w:val="1"/>
          <w:numId w:val="11"/>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2, if the Participant retires from the Company at a time when the sum of his or her age in whole years and his or her years of service with the Company (as determined in a manner consistent with the method used for purposes of determining vesting under the Comfort Systems USA, Inc. 401(k) Plan) is at least 75, the Units shall remain outstanding following such retirement and the Participant shall be deemed to satisfy the continuous employment condition set forth in Section 2(a) on the regularly scheduled vesting date(s) following the Participant’s retirement and such Units shall vest in accordance with the schedule set forth in Section 2(a) above.</w:t>
      </w:r>
    </w:p>
    <w:p>
      <w:pPr>
        <w:spacing w:after="0" w:line="151" w:lineRule="exact"/>
        <w:rPr>
          <w:rFonts w:ascii="Arial" w:cs="Arial" w:eastAsia="Arial" w:hAnsi="Arial"/>
          <w:sz w:val="19"/>
          <w:szCs w:val="19"/>
          <w:color w:val="auto"/>
        </w:rPr>
      </w:pPr>
    </w:p>
    <w:p>
      <w:pPr>
        <w:ind w:right="280" w:firstLine="656"/>
        <w:spacing w:after="0"/>
        <w:tabs>
          <w:tab w:leader="none" w:pos="1296" w:val="left"/>
        </w:tabs>
        <w:numPr>
          <w:ilvl w:val="1"/>
          <w:numId w:val="11"/>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2, the Committee may, in its sole discretion, reduce the number of Units vesting on any date pursuant to this Award, and may cause any unvested Units under this Award to be forfeited, based on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39" w:name="page40"/>
    <w:bookmarkEnd w:id="39"/>
    <w:p>
      <w:pPr>
        <w:ind w:right="320"/>
        <w:spacing w:after="0" w:line="251" w:lineRule="auto"/>
        <w:rPr>
          <w:sz w:val="20"/>
          <w:szCs w:val="20"/>
          <w:color w:val="auto"/>
        </w:rPr>
      </w:pPr>
      <w:r>
        <w:rPr>
          <w:rFonts w:ascii="Arial" w:cs="Arial" w:eastAsia="Arial" w:hAnsi="Arial"/>
          <w:sz w:val="22"/>
          <w:szCs w:val="22"/>
          <w:color w:val="auto"/>
        </w:rPr>
        <w:t>performance of the Participant as compared with specific individual goals, which may be based on objective or nonobjective factors related to the Participant’s performance.</w:t>
      </w:r>
    </w:p>
    <w:p>
      <w:pPr>
        <w:spacing w:after="0" w:line="173" w:lineRule="exact"/>
        <w:rPr>
          <w:sz w:val="20"/>
          <w:szCs w:val="20"/>
          <w:color w:val="auto"/>
        </w:rPr>
      </w:pPr>
    </w:p>
    <w:p>
      <w:pPr>
        <w:ind w:right="100" w:firstLine="8"/>
        <w:spacing w:after="0" w:line="236" w:lineRule="auto"/>
        <w:tabs>
          <w:tab w:leader="none" w:pos="648"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 The Company shall, within sixty (60) days following the vesting date of any portion of this Award, effect delivery of the Shares with respect to such vested portion to the Participant (or, in the event of the Participant’s death, to the Designated Beneficiary). No Shares will be issued pursuant to this Award unless and until all legal requirements applicable to the issuance or transfer of such Shares have been complied with to the satisfaction of the Committee.</w:t>
      </w:r>
    </w:p>
    <w:p>
      <w:pPr>
        <w:spacing w:after="0" w:line="187" w:lineRule="exact"/>
        <w:rPr>
          <w:rFonts w:ascii="Arial" w:cs="Arial" w:eastAsia="Arial" w:hAnsi="Arial"/>
          <w:sz w:val="22"/>
          <w:szCs w:val="22"/>
          <w:color w:val="auto"/>
        </w:rPr>
      </w:pPr>
    </w:p>
    <w:p>
      <w:pPr>
        <w:ind w:right="80" w:firstLine="8"/>
        <w:spacing w:after="0" w:line="277" w:lineRule="auto"/>
        <w:tabs>
          <w:tab w:leader="none" w:pos="648"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Dividends; Other Rights</w:t>
      </w:r>
      <w:r>
        <w:rPr>
          <w:rFonts w:ascii="Arial" w:cs="Arial" w:eastAsia="Arial" w:hAnsi="Arial"/>
          <w:sz w:val="19"/>
          <w:szCs w:val="19"/>
          <w:color w:val="auto"/>
        </w:rPr>
        <w:t>. This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date on which such Shares are delivered to the Participant hereunder. The Participant shall have the rights of a shareholder only as to those Shares, if any, that are actually delivered under this Award. If the Participant is party to a change-in-control agreement with the Company, the Units shall be deemed to be “restricted stock” for purposes of that agreement.</w:t>
      </w:r>
    </w:p>
    <w:p>
      <w:pPr>
        <w:spacing w:after="0" w:line="151" w:lineRule="exact"/>
        <w:rPr>
          <w:rFonts w:ascii="Arial" w:cs="Arial" w:eastAsia="Arial" w:hAnsi="Arial"/>
          <w:sz w:val="19"/>
          <w:szCs w:val="19"/>
          <w:color w:val="auto"/>
        </w:rPr>
      </w:pPr>
    </w:p>
    <w:p>
      <w:pPr>
        <w:ind w:right="100" w:firstLine="8"/>
        <w:spacing w:after="0" w:line="270" w:lineRule="auto"/>
        <w:tabs>
          <w:tab w:leader="none" w:pos="648"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Certain Tax Matters</w:t>
      </w:r>
      <w:r>
        <w:rPr>
          <w:rFonts w:ascii="Arial" w:cs="Arial" w:eastAsia="Arial" w:hAnsi="Arial"/>
          <w:sz w:val="19"/>
          <w:szCs w:val="19"/>
          <w:color w:val="auto"/>
        </w:rPr>
        <w:t>. The Participant expressly acknowledges that because this Award consists of an unfunded and unsecured promise by the Company to deliver Shares in the future, subject to the terms hereof, it is not possible to make a so-called “83(b) election” with respect to this Award. The Participant expressly acknowledges and agrees that the Participant’s rights hereunder, including the right to be issued Shares upon the vesting and settlement of this Award (or any portion thereof), are subject to the Participant’s promptly paying, or in respect of any later requirement of withholding, being liable promptly to pay at such time as such withholdings are due, to the Company in cash (or by such other means as may be acceptable to the Committee in its discretion) all taxes required to be withheld, if any, in respect of this Award. The Participant shall, at his or her election, be permitted to satisfy the statutory minimum amount of such tax obligations by (i) authorizing the Company to withhold a number of Shares or (ii) transferring to the Company shares of Common Stock owned by the Participant, in each case, having an aggregate Fair Market Value (measured on the date such Shares would otherwise be delivered or are transferred to the Company, as applicable) sufficient to satisfy such obligations. No Shares will be transferred in satisfaction of this Award (or any portion thereof) unless and until the Participant or the person then holding this Award has remitted to the Company an amount in cash sufficient to satisfy any federal, state, or local requirements with respect to tax withholdings then due and has committed (and by holding this Award the Participant shall be deemed to have committed) to pay in cash all tax withholdings required at any later time in respect of the transfer of such shares, or has made other arrangements satisfactory to the Committee with respect to the payment of such taxes. The Participant also authorizes the Company and its Affiliates to withhold such amounts from any amounts otherwise payable to the Participant, but nothing in this sentence shall be construed as relieving the Participant of any liability for satisfying his or her obligations under the preceding provisions of this Section 5.</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8"/>
        <w:spacing w:after="0" w:line="250" w:lineRule="auto"/>
        <w:tabs>
          <w:tab w:leader="none" w:pos="648"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This Award may not be transferred except as expressly permitted under Section 9(g) of the Plan.</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4920" w:hanging="106"/>
        <w:spacing w:after="0"/>
        <w:tabs>
          <w:tab w:leader="none" w:pos="4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ind w:left="-8" w:firstLine="8"/>
        <w:spacing w:after="0" w:line="236"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Effect on Employment or Service Rights</w:t>
      </w:r>
      <w:r>
        <w:rPr>
          <w:rFonts w:ascii="Arial" w:cs="Arial" w:eastAsia="Arial" w:hAnsi="Arial"/>
          <w:sz w:val="22"/>
          <w:szCs w:val="22"/>
          <w:color w:val="auto"/>
        </w:rPr>
        <w:t>. Neither the grant of this Award, nor the delivery of Shares under this Award in accordance with the terms of this Agreement, shall give the Participant any right to be retained in the employ or service of the Company or its Affiliates, affect the right of the Company or its Affiliates to discharge or discipline the Participant at any time, or affect any right of the Participant to terminate his or her employment relationship with the Company at any time.</w:t>
      </w:r>
    </w:p>
    <w:p>
      <w:pPr>
        <w:spacing w:after="0" w:line="187" w:lineRule="exact"/>
        <w:rPr>
          <w:rFonts w:ascii="Arial" w:cs="Arial" w:eastAsia="Arial" w:hAnsi="Arial"/>
          <w:sz w:val="22"/>
          <w:szCs w:val="22"/>
          <w:color w:val="auto"/>
        </w:rPr>
      </w:pPr>
    </w:p>
    <w:p>
      <w:pPr>
        <w:ind w:left="-8" w:right="40" w:firstLine="8"/>
        <w:spacing w:after="0" w:line="249"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Non-Competition; Non-Solicitation</w:t>
      </w:r>
      <w:r>
        <w:rPr>
          <w:rFonts w:ascii="Arial" w:cs="Arial" w:eastAsia="Arial" w:hAnsi="Arial"/>
          <w:sz w:val="21"/>
          <w:szCs w:val="21"/>
          <w:color w:val="auto"/>
        </w:rPr>
        <w:t>. The Participant will not, during the period of his or her employment by or with the Company or any of its Affiliates, and for a period of twelve (12) months immediately following the termination of his or her employment with the Company and its Affiliates, for any reason whatsoever, directly or indirectly, on his or her own behalf or on behalf of or in conjunction with any other person, company, partnership, corporation or business of whatever nature:</w:t>
      </w:r>
    </w:p>
    <w:p>
      <w:pPr>
        <w:spacing w:after="0" w:line="178" w:lineRule="exact"/>
        <w:rPr>
          <w:rFonts w:ascii="Arial" w:cs="Arial" w:eastAsia="Arial" w:hAnsi="Arial"/>
          <w:sz w:val="21"/>
          <w:szCs w:val="21"/>
          <w:color w:val="auto"/>
        </w:rPr>
      </w:pPr>
    </w:p>
    <w:p>
      <w:pPr>
        <w:ind w:left="-8" w:right="20" w:firstLine="656"/>
        <w:spacing w:after="0" w:line="246" w:lineRule="auto"/>
        <w:tabs>
          <w:tab w:leader="none" w:pos="934" w:val="left"/>
        </w:tabs>
        <w:numPr>
          <w:ilvl w:val="1"/>
          <w:numId w:val="13"/>
        </w:numPr>
        <w:rPr>
          <w:rFonts w:ascii="Arial" w:cs="Arial" w:eastAsia="Arial" w:hAnsi="Arial"/>
          <w:sz w:val="21"/>
          <w:szCs w:val="21"/>
          <w:color w:val="auto"/>
        </w:rPr>
      </w:pPr>
      <w:r>
        <w:rPr>
          <w:rFonts w:ascii="Arial" w:cs="Arial" w:eastAsia="Arial" w:hAnsi="Arial"/>
          <w:sz w:val="21"/>
          <w:szCs w:val="21"/>
          <w:color w:val="auto"/>
        </w:rPr>
        <w:t>engage, as an officer, director, shareholder, owner, partner, joint venturer, or in a managerial capacity, whether as an employee, independent contractor, consultant or advisor, or as a sales representative, or make or guarantee loans or invest, in or for any business engaged in the business of mechanical contracting services, including heating, ventilation and air conditioning, plumbing, fire protection, piping and electrical and related services (“Services”) in competition with the Company or any of its Affiliates within seventy-five (75) miles of where the Company or any affiliated operation or Affiliate conducts business if within the preceding two (2) years the Participant has had responsibility for, or material input or participation in, the management or operation of such other operation or Affiliate;</w:t>
      </w:r>
    </w:p>
    <w:p>
      <w:pPr>
        <w:spacing w:after="0" w:line="179" w:lineRule="exact"/>
        <w:rPr>
          <w:rFonts w:ascii="Arial" w:cs="Arial" w:eastAsia="Arial" w:hAnsi="Arial"/>
          <w:sz w:val="21"/>
          <w:szCs w:val="21"/>
          <w:color w:val="auto"/>
        </w:rPr>
      </w:pPr>
    </w:p>
    <w:p>
      <w:pPr>
        <w:ind w:left="-8" w:right="120" w:firstLine="656"/>
        <w:spacing w:after="0"/>
        <w:tabs>
          <w:tab w:leader="none" w:pos="946" w:val="left"/>
        </w:tabs>
        <w:numPr>
          <w:ilvl w:val="1"/>
          <w:numId w:val="13"/>
        </w:numPr>
        <w:rPr>
          <w:rFonts w:ascii="Arial" w:cs="Arial" w:eastAsia="Arial" w:hAnsi="Arial"/>
          <w:sz w:val="22"/>
          <w:szCs w:val="22"/>
          <w:color w:val="auto"/>
        </w:rPr>
      </w:pPr>
      <w:r>
        <w:rPr>
          <w:rFonts w:ascii="Arial" w:cs="Arial" w:eastAsia="Arial" w:hAnsi="Arial"/>
          <w:sz w:val="22"/>
          <w:szCs w:val="22"/>
          <w:color w:val="auto"/>
        </w:rPr>
        <w:t>call upon any person who is, at that time, an employee of the Company or any of its Affiliates in a technical, managerial or sales capacity for the purpose or with the intent of enticing such employee away from or out of the employ of the Company or any Affiliate;</w:t>
      </w:r>
    </w:p>
    <w:p>
      <w:pPr>
        <w:spacing w:after="0" w:line="186" w:lineRule="exact"/>
        <w:rPr>
          <w:rFonts w:ascii="Arial" w:cs="Arial" w:eastAsia="Arial" w:hAnsi="Arial"/>
          <w:sz w:val="22"/>
          <w:szCs w:val="22"/>
          <w:color w:val="auto"/>
        </w:rPr>
      </w:pPr>
    </w:p>
    <w:p>
      <w:pPr>
        <w:ind w:left="-8" w:right="20" w:firstLine="656"/>
        <w:spacing w:after="0" w:line="274" w:lineRule="auto"/>
        <w:tabs>
          <w:tab w:leader="none" w:pos="934" w:val="left"/>
        </w:tabs>
        <w:numPr>
          <w:ilvl w:val="1"/>
          <w:numId w:val="13"/>
        </w:numPr>
        <w:rPr>
          <w:rFonts w:ascii="Arial" w:cs="Arial" w:eastAsia="Arial" w:hAnsi="Arial"/>
          <w:sz w:val="21"/>
          <w:szCs w:val="21"/>
          <w:color w:val="auto"/>
        </w:rPr>
      </w:pPr>
      <w:r>
        <w:rPr>
          <w:rFonts w:ascii="Arial" w:cs="Arial" w:eastAsia="Arial" w:hAnsi="Arial"/>
          <w:sz w:val="21"/>
          <w:szCs w:val="21"/>
          <w:color w:val="auto"/>
        </w:rPr>
        <w:t>call upon any person or entity which is at that time, or which has been within two (2) years prior to that time, a customer of the Company or any Affiliate for the purpose of soliciting or selling Services; or</w:t>
      </w:r>
    </w:p>
    <w:p>
      <w:pPr>
        <w:spacing w:after="0" w:line="150" w:lineRule="exact"/>
        <w:rPr>
          <w:rFonts w:ascii="Arial" w:cs="Arial" w:eastAsia="Arial" w:hAnsi="Arial"/>
          <w:sz w:val="21"/>
          <w:szCs w:val="21"/>
          <w:color w:val="auto"/>
        </w:rPr>
      </w:pPr>
    </w:p>
    <w:p>
      <w:pPr>
        <w:jc w:val="both"/>
        <w:ind w:left="-8" w:right="300" w:firstLine="656"/>
        <w:spacing w:after="0" w:line="252" w:lineRule="auto"/>
        <w:tabs>
          <w:tab w:leader="none" w:pos="946" w:val="left"/>
        </w:tabs>
        <w:numPr>
          <w:ilvl w:val="1"/>
          <w:numId w:val="13"/>
        </w:numPr>
        <w:rPr>
          <w:rFonts w:ascii="Arial" w:cs="Arial" w:eastAsia="Arial" w:hAnsi="Arial"/>
          <w:sz w:val="21"/>
          <w:szCs w:val="21"/>
          <w:color w:val="auto"/>
        </w:rPr>
      </w:pPr>
      <w:r>
        <w:rPr>
          <w:rFonts w:ascii="Arial" w:cs="Arial" w:eastAsia="Arial" w:hAnsi="Arial"/>
          <w:sz w:val="21"/>
          <w:szCs w:val="21"/>
          <w:color w:val="auto"/>
        </w:rPr>
        <w:t>call upon any prospective acquisition candidate, on the Participant’s own behalf or on behalf of any competitor, which acquisition candidate either was called upon by the Participant on behalf of the Company or any Affiliate or was the subject of an acquisition analysis made by the Participant on behalf of the Company or any Affiliate for the purpose of acquiring such acquisition candidate.</w:t>
      </w:r>
    </w:p>
    <w:p>
      <w:pPr>
        <w:spacing w:after="0" w:line="173" w:lineRule="exact"/>
        <w:rPr>
          <w:rFonts w:ascii="Arial" w:cs="Arial" w:eastAsia="Arial" w:hAnsi="Arial"/>
          <w:sz w:val="21"/>
          <w:szCs w:val="21"/>
          <w:color w:val="auto"/>
        </w:rPr>
      </w:pPr>
    </w:p>
    <w:p>
      <w:pPr>
        <w:ind w:left="-8" w:right="20" w:firstLine="656"/>
        <w:spacing w:after="0" w:line="279" w:lineRule="auto"/>
        <w:tabs>
          <w:tab w:leader="none" w:pos="934" w:val="left"/>
        </w:tabs>
        <w:numPr>
          <w:ilvl w:val="1"/>
          <w:numId w:val="13"/>
        </w:numPr>
        <w:rPr>
          <w:rFonts w:ascii="Arial" w:cs="Arial" w:eastAsia="Arial" w:hAnsi="Arial"/>
          <w:sz w:val="19"/>
          <w:szCs w:val="19"/>
          <w:color w:val="auto"/>
        </w:rPr>
      </w:pPr>
      <w:r>
        <w:rPr>
          <w:rFonts w:ascii="Arial" w:cs="Arial" w:eastAsia="Arial" w:hAnsi="Arial"/>
          <w:sz w:val="19"/>
          <w:szCs w:val="19"/>
          <w:color w:val="auto"/>
        </w:rPr>
        <w:t>Notwithstanding the above, the foregoing agreements and covenants set forth in this Section 8 shall not be deemed to prohibit the Participant from acquiring as an investment not more than one percent (1%) of the capital stock of a competing business whose stock is traded on a national securities exchange or on an over-the-counter or similar market. It is specifically agreed that the period during which the agreements and covenants of the Participant made in this Section 8 shall be effective shall be computed by excluding from such computation any time during which the Participant is in violation of any provision of this Section 8.</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4912" w:hanging="106"/>
        <w:spacing w:after="0"/>
        <w:tabs>
          <w:tab w:leader="none" w:pos="4912" w:val="left"/>
        </w:tabs>
        <w:numPr>
          <w:ilvl w:val="2"/>
          <w:numId w:val="1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18" w:right="1019" w:bottom="1440" w:gutter="0" w:footer="0" w:header="0"/>
        </w:sectPr>
      </w:pPr>
    </w:p>
    <w:bookmarkStart w:id="41" w:name="page42"/>
    <w:bookmarkEnd w:id="41"/>
    <w:p>
      <w:pPr>
        <w:ind w:firstLine="656"/>
        <w:spacing w:after="0" w:line="275" w:lineRule="auto"/>
        <w:tabs>
          <w:tab w:leader="none" w:pos="918" w:val="left"/>
        </w:tabs>
        <w:numPr>
          <w:ilvl w:val="1"/>
          <w:numId w:val="14"/>
        </w:numPr>
        <w:rPr>
          <w:rFonts w:ascii="Arial" w:cs="Arial" w:eastAsia="Arial" w:hAnsi="Arial"/>
          <w:sz w:val="19"/>
          <w:szCs w:val="19"/>
          <w:color w:val="auto"/>
        </w:rPr>
      </w:pPr>
      <w:r>
        <w:rPr>
          <w:rFonts w:ascii="Arial" w:cs="Arial" w:eastAsia="Arial" w:hAnsi="Arial"/>
          <w:sz w:val="19"/>
          <w:szCs w:val="19"/>
          <w:color w:val="auto"/>
        </w:rPr>
        <w:t>If the Company determines that the Participant is not in compliance with the agreements and covenants set forth in this Section 8, and such non-compliance has not been authorized in advance in a specific written waiver from the Company, the Committee may, without limiting any other remedies that may be available to the Company, cause all or any portion of this Award to be forfeited, whether or not previously vested, and may require the Participant to remit or deliver to the Company the amount of any consideration received by the Participant upon the sale of any Shares delivered under this Award. The Participant acknowledges and agrees that the calculation of damages from a breach of the foregoing agreements and covenants would be difficult to calculate accurately and that the remedies provided for herein are reasonable and not a penalty.</w:t>
      </w:r>
    </w:p>
    <w:p>
      <w:pPr>
        <w:spacing w:after="0" w:line="157" w:lineRule="exact"/>
        <w:rPr>
          <w:rFonts w:ascii="Arial" w:cs="Arial" w:eastAsia="Arial" w:hAnsi="Arial"/>
          <w:sz w:val="19"/>
          <w:szCs w:val="19"/>
          <w:color w:val="auto"/>
        </w:rPr>
      </w:pPr>
    </w:p>
    <w:p>
      <w:pPr>
        <w:ind w:right="40" w:firstLine="8"/>
        <w:spacing w:after="0" w:line="270" w:lineRule="auto"/>
        <w:tabs>
          <w:tab w:leader="none" w:pos="64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If the Participant is determined to be a “specified employee” within the meaning of Section 409A of the Code and the Treasury regulations thereunder, as determined by the Company, at the time of the Participant’s “separation from service” within the meaning of Section 409A of the Code and the Treasury regulations thereunder, then, to the extent necessary to prevent any accelerated or additional tax under Section 409A of the Code, the settlement and delivery of any Shares hereunder upon such separation from service will be delayed until the earlier of: (a) the date that is six months and one day following the Participant’s separation from service and (b) the Participant’s death. For purposes of this Agreement, to the extent required by Section 409A of the Code, all references to “termination of employment” and correlative phrases shall be construed to require a “separation from service” (as defined in Section 1.409A-1(h) of the Treasury regulations after giving effect to the presumptions contained therein). If the Participant is party to a change-in-control agreement with the Company that provides for the acceleration of restricted stock units upon a change in control of the Company, to the extent this Award (or any portion of this Award) constitutes “nonqualified deferred compensation” that is subject to Section 409A of the Code, then, to the extent necessary to prevent any accelerated or additional tax under Section 409A of the Code, it shall become payable only if the event or circumstances constituting the change in control would also constitute a change in the ownership or effective control of the Company, or a change in the ownership of a substantial portion of the Company’s assets, within the meaning of subsection (a)(2)(A)(v) of Section 409A and the Treasury Regulations thereunder. Each payment under this Agreement shall be deemed a separate payment and the right to a series of installment payments under this Agreement is to be treated as a right to a series of separate payments.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firstLine="8"/>
        <w:spacing w:after="0" w:line="287" w:lineRule="auto"/>
        <w:tabs>
          <w:tab w:leader="none" w:pos="64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all claims or disputes arising out of or based upon this Agreement or relating 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42" w:lineRule="exact"/>
        <w:rPr>
          <w:rFonts w:ascii="Arial" w:cs="Arial" w:eastAsia="Arial" w:hAnsi="Arial"/>
          <w:sz w:val="19"/>
          <w:szCs w:val="19"/>
          <w:color w:val="auto"/>
        </w:rPr>
      </w:pPr>
    </w:p>
    <w:p>
      <w:pPr>
        <w:jc w:val="both"/>
        <w:ind w:right="80" w:firstLine="8"/>
        <w:spacing w:after="0" w:line="297" w:lineRule="auto"/>
        <w:tabs>
          <w:tab w:leader="none" w:pos="64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This Award is subject to the Plan. In the event of a conflict between the terms of this Award and the Plan, the Plan shall govern. For purposes of this Award and any determinations to be made by the Committee hereunder, the determinations by the Committee shall be binding upon the Participant and any transferee.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2" w:name="page43"/>
    <w:bookmarkEnd w:id="42"/>
    <w:p>
      <w:pPr>
        <w:ind w:right="80" w:firstLine="648"/>
        <w:spacing w:after="0" w:line="273" w:lineRule="auto"/>
        <w:rPr>
          <w:sz w:val="20"/>
          <w:szCs w:val="20"/>
          <w:color w:val="auto"/>
        </w:rPr>
      </w:pPr>
      <w:r>
        <w:rPr>
          <w:rFonts w:ascii="Arial" w:cs="Arial" w:eastAsia="Arial" w:hAnsi="Arial"/>
          <w:sz w:val="19"/>
          <w:szCs w:val="19"/>
          <w:color w:val="auto"/>
        </w:rPr>
        <w:t>By acceptance of this Award, the undersigned agrees to be subject to the terms of the Plan and this Agreement. The Participant further acknowledges and agrees that (i) the signature to this Agreement on behalf of the Company is an electronic signature that will be treated as an original signature for all purposes hereunder and</w:t>
      </w:r>
    </w:p>
    <w:p>
      <w:pPr>
        <w:spacing w:after="0" w:line="1" w:lineRule="exact"/>
        <w:rPr>
          <w:sz w:val="20"/>
          <w:szCs w:val="20"/>
          <w:color w:val="auto"/>
        </w:rPr>
      </w:pPr>
    </w:p>
    <w:p>
      <w:pPr>
        <w:ind w:right="420" w:firstLine="8"/>
        <w:spacing w:after="0" w:line="236" w:lineRule="auto"/>
        <w:tabs>
          <w:tab w:leader="none" w:pos="318"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such electronic signature will be binding against the Company and will create a legally binding agreement when this Agreement is countersigned by the Participant.</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as of the ___ day of [•],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60" w:type="dxa"/>
            <w:vAlign w:val="bottom"/>
          </w:tcPr>
          <w:p>
            <w:pPr>
              <w:spacing w:after="0"/>
              <w:rPr>
                <w:sz w:val="20"/>
                <w:szCs w:val="20"/>
                <w:color w:val="auto"/>
              </w:rPr>
            </w:pPr>
            <w:r>
              <w:rPr>
                <w:rFonts w:ascii="Arial" w:cs="Arial" w:eastAsia="Arial" w:hAnsi="Arial"/>
                <w:sz w:val="22"/>
                <w:szCs w:val="22"/>
                <w:i w:val="1"/>
                <w:iCs w:val="1"/>
                <w:color w:val="auto"/>
              </w:rPr>
              <w:t>Company:</w:t>
            </w:r>
          </w:p>
        </w:tc>
        <w:tc>
          <w:tcPr>
            <w:tcW w:w="7860" w:type="dxa"/>
            <w:vAlign w:val="bottom"/>
          </w:tcPr>
          <w:p>
            <w:pPr>
              <w:ind w:left="1840"/>
              <w:spacing w:after="0"/>
              <w:rPr>
                <w:sz w:val="20"/>
                <w:szCs w:val="20"/>
                <w:color w:val="auto"/>
              </w:rPr>
            </w:pPr>
            <w:r>
              <w:rPr>
                <w:rFonts w:ascii="Arial" w:cs="Arial" w:eastAsia="Arial" w:hAnsi="Arial"/>
                <w:sz w:val="22"/>
                <w:szCs w:val="22"/>
                <w:color w:val="auto"/>
              </w:rPr>
              <w:t>COMFORT SYSTEMS USA, INC.</w:t>
            </w:r>
          </w:p>
        </w:tc>
      </w:tr>
      <w:tr>
        <w:trPr>
          <w:trHeight w:val="455"/>
        </w:trPr>
        <w:tc>
          <w:tcPr>
            <w:tcW w:w="2060" w:type="dxa"/>
            <w:vAlign w:val="bottom"/>
          </w:tcPr>
          <w:p>
            <w:pPr>
              <w:spacing w:after="0"/>
              <w:rPr>
                <w:sz w:val="24"/>
                <w:szCs w:val="24"/>
                <w:color w:val="auto"/>
              </w:rPr>
            </w:pPr>
          </w:p>
        </w:tc>
        <w:tc>
          <w:tcPr>
            <w:tcW w:w="7860" w:type="dxa"/>
            <w:vAlign w:val="bottom"/>
          </w:tcPr>
          <w:p>
            <w:pPr>
              <w:ind w:left="1840"/>
              <w:spacing w:after="0"/>
              <w:rPr>
                <w:sz w:val="20"/>
                <w:szCs w:val="20"/>
                <w:color w:val="auto"/>
              </w:rPr>
            </w:pPr>
            <w:r>
              <w:rPr>
                <w:rFonts w:ascii="Arial" w:cs="Arial" w:eastAsia="Arial" w:hAnsi="Arial"/>
                <w:sz w:val="22"/>
                <w:szCs w:val="22"/>
                <w:color w:val="auto"/>
              </w:rPr>
              <w:t>By: ______________________________</w:t>
            </w:r>
          </w:p>
        </w:tc>
      </w:tr>
      <w:tr>
        <w:trPr>
          <w:trHeight w:val="243"/>
        </w:trPr>
        <w:tc>
          <w:tcPr>
            <w:tcW w:w="2060" w:type="dxa"/>
            <w:vAlign w:val="bottom"/>
          </w:tcPr>
          <w:p>
            <w:pPr>
              <w:spacing w:after="0"/>
              <w:rPr>
                <w:sz w:val="21"/>
                <w:szCs w:val="21"/>
                <w:color w:val="auto"/>
              </w:rPr>
            </w:pPr>
          </w:p>
        </w:tc>
        <w:tc>
          <w:tcPr>
            <w:tcW w:w="7860" w:type="dxa"/>
            <w:vAlign w:val="bottom"/>
          </w:tcPr>
          <w:p>
            <w:pPr>
              <w:ind w:left="1840"/>
              <w:spacing w:after="0" w:line="243" w:lineRule="exact"/>
              <w:rPr>
                <w:sz w:val="20"/>
                <w:szCs w:val="20"/>
                <w:color w:val="auto"/>
              </w:rPr>
            </w:pPr>
            <w:r>
              <w:rPr>
                <w:rFonts w:ascii="Arial" w:cs="Arial" w:eastAsia="Arial" w:hAnsi="Arial"/>
                <w:sz w:val="22"/>
                <w:szCs w:val="22"/>
                <w:color w:val="auto"/>
              </w:rPr>
              <w:t>Name:</w:t>
            </w:r>
          </w:p>
        </w:tc>
      </w:tr>
      <w:tr>
        <w:trPr>
          <w:trHeight w:val="274"/>
        </w:trPr>
        <w:tc>
          <w:tcPr>
            <w:tcW w:w="2060" w:type="dxa"/>
            <w:vAlign w:val="bottom"/>
          </w:tcPr>
          <w:p>
            <w:pPr>
              <w:spacing w:after="0"/>
              <w:rPr>
                <w:sz w:val="23"/>
                <w:szCs w:val="23"/>
                <w:color w:val="auto"/>
              </w:rPr>
            </w:pPr>
          </w:p>
        </w:tc>
        <w:tc>
          <w:tcPr>
            <w:tcW w:w="7860" w:type="dxa"/>
            <w:vAlign w:val="bottom"/>
          </w:tcPr>
          <w:p>
            <w:pPr>
              <w:ind w:left="1840"/>
              <w:spacing w:after="0"/>
              <w:rPr>
                <w:sz w:val="20"/>
                <w:szCs w:val="20"/>
                <w:color w:val="auto"/>
              </w:rPr>
            </w:pPr>
            <w:r>
              <w:rPr>
                <w:rFonts w:ascii="Arial" w:cs="Arial" w:eastAsia="Arial" w:hAnsi="Arial"/>
                <w:sz w:val="22"/>
                <w:szCs w:val="22"/>
                <w:color w:val="auto"/>
              </w:rPr>
              <w:t>Title:</w:t>
            </w:r>
          </w:p>
        </w:tc>
      </w:tr>
      <w:tr>
        <w:trPr>
          <w:trHeight w:val="455"/>
        </w:trPr>
        <w:tc>
          <w:tcPr>
            <w:tcW w:w="2060" w:type="dxa"/>
            <w:vAlign w:val="bottom"/>
          </w:tcPr>
          <w:p>
            <w:pPr>
              <w:spacing w:after="0"/>
              <w:rPr>
                <w:sz w:val="20"/>
                <w:szCs w:val="20"/>
                <w:color w:val="auto"/>
              </w:rPr>
            </w:pPr>
            <w:r>
              <w:rPr>
                <w:rFonts w:ascii="Arial" w:cs="Arial" w:eastAsia="Arial" w:hAnsi="Arial"/>
                <w:sz w:val="22"/>
                <w:szCs w:val="22"/>
                <w:i w:val="1"/>
                <w:iCs w:val="1"/>
                <w:color w:val="auto"/>
              </w:rPr>
              <w:t>Participant:</w:t>
            </w:r>
          </w:p>
        </w:tc>
        <w:tc>
          <w:tcPr>
            <w:tcW w:w="7860" w:type="dxa"/>
            <w:vAlign w:val="bottom"/>
          </w:tcPr>
          <w:p>
            <w:pPr>
              <w:ind w:left="1840"/>
              <w:spacing w:after="0"/>
              <w:rPr>
                <w:sz w:val="20"/>
                <w:szCs w:val="20"/>
                <w:color w:val="auto"/>
              </w:rPr>
            </w:pPr>
            <w:r>
              <w:rPr>
                <w:rFonts w:ascii="Arial" w:cs="Arial" w:eastAsia="Arial" w:hAnsi="Arial"/>
                <w:sz w:val="22"/>
                <w:szCs w:val="22"/>
                <w:color w:val="auto"/>
              </w:rPr>
              <w:t>__________________________________</w:t>
            </w:r>
          </w:p>
        </w:tc>
      </w:tr>
      <w:tr>
        <w:trPr>
          <w:trHeight w:val="274"/>
        </w:trPr>
        <w:tc>
          <w:tcPr>
            <w:tcW w:w="2060" w:type="dxa"/>
            <w:vAlign w:val="bottom"/>
          </w:tcPr>
          <w:p>
            <w:pPr>
              <w:spacing w:after="0"/>
              <w:rPr>
                <w:sz w:val="23"/>
                <w:szCs w:val="23"/>
                <w:color w:val="auto"/>
              </w:rPr>
            </w:pPr>
          </w:p>
        </w:tc>
        <w:tc>
          <w:tcPr>
            <w:tcW w:w="7860" w:type="dxa"/>
            <w:vAlign w:val="bottom"/>
          </w:tcPr>
          <w:p>
            <w:pPr>
              <w:ind w:left="1840"/>
              <w:spacing w:after="0"/>
              <w:rPr>
                <w:sz w:val="20"/>
                <w:szCs w:val="20"/>
                <w:color w:val="auto"/>
              </w:rPr>
            </w:pPr>
            <w:r>
              <w:rPr>
                <w:rFonts w:ascii="Arial" w:cs="Arial" w:eastAsia="Arial" w:hAnsi="Arial"/>
                <w:sz w:val="22"/>
                <w:szCs w:val="22"/>
                <w:color w:val="auto"/>
              </w:rPr>
              <w:t>Name:</w:t>
            </w:r>
          </w:p>
        </w:tc>
      </w:tr>
      <w:tr>
        <w:trPr>
          <w:trHeight w:val="462"/>
        </w:trPr>
        <w:tc>
          <w:tcPr>
            <w:tcW w:w="2060" w:type="dxa"/>
            <w:vAlign w:val="bottom"/>
          </w:tcPr>
          <w:p>
            <w:pPr>
              <w:spacing w:after="0"/>
              <w:rPr>
                <w:sz w:val="24"/>
                <w:szCs w:val="24"/>
                <w:color w:val="auto"/>
              </w:rPr>
            </w:pPr>
          </w:p>
        </w:tc>
        <w:tc>
          <w:tcPr>
            <w:tcW w:w="7860" w:type="dxa"/>
            <w:vAlign w:val="bottom"/>
          </w:tcPr>
          <w:p>
            <w:pPr>
              <w:ind w:left="1840"/>
              <w:spacing w:after="0"/>
              <w:rPr>
                <w:sz w:val="20"/>
                <w:szCs w:val="20"/>
                <w:color w:val="auto"/>
              </w:rPr>
            </w:pPr>
            <w:r>
              <w:rPr>
                <w:rFonts w:ascii="Arial" w:cs="Arial" w:eastAsia="Arial" w:hAnsi="Arial"/>
                <w:sz w:val="22"/>
                <w:szCs w:val="22"/>
                <w:color w:val="auto"/>
              </w:rPr>
              <w:t>Address:</w:t>
            </w:r>
          </w:p>
        </w:tc>
      </w:tr>
      <w:tr>
        <w:trPr>
          <w:trHeight w:val="230"/>
        </w:trPr>
        <w:tc>
          <w:tcPr>
            <w:tcW w:w="2060" w:type="dxa"/>
            <w:vAlign w:val="bottom"/>
          </w:tcPr>
          <w:p>
            <w:pPr>
              <w:spacing w:after="0"/>
              <w:rPr>
                <w:sz w:val="20"/>
                <w:szCs w:val="20"/>
                <w:color w:val="auto"/>
              </w:rPr>
            </w:pPr>
          </w:p>
        </w:tc>
        <w:tc>
          <w:tcPr>
            <w:tcW w:w="7860" w:type="dxa"/>
            <w:vAlign w:val="bottom"/>
          </w:tcPr>
          <w:p>
            <w:pPr>
              <w:ind w:left="1000"/>
              <w:spacing w:after="0"/>
              <w:rPr>
                <w:sz w:val="20"/>
                <w:szCs w:val="20"/>
                <w:color w:val="auto"/>
              </w:rPr>
            </w:pPr>
            <w:r>
              <w:rPr>
                <w:rFonts w:ascii="Arial" w:cs="Arial" w:eastAsia="Arial" w:hAnsi="Arial"/>
                <w:sz w:val="18"/>
                <w:szCs w:val="18"/>
                <w:color w:val="auto"/>
              </w:rPr>
              <w:t>[Signature Page to Restricted Stock Unit Agreement]</w:t>
            </w:r>
          </w:p>
        </w:tc>
      </w:tr>
      <w:tr>
        <w:trPr>
          <w:trHeight w:val="560"/>
        </w:trPr>
        <w:tc>
          <w:tcPr>
            <w:tcW w:w="20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4" w:right="999" w:bottom="1440" w:gutter="0" w:footer="0" w:header="0"/>
        </w:sectPr>
      </w:pPr>
    </w:p>
    <w:bookmarkStart w:id="43" w:name="page44"/>
    <w:bookmarkEnd w:id="4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 Oxley Act of 2002</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Brian E. Lane, certify that:</w:t>
      </w:r>
    </w:p>
    <w:p>
      <w:pPr>
        <w:spacing w:after="0" w:line="212" w:lineRule="exact"/>
        <w:rPr>
          <w:sz w:val="20"/>
          <w:szCs w:val="20"/>
          <w:color w:val="auto"/>
        </w:rPr>
      </w:pPr>
    </w:p>
    <w:p>
      <w:pPr>
        <w:ind w:left="680" w:hanging="63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Comfort Systems USA, Inc.;</w:t>
      </w:r>
    </w:p>
    <w:p>
      <w:pPr>
        <w:spacing w:after="0" w:line="211" w:lineRule="exact"/>
        <w:rPr>
          <w:rFonts w:ascii="Arial" w:cs="Arial" w:eastAsia="Arial" w:hAnsi="Arial"/>
          <w:sz w:val="18"/>
          <w:szCs w:val="18"/>
          <w:color w:val="auto"/>
        </w:rPr>
      </w:pPr>
    </w:p>
    <w:p>
      <w:pPr>
        <w:ind w:left="700" w:right="299" w:hanging="656"/>
        <w:spacing w:after="0" w:line="248" w:lineRule="auto"/>
        <w:tabs>
          <w:tab w:leader="none" w:pos="6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right="199" w:hanging="656"/>
        <w:spacing w:after="0" w:line="248" w:lineRule="auto"/>
        <w:tabs>
          <w:tab w:leader="none" w:pos="6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700" w:right="379" w:hanging="656"/>
        <w:spacing w:after="0" w:line="294" w:lineRule="auto"/>
        <w:tabs>
          <w:tab w:leader="none" w:pos="6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40" w:right="79" w:hanging="648"/>
        <w:spacing w:after="0" w:line="243" w:lineRule="auto"/>
        <w:tabs>
          <w:tab w:leader="none" w:pos="13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340" w:right="79" w:hanging="648"/>
        <w:spacing w:after="0" w:line="243" w:lineRule="auto"/>
        <w:tabs>
          <w:tab w:leader="none" w:pos="13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1340" w:right="179" w:hanging="648"/>
        <w:spacing w:after="0" w:line="248" w:lineRule="auto"/>
        <w:tabs>
          <w:tab w:leader="none" w:pos="13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340" w:right="119" w:hanging="648"/>
        <w:spacing w:after="0" w:line="243" w:lineRule="auto"/>
        <w:tabs>
          <w:tab w:leader="none" w:pos="13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700" w:right="379" w:hanging="656"/>
        <w:spacing w:after="0" w:line="248" w:lineRule="auto"/>
        <w:tabs>
          <w:tab w:leader="none" w:pos="6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340" w:right="379" w:hanging="648"/>
        <w:spacing w:after="0" w:line="248" w:lineRule="auto"/>
        <w:tabs>
          <w:tab w:leader="none" w:pos="13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40" w:right="159" w:hanging="648"/>
        <w:spacing w:after="0" w:line="261" w:lineRule="auto"/>
        <w:tabs>
          <w:tab w:leader="none" w:pos="13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tabs>
          <w:tab w:leader="none" w:pos="482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7"/>
          <w:szCs w:val="17"/>
          <w:color w:val="auto"/>
        </w:rPr>
        <w:t>/s/ B</w:t>
      </w:r>
      <w:r>
        <w:rPr>
          <w:rFonts w:ascii="Arial" w:cs="Arial" w:eastAsia="Arial" w:hAnsi="Arial"/>
          <w:sz w:val="11"/>
          <w:szCs w:val="11"/>
          <w:color w:val="auto"/>
        </w:rPr>
        <w:t>RIAN</w:t>
      </w:r>
      <w:r>
        <w:rPr>
          <w:rFonts w:ascii="Arial" w:cs="Arial" w:eastAsia="Arial" w:hAnsi="Arial"/>
          <w:sz w:val="17"/>
          <w:szCs w:val="17"/>
          <w:color w:val="auto"/>
        </w:rPr>
        <w:t xml:space="preserve"> E. L</w:t>
      </w:r>
      <w:r>
        <w:rPr>
          <w:rFonts w:ascii="Arial" w:cs="Arial" w:eastAsia="Arial" w:hAnsi="Arial"/>
          <w:sz w:val="11"/>
          <w:szCs w:val="11"/>
          <w:color w:val="auto"/>
        </w:rPr>
        <w:t>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6350</wp:posOffset>
            </wp:positionV>
            <wp:extent cx="2614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Brian E. Lane</w:t>
      </w:r>
    </w:p>
    <w:p>
      <w:pPr>
        <w:ind w:left="4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George, certify that:</w:t>
      </w:r>
    </w:p>
    <w:p>
      <w:pPr>
        <w:spacing w:after="0" w:line="212" w:lineRule="exact"/>
        <w:rPr>
          <w:sz w:val="20"/>
          <w:szCs w:val="20"/>
          <w:color w:val="auto"/>
        </w:rPr>
      </w:pPr>
    </w:p>
    <w:p>
      <w:pPr>
        <w:ind w:left="680" w:hanging="63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Comfort Systems USA, Inc.;</w:t>
      </w:r>
    </w:p>
    <w:p>
      <w:pPr>
        <w:spacing w:after="0" w:line="211" w:lineRule="exact"/>
        <w:rPr>
          <w:rFonts w:ascii="Arial" w:cs="Arial" w:eastAsia="Arial" w:hAnsi="Arial"/>
          <w:sz w:val="18"/>
          <w:szCs w:val="18"/>
          <w:color w:val="auto"/>
        </w:rPr>
      </w:pPr>
    </w:p>
    <w:p>
      <w:pPr>
        <w:ind w:left="700" w:right="299" w:hanging="656"/>
        <w:spacing w:after="0" w:line="248" w:lineRule="auto"/>
        <w:tabs>
          <w:tab w:leader="none" w:pos="6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right="199" w:hanging="656"/>
        <w:spacing w:after="0" w:line="248" w:lineRule="auto"/>
        <w:tabs>
          <w:tab w:leader="none" w:pos="6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700" w:right="379" w:hanging="656"/>
        <w:spacing w:after="0" w:line="294" w:lineRule="auto"/>
        <w:tabs>
          <w:tab w:leader="none" w:pos="6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20" w:right="59" w:hanging="628"/>
        <w:spacing w:after="0" w:line="243" w:lineRule="auto"/>
        <w:tabs>
          <w:tab w:leader="none" w:pos="13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320" w:right="79" w:hanging="628"/>
        <w:spacing w:after="0" w:line="243" w:lineRule="auto"/>
        <w:tabs>
          <w:tab w:leader="none" w:pos="131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1320" w:right="199" w:hanging="628"/>
        <w:spacing w:after="0" w:line="248" w:lineRule="auto"/>
        <w:tabs>
          <w:tab w:leader="none" w:pos="13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320" w:right="119" w:hanging="628"/>
        <w:spacing w:after="0" w:line="243" w:lineRule="auto"/>
        <w:tabs>
          <w:tab w:leader="none" w:pos="131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700" w:right="379" w:hanging="656"/>
        <w:spacing w:after="0" w:line="248" w:lineRule="auto"/>
        <w:tabs>
          <w:tab w:leader="none" w:pos="6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320" w:right="399" w:hanging="628"/>
        <w:spacing w:after="0" w:line="248" w:lineRule="auto"/>
        <w:tabs>
          <w:tab w:leader="none" w:pos="13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20" w:right="159" w:hanging="628"/>
        <w:spacing w:after="0" w:line="261" w:lineRule="auto"/>
        <w:tabs>
          <w:tab w:leader="none" w:pos="131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640" w:type="dxa"/>
            <w:vAlign w:val="bottom"/>
            <w:vMerge w:val="restart"/>
          </w:tcPr>
          <w:p>
            <w:pPr>
              <w:spacing w:after="0"/>
              <w:rPr>
                <w:sz w:val="20"/>
                <w:szCs w:val="20"/>
                <w:color w:val="auto"/>
              </w:rPr>
            </w:pPr>
            <w:r>
              <w:rPr>
                <w:rFonts w:ascii="Arial" w:cs="Arial" w:eastAsia="Arial" w:hAnsi="Arial"/>
                <w:sz w:val="18"/>
                <w:szCs w:val="18"/>
                <w:color w:val="auto"/>
              </w:rPr>
              <w:t>Date: July 27, 2022</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G</w:t>
            </w:r>
            <w:r>
              <w:rPr>
                <w:rFonts w:ascii="Arial" w:cs="Arial" w:eastAsia="Arial" w:hAnsi="Arial"/>
                <w:sz w:val="12"/>
                <w:szCs w:val="12"/>
                <w:color w:val="auto"/>
              </w:rPr>
              <w:t>EORGE</w:t>
            </w:r>
          </w:p>
        </w:tc>
        <w:tc>
          <w:tcPr>
            <w:tcW w:w="0" w:type="dxa"/>
            <w:vAlign w:val="bottom"/>
          </w:tcPr>
          <w:p>
            <w:pPr>
              <w:spacing w:after="0"/>
              <w:rPr>
                <w:sz w:val="1"/>
                <w:szCs w:val="1"/>
                <w:color w:val="auto"/>
              </w:rPr>
            </w:pPr>
          </w:p>
        </w:tc>
      </w:tr>
      <w:tr>
        <w:trPr>
          <w:trHeight w:val="182"/>
        </w:trPr>
        <w:tc>
          <w:tcPr>
            <w:tcW w:w="4640" w:type="dxa"/>
            <w:vAlign w:val="bottom"/>
            <w:vMerge w:val="continue"/>
          </w:tcPr>
          <w:p>
            <w:pPr>
              <w:spacing w:after="0"/>
              <w:rPr>
                <w:sz w:val="15"/>
                <w:szCs w:val="15"/>
                <w:color w:val="auto"/>
              </w:rPr>
            </w:pPr>
          </w:p>
        </w:tc>
        <w:tc>
          <w:tcPr>
            <w:tcW w:w="4280" w:type="dxa"/>
            <w:vAlign w:val="bottom"/>
          </w:tcPr>
          <w:p>
            <w:pPr>
              <w:spacing w:after="0" w:line="182" w:lineRule="exact"/>
              <w:rPr>
                <w:sz w:val="20"/>
                <w:szCs w:val="20"/>
                <w:color w:val="auto"/>
              </w:rPr>
            </w:pPr>
            <w:r>
              <w:rPr>
                <w:rFonts w:ascii="Arial" w:cs="Arial" w:eastAsia="Arial" w:hAnsi="Arial"/>
                <w:sz w:val="18"/>
                <w:szCs w:val="18"/>
                <w:color w:val="auto"/>
              </w:rPr>
              <w:t>William George</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952"/>
        </w:trPr>
        <w:tc>
          <w:tcPr>
            <w:tcW w:w="46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jc w:val="center"/>
        <w:ind w:right="1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left="40" w:right="299" w:firstLine="648"/>
        <w:spacing w:after="0" w:line="243" w:lineRule="auto"/>
        <w:rPr>
          <w:sz w:val="20"/>
          <w:szCs w:val="20"/>
          <w:color w:val="auto"/>
        </w:rPr>
      </w:pPr>
      <w:r>
        <w:rPr>
          <w:rFonts w:ascii="Arial" w:cs="Arial" w:eastAsia="Arial" w:hAnsi="Arial"/>
          <w:sz w:val="18"/>
          <w:szCs w:val="18"/>
          <w:color w:val="auto"/>
        </w:rPr>
        <w:t>In connection with the Quarterly Report of Comfort Systems USA, Inc. (the “Company”) on Form 10-Q for the quarter ended June 30, 2022, as filed with the Securities and Exchange Commission on the date hereof (the “Report”), I, Brian E. Lane, President and Chief Executive Officer of the Company, certify, pursuant to 18 U.S.C. §1350, as adopted pursuant to Section 906 of the Sarbanes-Oxley Act of 2002, that:</w:t>
      </w:r>
    </w:p>
    <w:p>
      <w:pPr>
        <w:spacing w:after="0" w:line="188" w:lineRule="exact"/>
        <w:rPr>
          <w:sz w:val="20"/>
          <w:szCs w:val="20"/>
          <w:color w:val="auto"/>
        </w:rPr>
      </w:pPr>
    </w:p>
    <w:p>
      <w:pPr>
        <w:ind w:left="1340" w:right="79" w:hanging="648"/>
        <w:spacing w:after="0" w:line="261" w:lineRule="auto"/>
        <w:tabs>
          <w:tab w:leader="none" w:pos="13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40" w:right="299" w:hanging="648"/>
        <w:spacing w:after="0" w:line="261" w:lineRule="auto"/>
        <w:tabs>
          <w:tab w:leader="none" w:pos="13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7"/>
          <w:szCs w:val="17"/>
          <w:color w:val="auto"/>
        </w:rPr>
        <w:t>/s/ B</w:t>
      </w:r>
      <w:r>
        <w:rPr>
          <w:rFonts w:ascii="Arial" w:cs="Arial" w:eastAsia="Arial" w:hAnsi="Arial"/>
          <w:sz w:val="11"/>
          <w:szCs w:val="11"/>
          <w:color w:val="auto"/>
        </w:rPr>
        <w:t>RIAN</w:t>
      </w:r>
      <w:r>
        <w:rPr>
          <w:rFonts w:ascii="Arial" w:cs="Arial" w:eastAsia="Arial" w:hAnsi="Arial"/>
          <w:sz w:val="17"/>
          <w:szCs w:val="17"/>
          <w:color w:val="auto"/>
        </w:rPr>
        <w:t xml:space="preserve"> E. L</w:t>
      </w:r>
      <w:r>
        <w:rPr>
          <w:rFonts w:ascii="Arial" w:cs="Arial" w:eastAsia="Arial" w:hAnsi="Arial"/>
          <w:sz w:val="11"/>
          <w:szCs w:val="11"/>
          <w:color w:val="auto"/>
        </w:rPr>
        <w:t>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6350</wp:posOffset>
            </wp:positionV>
            <wp:extent cx="24688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Brian E. Lane</w:t>
      </w:r>
    </w:p>
    <w:p>
      <w:pPr>
        <w:ind w:left="5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1093470</wp:posOffset>
            </wp:positionV>
            <wp:extent cx="1414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80" w:right="159" w:hanging="636"/>
        <w:spacing w:after="0" w:line="324" w:lineRule="auto"/>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422275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jc w:val="center"/>
        <w:ind w:right="1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left="40" w:right="299" w:firstLine="648"/>
        <w:spacing w:after="0" w:line="262" w:lineRule="auto"/>
        <w:rPr>
          <w:sz w:val="20"/>
          <w:szCs w:val="20"/>
          <w:color w:val="auto"/>
        </w:rPr>
      </w:pPr>
      <w:r>
        <w:rPr>
          <w:rFonts w:ascii="Arial" w:cs="Arial" w:eastAsia="Arial" w:hAnsi="Arial"/>
          <w:sz w:val="17"/>
          <w:szCs w:val="17"/>
          <w:color w:val="auto"/>
        </w:rPr>
        <w:t>In connection with the Quarterly Report of Comfort Systems USA, Inc. (the “Company”) on Form 10-Q for the quarter ended June 30, 2022, as filed with the Securities and Exchange Commission on the date hereof (the “Report”), I, William George, Executive Vice President and Chief Financial Officer of the Company, certify, pursuant to 18 U.S.C. §1350, as adopted pursuant to Section 906 of the Sarbanes-Oxley Act of 2002, that:</w:t>
      </w:r>
    </w:p>
    <w:p>
      <w:pPr>
        <w:spacing w:after="0" w:line="172" w:lineRule="exact"/>
        <w:rPr>
          <w:sz w:val="20"/>
          <w:szCs w:val="20"/>
          <w:color w:val="auto"/>
        </w:rPr>
      </w:pPr>
    </w:p>
    <w:p>
      <w:pPr>
        <w:ind w:left="1340" w:right="79" w:hanging="648"/>
        <w:spacing w:after="0" w:line="261" w:lineRule="auto"/>
        <w:tabs>
          <w:tab w:leader="none" w:pos="1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40" w:right="299" w:hanging="648"/>
        <w:spacing w:after="0" w:line="261" w:lineRule="auto"/>
        <w:tabs>
          <w:tab w:leader="none" w:pos="1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7"/>
          <w:szCs w:val="17"/>
          <w:color w:val="auto"/>
        </w:rPr>
        <w:t>/s/ W</w:t>
      </w:r>
      <w:r>
        <w:rPr>
          <w:rFonts w:ascii="Arial" w:cs="Arial" w:eastAsia="Arial" w:hAnsi="Arial"/>
          <w:sz w:val="11"/>
          <w:szCs w:val="11"/>
          <w:color w:val="auto"/>
        </w:rPr>
        <w:t>ILLIAM</w:t>
      </w:r>
      <w:r>
        <w:rPr>
          <w:rFonts w:ascii="Arial" w:cs="Arial" w:eastAsia="Arial" w:hAnsi="Arial"/>
          <w:sz w:val="17"/>
          <w:szCs w:val="17"/>
          <w:color w:val="auto"/>
        </w:rPr>
        <w:t xml:space="preserve"> G</w:t>
      </w:r>
      <w:r>
        <w:rPr>
          <w:rFonts w:ascii="Arial" w:cs="Arial" w:eastAsia="Arial" w:hAnsi="Arial"/>
          <w:sz w:val="11"/>
          <w:szCs w:val="11"/>
          <w:color w:val="auto"/>
        </w:rPr>
        <w:t>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665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William George</w:t>
      </w:r>
    </w:p>
    <w:p>
      <w:pPr>
        <w:ind w:left="4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1478915</wp:posOffset>
            </wp:positionV>
            <wp:extent cx="1414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159" w:hanging="636"/>
        <w:spacing w:after="0" w:line="324" w:lineRule="auto"/>
        <w:tabs>
          <w:tab w:leader="none" w:pos="6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422275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6"/>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lvl w:ilvl="1">
      <w:lvlJc w:val="left"/>
      <w:lvlText w:val="%2"/>
      <w:numFmt w:val="decimal"/>
      <w:start w:val="104"/>
    </w:lvl>
  </w:abstractNum>
  <w:abstractNum w:abstractNumId="7">
    <w:nsid w:val="1BEFD79F"/>
    <w:multiLevelType w:val="hybridMultilevel"/>
    <w:lvl w:ilvl="0">
      <w:lvlJc w:val="left"/>
      <w:lvlText w:val="**"/>
      <w:numFmt w:val="bullet"/>
      <w:start w:val="1"/>
    </w:lvl>
    <w:lvl w:ilvl="1">
      <w:lvlJc w:val="left"/>
      <w:lvlText w:val="%2"/>
      <w:numFmt w:val="decimal"/>
      <w:start w:val="1"/>
    </w:lvl>
  </w:abstractNum>
  <w:abstractNum w:abstractNumId="8">
    <w:nsid w:val="41A7C4C9"/>
    <w:multiLevelType w:val="hybridMultilevel"/>
    <w:lvl w:ilvl="0">
      <w:lvlJc w:val="left"/>
      <w:lvlText w:val="%1."/>
      <w:numFmt w:val="decimal"/>
      <w:start w:val="1"/>
    </w:lvl>
    <w:lvl w:ilvl="1">
      <w:lvlJc w:val="left"/>
      <w:lvlText w:val="%2"/>
      <w:numFmt w:val="lowerLetter"/>
      <w:start w:val="1"/>
    </w:lvl>
  </w:abstractNum>
  <w:abstractNum w:abstractNumId="9">
    <w:nsid w:val="6B68079A"/>
    <w:multiLevelType w:val="hybridMultilevel"/>
    <w:lvl w:ilvl="0">
      <w:lvlJc w:val="left"/>
      <w:lvlText w:val="%1"/>
      <w:numFmt w:val="decimal"/>
      <w:start w:val="10"/>
    </w:lvl>
    <w:lvl w:ilvl="1">
      <w:lvlJc w:val="left"/>
      <w:lvlText w:val="%2"/>
      <w:numFmt w:val="lowerLetter"/>
      <w:start w:val="1"/>
    </w:lvl>
  </w:abstractNum>
  <w:abstractNum w:abstractNumId="10">
    <w:nsid w:val="4E6AFB66"/>
    <w:multiLevelType w:val="hybridMultilevel"/>
    <w:lvl w:ilvl="0">
      <w:lvlJc w:val="left"/>
      <w:lvlText w:val="%1."/>
      <w:numFmt w:val="decimal"/>
      <w:start w:val="2"/>
    </w:lvl>
    <w:lvl w:ilvl="1">
      <w:lvlJc w:val="left"/>
      <w:lvlText w:val="(%2)"/>
      <w:numFmt w:val="lowerLetter"/>
      <w:start w:val="1"/>
    </w:lvl>
  </w:abstractNum>
  <w:abstractNum w:abstractNumId="11">
    <w:nsid w:val="25E45D32"/>
    <w:multiLevelType w:val="hybridMultilevel"/>
    <w:lvl w:ilvl="0">
      <w:lvlJc w:val="left"/>
      <w:lvlText w:val="%1."/>
      <w:numFmt w:val="decimal"/>
      <w:start w:val="3"/>
    </w:lvl>
    <w:lvl w:ilvl="1">
      <w:lvlJc w:val="left"/>
      <w:lvlText w:val="-"/>
      <w:numFmt w:val="bullet"/>
      <w:start w:val="1"/>
    </w:lvl>
  </w:abstractNum>
  <w:abstractNum w:abstractNumId="12">
    <w:nsid w:val="519B500D"/>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3">
    <w:nsid w:val="431BD7B7"/>
    <w:multiLevelType w:val="hybridMultilevel"/>
    <w:lvl w:ilvl="0">
      <w:lvlJc w:val="left"/>
      <w:lvlText w:val="%1"/>
      <w:numFmt w:val="decimal"/>
      <w:start w:val="1"/>
    </w:lvl>
    <w:lvl w:ilvl="1">
      <w:lvlJc w:val="left"/>
      <w:lvlText w:val="(%2)"/>
      <w:numFmt w:val="lowerLetter"/>
      <w:start w:val="6"/>
    </w:lvl>
  </w:abstractNum>
  <w:abstractNum w:abstractNumId="14">
    <w:nsid w:val="3F2DBA31"/>
    <w:multiLevelType w:val="hybridMultilevel"/>
    <w:lvl w:ilvl="0">
      <w:lvlJc w:val="left"/>
      <w:lvlText w:val="%1."/>
      <w:numFmt w:val="decimal"/>
      <w:start w:val="9"/>
    </w:lvl>
    <w:lvl w:ilvl="1">
      <w:lvlJc w:val="left"/>
      <w:lvlText w:val="%2"/>
      <w:numFmt w:val="lowerLetter"/>
      <w:start w:val="1"/>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1" Type="http://schemas.openxmlformats.org/officeDocument/2006/relationships/hyperlink" Target="http://www.sec.gov/Archives/edgar/data/1035983/0000890566-97-001319.txt" TargetMode="External"/><Relationship Id="rId52" Type="http://schemas.openxmlformats.org/officeDocument/2006/relationships/hyperlink" Target="http://www.sec.gov/Archives/edgar/data/1035983/0000890566-99-000401.txt" TargetMode="External"/><Relationship Id="rId53" Type="http://schemas.openxmlformats.org/officeDocument/2006/relationships/hyperlink" Target="http://www.sec.gov/Archives/edgar/data/1035983/000104746904005828/a2129426zex-3_3.htm" TargetMode="External"/><Relationship Id="rId54" Type="http://schemas.openxmlformats.org/officeDocument/2006/relationships/hyperlink" Target="http://www.sec.gov/Archives/edgar/data/1035983/000110465916122345/a16-10750_2ex3d1.htm" TargetMode="External"/><Relationship Id="rId55" Type="http://schemas.openxmlformats.org/officeDocument/2006/relationships/hyperlink" Target="http://www.sec.gov/Archives/edgar/data/1035983/000110465916107645/a16-7178_1ex3d1.htm" TargetMode="External"/><Relationship Id="rId56" Type="http://schemas.openxmlformats.org/officeDocument/2006/relationships/hyperlink" Target="https://www.sec.gov/Archives/edgar/data/1035983/000110465922065983/tm221712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2022-07-27T16:15:03Z</dcterms:created>
  <dcterms:modified xsi:type="dcterms:W3CDTF">2022-07-27T16:15:03Z</dcterms:modified>
</cp:coreProperties>
</file>