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92026_040530.xml.htm"/>
      <w:bookmarkStart w:id="1" w:name="ksform405192026_0405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MYERS FRANKLIN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COMFORT SYSTEMS USA,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9753 KATY FREEWAY,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COMFORT SYSTEMS USA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4"/>
        <w:gridCol w:w="930"/>
        <w:gridCol w:w="797"/>
        <w:gridCol w:w="617"/>
        <w:gridCol w:w="352"/>
        <w:gridCol w:w="801"/>
        <w:gridCol w:w="448"/>
        <w:gridCol w:w="616"/>
        <w:gridCol w:w="1165"/>
        <w:gridCol w:w="1003"/>
        <w:gridCol w:w="12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69,088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Partnership Interest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$200,000, as rounded up to the nearest whole share, based on the average of the high and low price of the Company's Common Stock on the day of the annual stockholders' meeting.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held indirectly were transferred from direct to indirect beneficial ownership in a transaction exempt from Section 16 pursuant to Rule 16a-13.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R. Eslicker,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002" TargetMode="External"/><Relationship Id="rId5" Type="http://schemas.openxmlformats.org/officeDocument/2006/relationships/hyperlink" Target="http://www.sec.gov/cgi-bin/browse-edgar?action=getcompany&amp;CIK=00010359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3633</Characters>
  <CharactersWithSpaces>4242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