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66675</wp:posOffset>
            </wp:positionH>
            <wp:positionV relativeFrom="page">
              <wp:posOffset>674370</wp:posOffset>
            </wp:positionV>
            <wp:extent cx="742315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423150" cy="16510"/>
                    </a:xfrm>
                    <a:prstGeom prst="rect">
                      <a:avLst/>
                    </a:prstGeom>
                    <a:noFill/>
                  </pic:spPr>
                </pic:pic>
              </a:graphicData>
            </a:graphic>
          </wp:anchor>
        </w:drawing>
        <w:drawing>
          <wp:anchor simplePos="0" relativeHeight="251657728" behindDoc="1" locked="0" layoutInCell="0" allowOverlap="1">
            <wp:simplePos x="0" y="0"/>
            <wp:positionH relativeFrom="page">
              <wp:posOffset>66675</wp:posOffset>
            </wp:positionH>
            <wp:positionV relativeFrom="page">
              <wp:posOffset>707390</wp:posOffset>
            </wp:positionV>
            <wp:extent cx="74231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2315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4, 2026</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Comfort Systems USA,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700"/>
          </w:cols>
          <w:pgMar w:left="100" w:top="1316" w:right="99" w:bottom="1440" w:gutter="0" w:footer="0" w:header="0"/>
        </w:sectPr>
      </w:pPr>
    </w:p>
    <w:p>
      <w:pPr>
        <w:spacing w:after="0" w:line="19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3"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26"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8"/>
          <w:szCs w:val="18"/>
          <w:b w:val="1"/>
          <w:bCs w:val="1"/>
          <w:color w:val="auto"/>
        </w:rPr>
        <w:t>1-13011</w:t>
      </w:r>
    </w:p>
    <w:p>
      <w:pPr>
        <w:spacing w:after="0" w:line="23"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6"/>
          <w:szCs w:val="16"/>
          <w:color w:val="auto"/>
        </w:rPr>
        <w:t>(Commission</w:t>
      </w:r>
    </w:p>
    <w:p>
      <w:pPr>
        <w:spacing w:after="0" w:line="26"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6"/>
          <w:szCs w:val="16"/>
          <w:color w:val="auto"/>
        </w:rPr>
        <w:t>File Number)</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76-0526487</w:t>
      </w:r>
    </w:p>
    <w:p>
      <w:pPr>
        <w:spacing w:after="0" w:line="2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(IRS Employer</w:t>
      </w:r>
    </w:p>
    <w:p>
      <w:pPr>
        <w:spacing w:after="0" w:line="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15" w:lineRule="exact"/>
        <w:rPr>
          <w:sz w:val="24"/>
          <w:szCs w:val="24"/>
          <w:color w:val="auto"/>
        </w:rPr>
      </w:pPr>
    </w:p>
    <w:p>
      <w:pPr>
        <w:sectPr>
          <w:pgSz w:w="11900" w:h="16838" w:orient="portrait"/>
          <w:cols w:equalWidth="0" w:num="3">
            <w:col w:w="4660" w:space="720"/>
            <w:col w:w="3080" w:space="720"/>
            <w:col w:w="2520"/>
          </w:cols>
          <w:pgMar w:left="100" w:top="1316" w:right="99" w:bottom="1440" w:gutter="0" w:footer="0" w:header="0"/>
          <w:type w:val="continuous"/>
        </w:sect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9753 Katy Freeway, Suite 700</w:t>
      </w:r>
    </w:p>
    <w:p>
      <w:pPr>
        <w:spacing w:after="0" w:line="23"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3"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8"/>
          <w:szCs w:val="18"/>
          <w:b w:val="1"/>
          <w:bCs w:val="1"/>
          <w:color w:val="auto"/>
        </w:rPr>
        <w:t>77024</w:t>
      </w:r>
    </w:p>
    <w:p>
      <w:pPr>
        <w:spacing w:after="0" w:line="23"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7720" w:space="720"/>
            <w:col w:w="3260"/>
          </w:cols>
          <w:pgMar w:left="100" w:top="1316" w:right="99" w:bottom="1440" w:gutter="0" w:footer="0" w:header="0"/>
          <w:type w:val="continuous"/>
        </w:sectPr>
      </w:pPr>
    </w:p>
    <w:p>
      <w:pPr>
        <w:spacing w:after="0" w:line="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830-9600</w:t>
      </w:r>
    </w:p>
    <w:p>
      <w:pPr>
        <w:spacing w:after="0" w:line="2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3" w:lineRule="exact"/>
        <w:rPr>
          <w:sz w:val="24"/>
          <w:szCs w:val="24"/>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200" w:hanging="195"/>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00" w:hanging="195"/>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 w:lineRule="exact"/>
        <w:rPr>
          <w:rFonts w:ascii="MS PGothic" w:cs="MS PGothic" w:eastAsia="MS PGothic" w:hAnsi="MS PGothic"/>
          <w:sz w:val="18"/>
          <w:szCs w:val="18"/>
          <w:color w:val="auto"/>
        </w:rPr>
      </w:pPr>
    </w:p>
    <w:p>
      <w:pPr>
        <w:ind w:left="200" w:hanging="195"/>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200" w:hanging="195"/>
        <w:spacing w:after="0"/>
        <w:tabs>
          <w:tab w:leader="none" w:pos="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458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336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28"/>
        </w:trPr>
        <w:tc>
          <w:tcPr>
            <w:tcW w:w="20" w:type="dxa"/>
            <w:vAlign w:val="bottom"/>
          </w:tcPr>
          <w:p>
            <w:pPr>
              <w:spacing w:after="0"/>
              <w:rPr>
                <w:sz w:val="19"/>
                <w:szCs w:val="19"/>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Common Stock, $0.01 par value</w:t>
            </w:r>
          </w:p>
        </w:tc>
        <w:tc>
          <w:tcPr>
            <w:tcW w:w="2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tcPr>
          <w:p>
            <w:pPr>
              <w:jc w:val="center"/>
              <w:ind w:right="512"/>
              <w:spacing w:after="0"/>
              <w:rPr>
                <w:sz w:val="20"/>
                <w:szCs w:val="20"/>
                <w:color w:val="auto"/>
              </w:rPr>
            </w:pPr>
            <w:r>
              <w:rPr>
                <w:rFonts w:ascii="Times New Roman" w:cs="Times New Roman" w:eastAsia="Times New Roman" w:hAnsi="Times New Roman"/>
                <w:sz w:val="18"/>
                <w:szCs w:val="18"/>
                <w:color w:val="auto"/>
                <w:w w:val="96"/>
              </w:rPr>
              <w:t>FIX</w:t>
            </w:r>
          </w:p>
        </w:tc>
        <w:tc>
          <w:tcPr>
            <w:tcW w:w="240" w:type="dxa"/>
            <w:vAlign w:val="bottom"/>
          </w:tcPr>
          <w:p>
            <w:pPr>
              <w:spacing w:after="0"/>
              <w:rPr>
                <w:sz w:val="19"/>
                <w:szCs w:val="19"/>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r>
    </w:tbl>
    <w:p>
      <w:pPr>
        <w:spacing w:after="0" w:line="174"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jc w:val="both"/>
        <w:ind w:right="20"/>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423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2315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141605</wp:posOffset>
            </wp:positionV>
            <wp:extent cx="742315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23150"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424815</wp:posOffset>
            </wp:positionV>
            <wp:extent cx="7423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23150" cy="8255"/>
                    </a:xfrm>
                    <a:prstGeom prst="rect">
                      <a:avLst/>
                    </a:prstGeom>
                    <a:noFill/>
                  </pic:spPr>
                </pic:pic>
              </a:graphicData>
            </a:graphic>
          </wp:anchor>
        </w:drawing>
      </w:r>
    </w:p>
    <w:p>
      <w:pPr>
        <w:sectPr>
          <w:pgSz w:w="11900" w:h="16838" w:orient="portrait"/>
          <w:cols w:equalWidth="0" w:num="1">
            <w:col w:w="11700"/>
          </w:cols>
          <w:pgMar w:left="100" w:top="1316" w:right="99" w:bottom="1440" w:gutter="0" w:footer="0" w:header="0"/>
          <w:type w:val="continuous"/>
        </w:sectPr>
      </w:pPr>
    </w:p>
    <w:bookmarkStart w:id="1" w:name="page2"/>
    <w:bookmarkEnd w:id="1"/>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15" w:lineRule="exact"/>
        <w:rPr>
          <w:sz w:val="20"/>
          <w:szCs w:val="20"/>
          <w:color w:val="auto"/>
        </w:rPr>
      </w:pPr>
    </w:p>
    <w:p>
      <w:pPr>
        <w:jc w:val="both"/>
        <w:ind w:firstLine="631"/>
        <w:spacing w:after="0" w:line="302" w:lineRule="auto"/>
        <w:rPr>
          <w:sz w:val="20"/>
          <w:szCs w:val="20"/>
          <w:color w:val="auto"/>
        </w:rPr>
      </w:pPr>
      <w:r>
        <w:rPr>
          <w:rFonts w:ascii="Times New Roman" w:cs="Times New Roman" w:eastAsia="Times New Roman" w:hAnsi="Times New Roman"/>
          <w:sz w:val="16"/>
          <w:szCs w:val="16"/>
          <w:color w:val="auto"/>
        </w:rPr>
        <w:t>The Company’s Board of Directors has approved an amendment to the Company’s stock repurchase program to increase the shares authorized and remaining as available to purchase back up to 1,000,000 shares by authorizing the Company to acquire up to 994,606 additional shares of its outstanding common stock. The Company’s existing stock repurchase program had previously authorized the repurchase of up to 11,757,964 shares of the Company’s outstanding common stock.</w:t>
      </w:r>
    </w:p>
    <w:p>
      <w:pPr>
        <w:spacing w:after="0" w:line="146" w:lineRule="exact"/>
        <w:rPr>
          <w:sz w:val="20"/>
          <w:szCs w:val="20"/>
          <w:color w:val="auto"/>
        </w:rPr>
      </w:pPr>
    </w:p>
    <w:p>
      <w:pPr>
        <w:jc w:val="both"/>
        <w:ind w:right="20" w:firstLine="631"/>
        <w:spacing w:after="0" w:line="255" w:lineRule="auto"/>
        <w:rPr>
          <w:sz w:val="20"/>
          <w:szCs w:val="20"/>
          <w:color w:val="auto"/>
        </w:rPr>
      </w:pPr>
      <w:r>
        <w:rPr>
          <w:rFonts w:ascii="Times New Roman" w:cs="Times New Roman" w:eastAsia="Times New Roman" w:hAnsi="Times New Roman"/>
          <w:sz w:val="18"/>
          <w:szCs w:val="18"/>
          <w:color w:val="auto"/>
        </w:rPr>
        <w:t>Through November 4, 2026, the Company repurchased 11,752,570 shares of the Company’s common stock at an aggregate price of $1,711,769,315 (exclusive of excise tax). This extension of the stock repurchase program will “top off” the plan and permit the Company to repurchase up to an additional 1,000,000 shares of its currently outstanding common stock beyond what had already been purchased as of November 4, 2026.</w:t>
      </w:r>
    </w:p>
    <w:p>
      <w:pPr>
        <w:spacing w:after="0" w:line="181" w:lineRule="exact"/>
        <w:rPr>
          <w:sz w:val="20"/>
          <w:szCs w:val="20"/>
          <w:color w:val="auto"/>
        </w:rPr>
      </w:pPr>
    </w:p>
    <w:p>
      <w:pPr>
        <w:jc w:val="both"/>
        <w:ind w:firstLine="631"/>
        <w:spacing w:after="0" w:line="255" w:lineRule="auto"/>
        <w:rPr>
          <w:sz w:val="20"/>
          <w:szCs w:val="20"/>
          <w:color w:val="auto"/>
        </w:rPr>
      </w:pPr>
      <w:r>
        <w:rPr>
          <w:rFonts w:ascii="Times New Roman" w:cs="Times New Roman" w:eastAsia="Times New Roman" w:hAnsi="Times New Roman"/>
          <w:sz w:val="18"/>
          <w:szCs w:val="18"/>
          <w:color w:val="auto"/>
        </w:rPr>
        <w:t>The share repurchases will be made from time to time at the Company’s discretion in the open market or privately negotiated transactions as permitted by securities laws and other legal requirements, and subject to market conditions and other factors. The Company expects that the share repurchases will be financed with available cash. The Company’s Board of Directors may modify, suspend, extend, or terminate the program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410210</wp:posOffset>
            </wp:positionV>
            <wp:extent cx="7423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23150" cy="8255"/>
                    </a:xfrm>
                    <a:prstGeom prst="rect">
                      <a:avLst/>
                    </a:prstGeom>
                    <a:noFill/>
                  </pic:spPr>
                </pic:pic>
              </a:graphicData>
            </a:graphic>
          </wp:anchor>
        </w:drawing>
      </w:r>
    </w:p>
    <w:p>
      <w:pPr>
        <w:sectPr>
          <w:pgSz w:w="11900" w:h="16838" w:orient="portrait"/>
          <w:cols w:equalWidth="0" w:num="1">
            <w:col w:w="11700"/>
          </w:cols>
          <w:pgMar w:left="100" w:top="1440" w:right="99" w:bottom="1440" w:gutter="0" w:footer="0" w:header="0"/>
        </w:sectPr>
      </w:pPr>
    </w:p>
    <w:bookmarkStart w:id="2" w:name="page3"/>
    <w:bookmarkEnd w:id="2"/>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13" w:lineRule="exact"/>
        <w:rPr>
          <w:sz w:val="20"/>
          <w:szCs w:val="20"/>
          <w:color w:val="auto"/>
        </w:rPr>
      </w:pPr>
    </w:p>
    <w:p>
      <w:pPr>
        <w:ind w:firstLine="631"/>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COMFORT SYSTEMS USA, INC.</w:t>
      </w:r>
    </w:p>
    <w:p>
      <w:pPr>
        <w:spacing w:after="0" w:line="200" w:lineRule="exact"/>
        <w:rPr>
          <w:sz w:val="20"/>
          <w:szCs w:val="20"/>
          <w:color w:val="auto"/>
        </w:rPr>
      </w:pPr>
    </w:p>
    <w:p>
      <w:pPr>
        <w:spacing w:after="0" w:line="2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/s/ Rachel R. Eslicker</w:t>
      </w:r>
    </w:p>
    <w:p>
      <w:pPr>
        <w:spacing w:after="0" w:line="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Rachel R. Eslicker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-130175</wp:posOffset>
            </wp:positionV>
            <wp:extent cx="3486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6150" cy="8255"/>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8"/>
          <w:szCs w:val="18"/>
          <w:i w:val="1"/>
          <w:iCs w:val="1"/>
          <w:color w:val="auto"/>
        </w:rPr>
        <w:t>Senior Vice President and General Counsel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430530</wp:posOffset>
            </wp:positionV>
            <wp:extent cx="7423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423150" cy="8255"/>
                    </a:xfrm>
                    <a:prstGeom prst="rect">
                      <a:avLst/>
                    </a:prstGeom>
                    <a:noFill/>
                  </pic:spPr>
                </pic:pic>
              </a:graphicData>
            </a:graphic>
          </wp:anchor>
        </w:drawing>
      </w:r>
    </w:p>
    <w:sectPr>
      <w:pgSz w:w="11900" w:h="16838" w:orient="portrait"/>
      <w:cols w:equalWidth="0" w:num="1">
        <w:col w:w="11700"/>
      </w:cols>
      <w:pgMar w:left="100" w:top="1440" w:right="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2026-11-05T05:20:30Z</dcterms:created>
  <dcterms:modified xsi:type="dcterms:W3CDTF">2026-11-05T05:20:30Z</dcterms:modified>
</cp:coreProperties>
</file>