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23, 2011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Comfort Systems USA,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1-13011</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76-0526487</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0" w:gutter="0" w:footer="0" w:header="0"/>
          <w:type w:val="continuous"/>
        </w:sectPr>
      </w:pPr>
    </w:p>
    <w:p>
      <w:pPr>
        <w:spacing w:after="0" w:line="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675 Bering Drive, Suite 400</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77057</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544" w:right="239" w:bottom="0" w:gutter="0" w:footer="0" w:header="0"/>
          <w:type w:val="continuous"/>
        </w:sectPr>
      </w:pPr>
    </w:p>
    <w:p>
      <w:pPr>
        <w:spacing w:after="0" w:line="34"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(713) 830-9600</w:t>
      </w:r>
    </w:p>
    <w:p>
      <w:pPr>
        <w:spacing w:after="0" w:line="204" w:lineRule="exact"/>
        <w:rPr>
          <w:sz w:val="24"/>
          <w:szCs w:val="24"/>
          <w:color w:val="auto"/>
        </w:rPr>
      </w:pPr>
    </w:p>
    <w:p>
      <w:pPr>
        <w:sectPr>
          <w:pgSz w:w="11900" w:h="16838" w:orient="portrait"/>
          <w:cols w:equalWidth="0" w:num="2">
            <w:col w:w="6960" w:space="80"/>
            <w:col w:w="4380"/>
          </w:cols>
          <w:pgMar w:left="240" w:top="544" w:right="239" w:bottom="0" w:gutter="0" w:footer="0" w:header="0"/>
          <w:type w:val="continuous"/>
        </w:sect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As previously disclosed, on July 16, 2010, Comfort Systems USA, Inc. (the “Company”) entered into an amended and restated senior credit facility (the “Facility”) with certain subsidiaries of the Company, as guarantors (the “Guarantors”), arranged by Wells Fargo Bank, National Association (the “Agent”) and provided by a syndicate of banks including Wells Fargo Bank, National Association, Bank of Texas, N.A., Capital One, N.A., Regions Bank, and Branch Bank &amp; Trust Company (BB&amp;T) (the “Lenders”). On September 23, 2011, the Company entered into an Amendment No. 1 to Second Amended and Restated Credit Agreement, Second Amended and Restated Security Agreement, and Second Amended and Restated Pledge Agreement (the “Amendment” and, together with the Facility, the “Amended Facility”) with the Guarantors, the Agent, and the Lenders.</w:t>
      </w:r>
    </w:p>
    <w:p>
      <w:pPr>
        <w:spacing w:after="0" w:line="178"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Amended Facility is secured by a first lien on substantially all of the Company’s personal property except for assets related to projects subject to surety bonds and assets held by certain unrestricted subsidiaries and a second lien on the Company’s assets related to projects subject to surety bonds. The Amended Facility will expire in September 2016 and contains only two financial covenants:</w:t>
      </w:r>
    </w:p>
    <w:p>
      <w:pPr>
        <w:spacing w:after="0" w:line="181"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Leverage Ratio </w:t>
      </w:r>
      <w:r>
        <w:rPr>
          <w:rFonts w:ascii="Arial" w:cs="Arial" w:eastAsia="Arial" w:hAnsi="Arial"/>
          <w:sz w:val="18"/>
          <w:szCs w:val="18"/>
          <w:color w:val="auto"/>
        </w:rPr>
        <w:t>— The Amended Facility requires that the ratio of the Company’s Consolidated Total Indebtedness to its Consolidated EBITDA not exceed</w:t>
      </w:r>
      <w:r>
        <w:rPr>
          <w:rFonts w:ascii="Arial" w:cs="Arial" w:eastAsia="Arial" w:hAnsi="Arial"/>
          <w:sz w:val="18"/>
          <w:szCs w:val="18"/>
          <w:i w:val="1"/>
          <w:iCs w:val="1"/>
          <w:color w:val="auto"/>
        </w:rPr>
        <w:t xml:space="preserve"> </w:t>
      </w:r>
      <w:r>
        <w:rPr>
          <w:rFonts w:ascii="Arial" w:cs="Arial" w:eastAsia="Arial" w:hAnsi="Arial"/>
          <w:sz w:val="18"/>
          <w:szCs w:val="18"/>
          <w:color w:val="auto"/>
        </w:rPr>
        <w:t>3.00 for any four-fiscal quarter period ending September 30, 2011 through December 31, 2013, 2.75 for any four-fiscal quarter period ending March 31, 2014 through June 30, 2014, and 2.50 for any four-fiscal quarter period ending September 30, 2014 through maturity.</w:t>
      </w:r>
    </w:p>
    <w:p>
      <w:pPr>
        <w:spacing w:after="0" w:line="181"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Fixed Charge Coverage Ratio </w:t>
      </w:r>
      <w:r>
        <w:rPr>
          <w:rFonts w:ascii="Arial" w:cs="Arial" w:eastAsia="Arial" w:hAnsi="Arial"/>
          <w:sz w:val="18"/>
          <w:szCs w:val="18"/>
          <w:color w:val="auto"/>
        </w:rPr>
        <w:t>— The Amended Facility requires that the ratio of (a) Consolidated EBITDA, less non-financed capital expenditures,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dividends and amounts used to repurchase stock to (b) the sum of interest expense and scheduled principal payments be at least 2.00; provided that the numerator of the fixed charge coverage ratio will be reduced by stock repurchases and dividends as specified above only if the Company’s Net Leverage Ratio (Consolidated Total Indebtedness minus cash in excess of $20 million, divided by Consolidated EBITDA) exceeds 2.0 to 1.0 through December 31, 2013, 1.5 to 1.0 after December 31, 2013 through June 30, 2014, and 1.0 to 1.0 thereafter. Capital expenditures, tax provision, dividends and stock repurchase payments are defined under the Amended Facility for purposes of this covenant to be amounts for the four quarters ending as of any given quarterly covenant compliance measurement date.</w:t>
      </w:r>
    </w:p>
    <w:p>
      <w:pPr>
        <w:spacing w:after="0" w:line="189"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Other Restrictions </w:t>
      </w:r>
      <w:r>
        <w:rPr>
          <w:rFonts w:ascii="Arial" w:cs="Arial" w:eastAsia="Arial" w:hAnsi="Arial"/>
          <w:sz w:val="18"/>
          <w:szCs w:val="18"/>
          <w:color w:val="auto"/>
        </w:rPr>
        <w:t>— The Amended Facility permits acquisitions of up to $15 million per transaction, provided that the aggregate purchase price of such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and of acquisitions in the same Fiscal Year does not exceed $30 million. However, these limitations only apply when the Company’s Net Leverage Ratio is greater than 2.0 to 1.0.</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in Item 1.01 is hereby incorporated by reference into this Item 2.03.</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COMFORT SYSTEMS USA, INC.</w:t>
      </w:r>
    </w:p>
    <w:p>
      <w:pPr>
        <w:spacing w:after="0" w:line="200" w:lineRule="exact"/>
        <w:rPr>
          <w:sz w:val="20"/>
          <w:szCs w:val="20"/>
          <w:color w:val="auto"/>
        </w:rPr>
      </w:pPr>
    </w:p>
    <w:p>
      <w:pPr>
        <w:spacing w:after="0" w:line="241" w:lineRule="exact"/>
        <w:rPr>
          <w:sz w:val="20"/>
          <w:szCs w:val="20"/>
          <w:color w:val="auto"/>
        </w:rPr>
      </w:pPr>
    </w:p>
    <w:p>
      <w:pPr>
        <w:ind w:left="5900"/>
        <w:spacing w:after="0"/>
        <w:tabs>
          <w:tab w:leader="none" w:pos="6340" w:val="left"/>
        </w:tabs>
        <w:rPr>
          <w:sz w:val="20"/>
          <w:szCs w:val="20"/>
          <w:color w:val="auto"/>
        </w:rPr>
      </w:pPr>
      <w:r>
        <w:rPr>
          <w:rFonts w:ascii="Arial" w:cs="Arial" w:eastAsia="Arial" w:hAnsi="Arial"/>
          <w:sz w:val="18"/>
          <w:szCs w:val="18"/>
          <w:color w:val="auto"/>
        </w:rPr>
        <w:t>By:</w:t>
        <w:tab/>
        <w:t>/s/ Trent T. McKenna</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Trent T. McKenna,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-130810</wp:posOffset>
            </wp:positionV>
            <wp:extent cx="3207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and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2011</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2019-12-10T16:24:04Z</dcterms:created>
  <dcterms:modified xsi:type="dcterms:W3CDTF">2019-12-10T16:24:04Z</dcterms:modified>
</cp:coreProperties>
</file>