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2079"/>
        <w:spacing w:after="0"/>
        <w:rPr>
          <w:sz w:val="20"/>
          <w:szCs w:val="20"/>
          <w:color w:val="auto"/>
        </w:rPr>
      </w:pPr>
      <w:r>
        <w:rPr>
          <w:rFonts w:ascii="Courier New" w:cs="Courier New" w:eastAsia="Courier New" w:hAnsi="Courier New"/>
          <w:sz w:val="17"/>
          <w:szCs w:val="17"/>
          <w:color w:val="auto"/>
        </w:rPr>
        <w:t>REGISTRATION NO. 333-38009</w:t>
      </w:r>
    </w:p>
    <w:p>
      <w:pPr>
        <w:spacing w:after="0" w:line="5" w:lineRule="exact"/>
        <w:rPr>
          <w:sz w:val="24"/>
          <w:szCs w:val="24"/>
          <w:color w:val="auto"/>
        </w:rPr>
      </w:pPr>
    </w:p>
    <w:p>
      <w:pPr>
        <w:jc w:val="right"/>
        <w:ind w:right="2079"/>
        <w:spacing w:after="0"/>
        <w:rPr>
          <w:sz w:val="20"/>
          <w:szCs w:val="20"/>
          <w:color w:val="auto"/>
        </w:rPr>
      </w:pPr>
      <w:r>
        <w:rPr>
          <w:rFonts w:ascii="Courier New" w:cs="Courier New" w:eastAsia="Courier New" w:hAnsi="Courier New"/>
          <w:sz w:val="17"/>
          <w:szCs w:val="17"/>
          <w:color w:val="auto"/>
        </w:rPr>
        <w:t>FILED PURSUANT TO RULE 424(b)(3)</w:t>
      </w:r>
    </w:p>
    <w:p>
      <w:pPr>
        <w:spacing w:after="0" w:line="200" w:lineRule="exact"/>
        <w:rPr>
          <w:sz w:val="24"/>
          <w:szCs w:val="24"/>
          <w:color w:val="auto"/>
        </w:rPr>
      </w:pPr>
    </w:p>
    <w:p>
      <w:pPr>
        <w:spacing w:after="0" w:line="201" w:lineRule="exact"/>
        <w:rPr>
          <w:sz w:val="24"/>
          <w:szCs w:val="24"/>
          <w:color w:val="auto"/>
        </w:rPr>
      </w:pPr>
    </w:p>
    <w:p>
      <w:pPr>
        <w:ind w:left="2880"/>
        <w:spacing w:after="0"/>
        <w:rPr>
          <w:sz w:val="20"/>
          <w:szCs w:val="20"/>
          <w:color w:val="auto"/>
        </w:rPr>
      </w:pPr>
      <w:r>
        <w:rPr>
          <w:rFonts w:ascii="Courier New" w:cs="Courier New" w:eastAsia="Courier New" w:hAnsi="Courier New"/>
          <w:sz w:val="17"/>
          <w:szCs w:val="17"/>
          <w:color w:val="auto"/>
        </w:rPr>
        <w:t>COMFORT SYSTEMS USA, INC.</w:t>
      </w:r>
    </w:p>
    <w:p>
      <w:pPr>
        <w:spacing w:after="0" w:line="203"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583,878 Shares of Common Stock</w:t>
      </w:r>
    </w:p>
    <w:p>
      <w:pPr>
        <w:spacing w:after="0" w:line="203" w:lineRule="exact"/>
        <w:rPr>
          <w:sz w:val="24"/>
          <w:szCs w:val="24"/>
          <w:color w:val="auto"/>
        </w:rPr>
      </w:pPr>
    </w:p>
    <w:p>
      <w:pPr>
        <w:ind w:left="2060"/>
        <w:spacing w:after="0"/>
        <w:rPr>
          <w:sz w:val="20"/>
          <w:szCs w:val="20"/>
          <w:color w:val="auto"/>
        </w:rPr>
      </w:pPr>
      <w:r>
        <w:rPr>
          <w:rFonts w:ascii="Courier New" w:cs="Courier New" w:eastAsia="Courier New" w:hAnsi="Courier New"/>
          <w:sz w:val="17"/>
          <w:szCs w:val="17"/>
          <w:color w:val="auto"/>
        </w:rPr>
        <w:t>Supplement No. 2 dated April 10, 1998 to</w:t>
      </w:r>
    </w:p>
    <w:p>
      <w:pPr>
        <w:spacing w:after="0" w:line="5" w:lineRule="exact"/>
        <w:rPr>
          <w:sz w:val="24"/>
          <w:szCs w:val="24"/>
          <w:color w:val="auto"/>
        </w:rPr>
      </w:pPr>
    </w:p>
    <w:p>
      <w:pPr>
        <w:ind w:left="2480"/>
        <w:spacing w:after="0"/>
        <w:rPr>
          <w:sz w:val="20"/>
          <w:szCs w:val="20"/>
          <w:color w:val="auto"/>
        </w:rPr>
      </w:pPr>
      <w:r>
        <w:rPr>
          <w:rFonts w:ascii="Courier New" w:cs="Courier New" w:eastAsia="Courier New" w:hAnsi="Courier New"/>
          <w:sz w:val="17"/>
          <w:szCs w:val="17"/>
          <w:color w:val="auto"/>
        </w:rPr>
        <w:t>Prospectus dated November 4, 1997</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SELLING STOCKHOLDERS</w:t>
      </w:r>
    </w:p>
    <w:p>
      <w:pPr>
        <w:spacing w:after="0" w:line="203" w:lineRule="exact"/>
        <w:rPr>
          <w:sz w:val="24"/>
          <w:szCs w:val="24"/>
          <w:color w:val="auto"/>
        </w:rPr>
      </w:pPr>
    </w:p>
    <w:p>
      <w:pPr>
        <w:ind w:right="2079" w:firstLine="618"/>
        <w:spacing w:after="0" w:line="246" w:lineRule="auto"/>
        <w:rPr>
          <w:sz w:val="20"/>
          <w:szCs w:val="20"/>
          <w:color w:val="auto"/>
        </w:rPr>
      </w:pPr>
      <w:r>
        <w:rPr>
          <w:rFonts w:ascii="Courier New" w:cs="Courier New" w:eastAsia="Courier New" w:hAnsi="Courier New"/>
          <w:sz w:val="17"/>
          <w:szCs w:val="17"/>
          <w:color w:val="auto"/>
        </w:rPr>
        <w:t>The prospectus will also be used by the Robert A. Dood and Susan V. Dood Charitable Remainder Unitrust dtd 12/9/97, a donee of a Selling Stockholder, in connection with sale of less than 10,000 shares given to such charitable organizations.</w:t>
      </w:r>
    </w:p>
    <w:p>
      <w:pPr>
        <w:spacing w:after="0" w:line="398"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ANNUAL FINANCIAL INFORMATION</w:t>
      </w:r>
    </w:p>
    <w:p>
      <w:pPr>
        <w:spacing w:after="0" w:line="203" w:lineRule="exact"/>
        <w:rPr>
          <w:sz w:val="24"/>
          <w:szCs w:val="24"/>
          <w:color w:val="auto"/>
        </w:rPr>
      </w:pPr>
    </w:p>
    <w:p>
      <w:pPr>
        <w:ind w:right="2079" w:firstLine="618"/>
        <w:spacing w:after="0" w:line="247" w:lineRule="auto"/>
        <w:rPr>
          <w:sz w:val="20"/>
          <w:szCs w:val="20"/>
          <w:color w:val="auto"/>
        </w:rPr>
      </w:pPr>
      <w:r>
        <w:rPr>
          <w:rFonts w:ascii="Courier New" w:cs="Courier New" w:eastAsia="Courier New" w:hAnsi="Courier New"/>
          <w:sz w:val="17"/>
          <w:szCs w:val="17"/>
          <w:color w:val="auto"/>
        </w:rPr>
        <w:t>A copy of the Company's press release containing annual financial results for 1997 is attached hereto.</w:t>
      </w:r>
    </w:p>
    <w:p>
      <w:pPr>
        <w:spacing w:after="0" w:line="369" w:lineRule="exact"/>
        <w:rPr>
          <w:sz w:val="24"/>
          <w:szCs w:val="24"/>
          <w:color w:val="auto"/>
        </w:rPr>
      </w:pPr>
    </w:p>
    <w:p>
      <w:pPr>
        <w:ind w:left="1140"/>
        <w:spacing w:after="0"/>
        <w:tabs>
          <w:tab w:leader="none" w:pos="1740" w:val="left"/>
        </w:tabs>
        <w:rPr>
          <w:sz w:val="20"/>
          <w:szCs w:val="20"/>
          <w:color w:val="auto"/>
        </w:rPr>
      </w:pPr>
      <w:r>
        <w:rPr>
          <w:rFonts w:ascii="Courier New" w:cs="Courier New" w:eastAsia="Courier New" w:hAnsi="Courier New"/>
          <w:sz w:val="17"/>
          <w:szCs w:val="17"/>
          <w:color w:val="auto"/>
        </w:rPr>
        <w:t>FOR:</w:t>
        <w:tab/>
        <w:t>Comfort Systems USA, Inc.</w:t>
      </w:r>
    </w:p>
    <w:p>
      <w:pPr>
        <w:spacing w:after="0" w:line="203" w:lineRule="exact"/>
        <w:rPr>
          <w:sz w:val="24"/>
          <w:szCs w:val="24"/>
          <w:color w:val="auto"/>
        </w:rPr>
      </w:pPr>
    </w:p>
    <w:p>
      <w:pPr>
        <w:ind w:left="1760" w:right="3719" w:hanging="1440"/>
        <w:spacing w:after="0" w:line="246" w:lineRule="auto"/>
        <w:tabs>
          <w:tab w:leader="none" w:pos="1740" w:val="left"/>
        </w:tabs>
        <w:rPr>
          <w:sz w:val="20"/>
          <w:szCs w:val="20"/>
          <w:color w:val="auto"/>
        </w:rPr>
      </w:pPr>
      <w:r>
        <w:rPr>
          <w:rFonts w:ascii="Courier New" w:cs="Courier New" w:eastAsia="Courier New" w:hAnsi="Courier New"/>
          <w:sz w:val="17"/>
          <w:szCs w:val="17"/>
          <w:color w:val="auto"/>
        </w:rPr>
        <w:t>APPROVED BY:</w:t>
        <w:tab/>
        <w:t>J. Gordon Beittenmiller, Senior Vice President Three Riverway, Suite 200</w:t>
      </w:r>
    </w:p>
    <w:p>
      <w:pPr>
        <w:spacing w:after="0" w:line="1" w:lineRule="exact"/>
        <w:rPr>
          <w:sz w:val="24"/>
          <w:szCs w:val="24"/>
          <w:color w:val="auto"/>
        </w:rPr>
      </w:pPr>
    </w:p>
    <w:p>
      <w:pPr>
        <w:ind w:left="1760"/>
        <w:spacing w:after="0"/>
        <w:tabs>
          <w:tab w:leader="none" w:pos="3380" w:val="left"/>
        </w:tabs>
        <w:rPr>
          <w:sz w:val="20"/>
          <w:szCs w:val="20"/>
          <w:color w:val="auto"/>
        </w:rPr>
      </w:pPr>
      <w:r>
        <w:rPr>
          <w:rFonts w:ascii="Courier New" w:cs="Courier New" w:eastAsia="Courier New" w:hAnsi="Courier New"/>
          <w:sz w:val="17"/>
          <w:szCs w:val="17"/>
          <w:color w:val="auto"/>
        </w:rPr>
        <w:t>Houston, Texas</w:t>
        <w:tab/>
        <w:t>77056</w:t>
      </w:r>
    </w:p>
    <w:p>
      <w:pPr>
        <w:spacing w:after="0" w:line="5" w:lineRule="exact"/>
        <w:rPr>
          <w:sz w:val="24"/>
          <w:szCs w:val="24"/>
          <w:color w:val="auto"/>
        </w:rPr>
      </w:pPr>
    </w:p>
    <w:p>
      <w:pPr>
        <w:ind w:left="1760"/>
        <w:spacing w:after="0"/>
        <w:rPr>
          <w:sz w:val="20"/>
          <w:szCs w:val="20"/>
          <w:color w:val="auto"/>
        </w:rPr>
      </w:pPr>
      <w:r>
        <w:rPr>
          <w:rFonts w:ascii="Courier New" w:cs="Courier New" w:eastAsia="Courier New" w:hAnsi="Courier New"/>
          <w:sz w:val="17"/>
          <w:szCs w:val="17"/>
          <w:color w:val="auto"/>
        </w:rPr>
        <w:t>(713) 830-9600</w:t>
      </w:r>
    </w:p>
    <w:p>
      <w:pPr>
        <w:spacing w:after="0" w:line="203" w:lineRule="exact"/>
        <w:rPr>
          <w:sz w:val="24"/>
          <w:szCs w:val="24"/>
          <w:color w:val="auto"/>
        </w:rPr>
      </w:pPr>
    </w:p>
    <w:p>
      <w:pPr>
        <w:ind w:left="720"/>
        <w:spacing w:after="0"/>
        <w:tabs>
          <w:tab w:leader="none" w:pos="1740" w:val="left"/>
        </w:tabs>
        <w:rPr>
          <w:sz w:val="20"/>
          <w:szCs w:val="20"/>
          <w:color w:val="auto"/>
        </w:rPr>
      </w:pPr>
      <w:r>
        <w:rPr>
          <w:rFonts w:ascii="Courier New" w:cs="Courier New" w:eastAsia="Courier New" w:hAnsi="Courier New"/>
          <w:sz w:val="17"/>
          <w:szCs w:val="17"/>
          <w:color w:val="auto"/>
        </w:rPr>
        <w:t>CONTACT:</w:t>
        <w:tab/>
        <w:t>Betsy Brod/Karen Kruza</w:t>
      </w:r>
    </w:p>
    <w:p>
      <w:pPr>
        <w:spacing w:after="0" w:line="5" w:lineRule="exact"/>
        <w:rPr>
          <w:sz w:val="24"/>
          <w:szCs w:val="24"/>
          <w:color w:val="auto"/>
        </w:rPr>
      </w:pPr>
    </w:p>
    <w:p>
      <w:pPr>
        <w:ind w:left="1760"/>
        <w:spacing w:after="0"/>
        <w:rPr>
          <w:sz w:val="20"/>
          <w:szCs w:val="20"/>
          <w:color w:val="auto"/>
        </w:rPr>
      </w:pPr>
      <w:r>
        <w:rPr>
          <w:rFonts w:ascii="Courier New" w:cs="Courier New" w:eastAsia="Courier New" w:hAnsi="Courier New"/>
          <w:sz w:val="17"/>
          <w:szCs w:val="17"/>
          <w:color w:val="auto"/>
        </w:rPr>
        <w:t>Investor Relations</w:t>
      </w:r>
    </w:p>
    <w:p>
      <w:pPr>
        <w:spacing w:after="0" w:line="5" w:lineRule="exact"/>
        <w:rPr>
          <w:sz w:val="24"/>
          <w:szCs w:val="24"/>
          <w:color w:val="auto"/>
        </w:rPr>
      </w:pPr>
    </w:p>
    <w:p>
      <w:pPr>
        <w:ind w:left="1760"/>
        <w:spacing w:after="0"/>
        <w:rPr>
          <w:sz w:val="20"/>
          <w:szCs w:val="20"/>
          <w:color w:val="auto"/>
        </w:rPr>
      </w:pPr>
      <w:r>
        <w:rPr>
          <w:rFonts w:ascii="Courier New" w:cs="Courier New" w:eastAsia="Courier New" w:hAnsi="Courier New"/>
          <w:sz w:val="17"/>
          <w:szCs w:val="17"/>
          <w:color w:val="auto"/>
        </w:rPr>
        <w:t>Morgen-Walke Associates</w:t>
      </w:r>
    </w:p>
    <w:p>
      <w:pPr>
        <w:spacing w:after="0" w:line="5" w:lineRule="exact"/>
        <w:rPr>
          <w:sz w:val="24"/>
          <w:szCs w:val="24"/>
          <w:color w:val="auto"/>
        </w:rPr>
      </w:pPr>
    </w:p>
    <w:p>
      <w:pPr>
        <w:ind w:left="2380" w:hanging="624"/>
        <w:spacing w:after="0"/>
        <w:tabs>
          <w:tab w:leader="none" w:pos="238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850-5600</w:t>
      </w:r>
    </w:p>
    <w:p>
      <w:pPr>
        <w:spacing w:after="0" w:line="203"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FOR IMMEDIATE RELEASE</w:t>
      </w:r>
    </w:p>
    <w:p>
      <w:pPr>
        <w:spacing w:after="0" w:line="203"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7"/>
          <w:szCs w:val="17"/>
          <w:color w:val="auto"/>
        </w:rPr>
        <w:t>COMFORT SYSTEMS USA REPORTS FOURTH QUARTER AND YEAR-END</w:t>
      </w:r>
    </w:p>
    <w:p>
      <w:pPr>
        <w:spacing w:after="0" w:line="5" w:lineRule="exact"/>
        <w:rPr>
          <w:sz w:val="24"/>
          <w:szCs w:val="24"/>
          <w:color w:val="auto"/>
        </w:rPr>
      </w:pPr>
    </w:p>
    <w:p>
      <w:pPr>
        <w:jc w:val="center"/>
        <w:ind w:right="2079"/>
        <w:spacing w:after="0"/>
        <w:rPr>
          <w:sz w:val="20"/>
          <w:szCs w:val="20"/>
          <w:color w:val="auto"/>
        </w:rPr>
      </w:pPr>
      <w:r>
        <w:rPr>
          <w:rFonts w:ascii="Courier New" w:cs="Courier New" w:eastAsia="Courier New" w:hAnsi="Courier New"/>
          <w:sz w:val="17"/>
          <w:szCs w:val="17"/>
          <w:color w:val="auto"/>
        </w:rPr>
        <w:t>RESULTS -</w:t>
      </w:r>
    </w:p>
    <w:p>
      <w:pPr>
        <w:spacing w:after="0" w:line="5"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FOURTH QUARTER NET INCOME UP 43% -</w:t>
      </w:r>
    </w:p>
    <w:p>
      <w:pPr>
        <w:spacing w:after="0" w:line="5"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 STRONG INTERNAL AND ACQUISITION GROWTH -</w:t>
      </w:r>
    </w:p>
    <w:p>
      <w:pPr>
        <w:spacing w:after="0" w:line="203" w:lineRule="exact"/>
        <w:rPr>
          <w:sz w:val="24"/>
          <w:szCs w:val="24"/>
          <w:color w:val="auto"/>
        </w:rPr>
      </w:pPr>
    </w:p>
    <w:p>
      <w:pPr>
        <w:ind w:left="620"/>
        <w:spacing w:after="0"/>
        <w:rPr>
          <w:sz w:val="20"/>
          <w:szCs w:val="20"/>
          <w:color w:val="auto"/>
        </w:rPr>
      </w:pPr>
      <w:r>
        <w:rPr>
          <w:rFonts w:ascii="Courier New" w:cs="Courier New" w:eastAsia="Courier New" w:hAnsi="Courier New"/>
          <w:sz w:val="17"/>
          <w:szCs w:val="17"/>
          <w:color w:val="auto"/>
        </w:rPr>
        <w:t>HOUSTON, TX, FEBRUARY 25, 1998 -- COMFORT SYSTEMS USA, INC., (NYSE: FIX),</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a leading provider of commercial/industrial heating, ventilation and air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conditioning services (HVAC) today announced that pro forma net income for the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quarter ended December 31, 1997, increased 43% to $5,306,000 as compared to</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$3,713,000 in 1996. Pro forma earnings per share were 25% higher at $0.20, based</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on a higher number of shares outstanding, as compared to $0.16 per share in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1996. Revenues for the fourth quarter of 1997 were $99,485,000 versus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$67,864,000 in 1996, a gain of 47%. The Company separately announced the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completion of sixteen acquisitions that bring its annualized revenues to more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than $485 million.</w:t>
      </w:r>
    </w:p>
    <w:p>
      <w:pPr>
        <w:spacing w:after="0" w:line="203" w:lineRule="exact"/>
        <w:rPr>
          <w:sz w:val="24"/>
          <w:szCs w:val="24"/>
          <w:color w:val="auto"/>
        </w:rPr>
      </w:pPr>
    </w:p>
    <w:p>
      <w:pPr>
        <w:ind w:right="1979" w:firstLine="618"/>
        <w:spacing w:after="0" w:line="246" w:lineRule="auto"/>
        <w:rPr>
          <w:sz w:val="20"/>
          <w:szCs w:val="20"/>
          <w:color w:val="auto"/>
        </w:rPr>
      </w:pPr>
      <w:r>
        <w:rPr>
          <w:rFonts w:ascii="Courier New" w:cs="Courier New" w:eastAsia="Courier New" w:hAnsi="Courier New"/>
          <w:sz w:val="17"/>
          <w:szCs w:val="17"/>
          <w:color w:val="auto"/>
        </w:rPr>
        <w:t>Fred Ferreira, Comfort's Chairman and CEO said, "Our companies continue to post strong internal growth and our acquisition activity continues to exceed expectations. We are excited about the excellent progress we have made in building a major presence in the commercial/industrial HVAC industry."</w:t>
      </w:r>
    </w:p>
    <w:p>
      <w:pPr>
        <w:spacing w:after="0" w:line="200" w:lineRule="exact"/>
        <w:rPr>
          <w:sz w:val="24"/>
          <w:szCs w:val="24"/>
          <w:color w:val="auto"/>
        </w:rPr>
      </w:pPr>
    </w:p>
    <w:p>
      <w:pPr>
        <w:ind w:right="2079" w:firstLine="618"/>
        <w:spacing w:after="0" w:line="246" w:lineRule="auto"/>
        <w:rPr>
          <w:sz w:val="20"/>
          <w:szCs w:val="20"/>
          <w:color w:val="auto"/>
        </w:rPr>
      </w:pPr>
      <w:r>
        <w:rPr>
          <w:rFonts w:ascii="Courier New" w:cs="Courier New" w:eastAsia="Courier New" w:hAnsi="Courier New"/>
          <w:sz w:val="17"/>
          <w:szCs w:val="17"/>
          <w:color w:val="auto"/>
        </w:rPr>
        <w:t>In December, the Company announced it was acquiring companies with $125 million in annualized revenues. Of this amount, approximately $50 million was acquired during the quarter in pooling-of-interests transactions. The remaining $75 million in acquisitions were purchase transactions that closed at or after the end of the quarter with only nominal contribution to the quarter's results. In a separate release the Company announced the completion of these transactions, along with additional acquisitions representing another $60 million in annualized revenues.</w:t>
      </w:r>
    </w:p>
    <w:p>
      <w:pPr>
        <w:spacing w:after="0" w:line="203" w:lineRule="exact"/>
        <w:rPr>
          <w:sz w:val="24"/>
          <w:szCs w:val="24"/>
          <w:color w:val="auto"/>
        </w:rPr>
      </w:pPr>
    </w:p>
    <w:p>
      <w:pPr>
        <w:ind w:left="3720"/>
        <w:spacing w:after="0"/>
        <w:rPr>
          <w:sz w:val="20"/>
          <w:szCs w:val="20"/>
          <w:color w:val="auto"/>
        </w:rPr>
      </w:pPr>
      <w:r>
        <w:rPr>
          <w:rFonts w:ascii="Courier New" w:cs="Courier New" w:eastAsia="Courier New" w:hAnsi="Courier New"/>
          <w:sz w:val="17"/>
          <w:szCs w:val="17"/>
          <w:color w:val="auto"/>
        </w:rPr>
        <w:t>- more -</w:t>
      </w:r>
    </w:p>
    <w:p>
      <w:pPr>
        <w:sectPr>
          <w:pgSz w:w="11900" w:h="16838" w:orient="portrait"/>
          <w:cols w:equalWidth="0" w:num="1">
            <w:col w:w="10219"/>
          </w:cols>
          <w:pgMar w:left="240" w:top="247"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Comfort Systems USA,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February 25, 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2</w:t>
      </w:r>
    </w:p>
    <w:p>
      <w:pPr>
        <w:spacing w:after="0" w:line="200" w:lineRule="exact"/>
        <w:rPr>
          <w:sz w:val="20"/>
          <w:szCs w:val="20"/>
          <w:color w:val="auto"/>
        </w:rPr>
      </w:pPr>
    </w:p>
    <w:p>
      <w:pPr>
        <w:spacing w:after="0" w:line="201" w:lineRule="exact"/>
        <w:rPr>
          <w:sz w:val="20"/>
          <w:szCs w:val="20"/>
          <w:color w:val="auto"/>
        </w:rPr>
      </w:pPr>
    </w:p>
    <w:p>
      <w:pPr>
        <w:ind w:right="1979" w:firstLine="618"/>
        <w:spacing w:after="0" w:line="246" w:lineRule="auto"/>
        <w:rPr>
          <w:sz w:val="20"/>
          <w:szCs w:val="20"/>
          <w:color w:val="auto"/>
        </w:rPr>
      </w:pPr>
      <w:r>
        <w:rPr>
          <w:rFonts w:ascii="Courier New" w:cs="Courier New" w:eastAsia="Courier New" w:hAnsi="Courier New"/>
          <w:sz w:val="17"/>
          <w:szCs w:val="17"/>
          <w:color w:val="auto"/>
        </w:rPr>
        <w:t>"Our companies' internal revenue growth exceeded 30% in the fourth quarter and was more than 16% for the year," said Mr. Ferreira. "In addition to this strong performance, our recent acquisitions have added advanced controls expertise to Comfort's design/build and service capabilities, as well as stronger regional positions, particularly in the Northeast. With this excellent internal and acquisition growth, Comfort has more than doubled in size to nearly one half billion dollars in annualized revenues since our initial public offering in June. We will continue our focus on building a leading national company in the commercial/industrial HVAC markets."</w:t>
      </w:r>
    </w:p>
    <w:p>
      <w:pPr>
        <w:spacing w:after="0" w:line="203" w:lineRule="exact"/>
        <w:rPr>
          <w:sz w:val="20"/>
          <w:szCs w:val="20"/>
          <w:color w:val="auto"/>
        </w:rPr>
      </w:pPr>
    </w:p>
    <w:p>
      <w:pPr>
        <w:ind w:right="2079" w:firstLine="618"/>
        <w:spacing w:after="0" w:line="246" w:lineRule="auto"/>
        <w:rPr>
          <w:sz w:val="20"/>
          <w:szCs w:val="20"/>
          <w:color w:val="auto"/>
        </w:rPr>
      </w:pPr>
      <w:r>
        <w:rPr>
          <w:rFonts w:ascii="Courier New" w:cs="Courier New" w:eastAsia="Courier New" w:hAnsi="Courier New"/>
          <w:sz w:val="17"/>
          <w:szCs w:val="17"/>
          <w:color w:val="auto"/>
        </w:rPr>
        <w:t>Pro forma combined revenues for the full year of 1997 were $324,609,000, an increase of 23% over $263,863,000 in 1996. Pro forma net income in 1997 increased 18% to $17,532,000 or $0.72 per share based on a higher number of shares outstanding, as compared to $14,804,000 or $0.65 per share in 1996. The Company began incurring corporate costs in 1997 in connection with its establishment as a public company in June, 1997. As a result, these costs are included in the Company's 1997 fourth quarter and full year results, but not in comparable 1996 periods.</w:t>
      </w:r>
    </w:p>
    <w:p>
      <w:pPr>
        <w:spacing w:after="0" w:line="203" w:lineRule="exact"/>
        <w:rPr>
          <w:sz w:val="20"/>
          <w:szCs w:val="20"/>
          <w:color w:val="auto"/>
        </w:rPr>
      </w:pPr>
    </w:p>
    <w:p>
      <w:pPr>
        <w:ind w:right="2079" w:firstLine="618"/>
        <w:spacing w:after="0" w:line="246" w:lineRule="auto"/>
        <w:rPr>
          <w:sz w:val="20"/>
          <w:szCs w:val="20"/>
          <w:color w:val="auto"/>
        </w:rPr>
      </w:pPr>
      <w:r>
        <w:rPr>
          <w:rFonts w:ascii="Courier New" w:cs="Courier New" w:eastAsia="Courier New" w:hAnsi="Courier New"/>
          <w:sz w:val="17"/>
          <w:szCs w:val="17"/>
          <w:color w:val="auto"/>
        </w:rPr>
        <w:t>Comfort Systems USA was formed in 1996 to build a large national company through consolidation in the highly fragmented HVAC industry. The Company focuses on the commercial/industrial sector of the industry which is estimated at over $35 billion with more than 10,000 privately-owned companies in the U.S. Comfort's 36 companies are located in 29 cities across the U.S., performed services in over 35 states in 1997, and have been in business for an average of 29 years. FOR MORE INFORMATION, VISIT THE COMPANY'S WEB-SITE AT WWW.COMFORTSYSTEMSUSA.COM.</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THIS PRESS RELEASE CONTAINS FORWARD-LOOKING STATEMENTS WITHIN THE MEANING OF THE PRIVATE SECURITIES LITIGATION REFORM ACT OF 1995. THESE STATEMENTS ARE BASED ON THE CURRENT PLANS AND EXPECTATIONS OF COMFORT SYSTEMS USA, INC. AND INVOLVE RISKS AND UNCERTAINTIES THAT COULD CAUSE ACTUAL FUTURE ACTIVITIES AND RESULTS OF OPERATIONS TO BE MATERIALLY DIFFERENT FROM THOSE SET FORTH IN THE FORWARD-LOOKING STATEMENTS. IMPORTANT FACTORS THAT COULD CAUSE ACTUAL RESULTS TO DIFFER INCLUDE, AMONG OTHERS, RISKS ASSOCIATED WITH THE DIFFICULTY OF INTEGRATING NEWLY ACQUIRED COMPANIES WHILE MAINTAINING THEIR FINANCIAL PERFORMANCE, SEASONAL OR CYCLICAL VARIATION IN DEMAND FOR THE COMPANY'S PRODUCTS, THE ABILITY TO OBTAIN ACQUISITION FINANCING, INCREASING COMPETITION FOR ACQUISITION TARGETS AS NEW COMPANIES ENTER THE MARKET FOR HVAC CONSOLIDATION, AND THE CONTINUED ISSUANCE OF NEW SHARES AND THE RESULTING OVERHANG OF SALEABLE STOCK AND OTHER RISKS DETAILED IN THE COMPANY'S CONTINUING REPORTS FILED WITH THE SECURITIES AND EXCHANGE COMMISSION.</w:t>
      </w:r>
    </w:p>
    <w:p>
      <w:pPr>
        <w:spacing w:after="0" w:line="206"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 financial table follows --</w:t>
      </w:r>
    </w:p>
    <w:p>
      <w:pPr>
        <w:sectPr>
          <w:pgSz w:w="11900" w:h="16838" w:orient="portrait"/>
          <w:cols w:equalWidth="0" w:num="1">
            <w:col w:w="10219"/>
          </w:cols>
          <w:pgMar w:left="240" w:top="511" w:right="1440" w:bottom="1440" w:gutter="0" w:footer="0" w:header="0"/>
        </w:sectPr>
      </w:pPr>
    </w:p>
    <w:bookmarkStart w:id="2" w:name="page3"/>
    <w:bookmarkEnd w:id="2"/>
    <w:p>
      <w:pPr>
        <w:jc w:val="center"/>
        <w:ind w:right="3160"/>
        <w:spacing w:after="0"/>
        <w:rPr>
          <w:sz w:val="20"/>
          <w:szCs w:val="20"/>
          <w:color w:val="auto"/>
        </w:rPr>
      </w:pPr>
      <w:r>
        <w:rPr>
          <w:rFonts w:ascii="Courier New" w:cs="Courier New" w:eastAsia="Courier New" w:hAnsi="Courier New"/>
          <w:sz w:val="17"/>
          <w:szCs w:val="17"/>
          <w:color w:val="auto"/>
        </w:rPr>
        <w:t>COMFORT SYSTEMS USA, INC.</w:t>
      </w:r>
    </w:p>
    <w:p>
      <w:pPr>
        <w:spacing w:after="0" w:line="5" w:lineRule="exact"/>
        <w:rPr>
          <w:sz w:val="20"/>
          <w:szCs w:val="20"/>
          <w:color w:val="auto"/>
        </w:rPr>
      </w:pPr>
    </w:p>
    <w:p>
      <w:pPr>
        <w:jc w:val="center"/>
        <w:ind w:right="3160"/>
        <w:spacing w:after="0"/>
        <w:rPr>
          <w:sz w:val="20"/>
          <w:szCs w:val="20"/>
          <w:color w:val="auto"/>
        </w:rPr>
      </w:pPr>
      <w:r>
        <w:rPr>
          <w:rFonts w:ascii="Courier New" w:cs="Courier New" w:eastAsia="Courier New" w:hAnsi="Courier New"/>
          <w:sz w:val="17"/>
          <w:szCs w:val="17"/>
          <w:color w:val="auto"/>
        </w:rPr>
        <w:t>PRO FORMA COMBINED STATEMENTS OF OPERATIONS</w:t>
      </w:r>
    </w:p>
    <w:p>
      <w:pPr>
        <w:spacing w:after="0" w:line="5" w:lineRule="exact"/>
        <w:rPr>
          <w:sz w:val="20"/>
          <w:szCs w:val="20"/>
          <w:color w:val="auto"/>
        </w:rPr>
      </w:pPr>
    </w:p>
    <w:p>
      <w:pPr>
        <w:jc w:val="center"/>
        <w:ind w:right="3160"/>
        <w:spacing w:after="0"/>
        <w:rPr>
          <w:sz w:val="20"/>
          <w:szCs w:val="20"/>
          <w:color w:val="auto"/>
        </w:rPr>
      </w:pPr>
      <w:r>
        <w:rPr>
          <w:rFonts w:ascii="Courier New" w:cs="Courier New" w:eastAsia="Courier New" w:hAnsi="Courier New"/>
          <w:sz w:val="17"/>
          <w:szCs w:val="17"/>
          <w:color w:val="auto"/>
        </w:rPr>
        <w:t>FOR THE THREE MONTHS AND TWELVE MONTHS ENDED DECEMBER 31, 1997 &amp; 1996</w:t>
      </w:r>
    </w:p>
    <w:p>
      <w:pPr>
        <w:spacing w:after="0" w:line="5" w:lineRule="exact"/>
        <w:rPr>
          <w:sz w:val="20"/>
          <w:szCs w:val="20"/>
          <w:color w:val="auto"/>
        </w:rPr>
      </w:pPr>
    </w:p>
    <w:p>
      <w:pPr>
        <w:jc w:val="center"/>
        <w:ind w:right="3280"/>
        <w:spacing w:after="0"/>
        <w:rPr>
          <w:sz w:val="20"/>
          <w:szCs w:val="20"/>
          <w:color w:val="auto"/>
        </w:rPr>
      </w:pPr>
      <w:r>
        <w:rPr>
          <w:rFonts w:ascii="Courier New" w:cs="Courier New" w:eastAsia="Courier New" w:hAnsi="Courier New"/>
          <w:sz w:val="17"/>
          <w:szCs w:val="17"/>
          <w:color w:val="auto"/>
        </w:rPr>
        <w:t>(in thousands, except per share amounts)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(Unaudited)</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594"/>
        </w:trPr>
        <w:tc>
          <w:tcPr>
            <w:tcW w:w="2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360" w:type="dxa"/>
            <w:vAlign w:val="bottom"/>
            <w:gridSpan w:val="3"/>
          </w:tcPr>
          <w:p>
            <w:pPr>
              <w:jc w:val="right"/>
              <w:ind w:right="174"/>
              <w:spacing w:after="0"/>
              <w:rPr>
                <w:sz w:val="20"/>
                <w:szCs w:val="20"/>
                <w:color w:val="auto"/>
              </w:rPr>
            </w:pPr>
            <w:r>
              <w:rPr>
                <w:rFonts w:ascii="Courier New" w:cs="Courier New" w:eastAsia="Courier New" w:hAnsi="Courier New"/>
                <w:sz w:val="17"/>
                <w:szCs w:val="17"/>
                <w:color w:val="auto"/>
              </w:rPr>
              <w:t>Three Months Ended</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360" w:type="dxa"/>
            <w:vAlign w:val="bottom"/>
            <w:gridSpan w:val="3"/>
          </w:tcPr>
          <w:p>
            <w:pPr>
              <w:jc w:val="right"/>
              <w:ind w:right="174"/>
              <w:spacing w:after="0"/>
              <w:rPr>
                <w:sz w:val="20"/>
                <w:szCs w:val="20"/>
                <w:color w:val="auto"/>
              </w:rPr>
            </w:pPr>
            <w:r>
              <w:rPr>
                <w:rFonts w:ascii="Courier New" w:cs="Courier New" w:eastAsia="Courier New" w:hAnsi="Courier New"/>
                <w:sz w:val="17"/>
                <w:szCs w:val="17"/>
                <w:color w:val="auto"/>
              </w:rPr>
              <w:t>Twelve Months Ended</w:t>
            </w:r>
          </w:p>
        </w:tc>
        <w:tc>
          <w:tcPr>
            <w:tcW w:w="860" w:type="dxa"/>
            <w:vAlign w:val="bottom"/>
          </w:tcPr>
          <w:p>
            <w:pPr>
              <w:spacing w:after="0"/>
              <w:rPr>
                <w:sz w:val="24"/>
                <w:szCs w:val="24"/>
                <w:color w:val="auto"/>
              </w:rPr>
            </w:pPr>
          </w:p>
        </w:tc>
      </w:tr>
      <w:tr>
        <w:trPr>
          <w:trHeight w:val="198"/>
        </w:trPr>
        <w:tc>
          <w:tcPr>
            <w:tcW w:w="2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60" w:type="dxa"/>
            <w:vAlign w:val="bottom"/>
            <w:gridSpan w:val="3"/>
          </w:tcPr>
          <w:p>
            <w:pPr>
              <w:jc w:val="right"/>
              <w:ind w:right="474"/>
              <w:spacing w:after="0"/>
              <w:rPr>
                <w:sz w:val="20"/>
                <w:szCs w:val="20"/>
                <w:color w:val="auto"/>
              </w:rPr>
            </w:pPr>
            <w:r>
              <w:rPr>
                <w:rFonts w:ascii="Courier New" w:cs="Courier New" w:eastAsia="Courier New" w:hAnsi="Courier New"/>
                <w:sz w:val="17"/>
                <w:szCs w:val="17"/>
                <w:color w:val="auto"/>
              </w:rPr>
              <w:t>December 31,</w:t>
            </w: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December</w:t>
            </w:r>
          </w:p>
        </w:tc>
        <w:tc>
          <w:tcPr>
            <w:tcW w:w="9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31,</w:t>
            </w:r>
          </w:p>
        </w:tc>
        <w:tc>
          <w:tcPr>
            <w:tcW w:w="860" w:type="dxa"/>
            <w:vAlign w:val="bottom"/>
          </w:tcPr>
          <w:p>
            <w:pPr>
              <w:spacing w:after="0"/>
              <w:rPr>
                <w:sz w:val="17"/>
                <w:szCs w:val="17"/>
                <w:color w:val="auto"/>
              </w:rPr>
            </w:pPr>
          </w:p>
        </w:tc>
      </w:tr>
      <w:tr>
        <w:trPr>
          <w:trHeight w:val="198"/>
        </w:trPr>
        <w:tc>
          <w:tcPr>
            <w:tcW w:w="2420" w:type="dxa"/>
            <w:vAlign w:val="bottom"/>
          </w:tcPr>
          <w:p>
            <w:pPr>
              <w:spacing w:after="0"/>
              <w:rPr>
                <w:sz w:val="17"/>
                <w:szCs w:val="17"/>
                <w:color w:val="auto"/>
              </w:rPr>
            </w:pPr>
          </w:p>
        </w:tc>
        <w:tc>
          <w:tcPr>
            <w:tcW w:w="1140" w:type="dxa"/>
            <w:vAlign w:val="bottom"/>
            <w:gridSpan w:val="2"/>
          </w:tcPr>
          <w:p>
            <w:pPr>
              <w:ind w:left="160"/>
              <w:spacing w:after="0"/>
              <w:rPr>
                <w:sz w:val="20"/>
                <w:szCs w:val="20"/>
                <w:color w:val="auto"/>
              </w:rPr>
            </w:pPr>
            <w:r>
              <w:rPr>
                <w:rFonts w:ascii="Courier New" w:cs="Courier New" w:eastAsia="Courier New" w:hAnsi="Courier New"/>
                <w:sz w:val="5"/>
                <w:szCs w:val="5"/>
                <w:color w:val="auto"/>
                <w:w w:val="82"/>
              </w:rPr>
              <w:t>---------------------------------------</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560" w:type="dxa"/>
            <w:vAlign w:val="bottom"/>
            <w:gridSpan w:val="6"/>
          </w:tcPr>
          <w:p>
            <w:pPr>
              <w:jc w:val="right"/>
              <w:ind w:right="94"/>
              <w:spacing w:after="0"/>
              <w:rPr>
                <w:sz w:val="20"/>
                <w:szCs w:val="20"/>
                <w:color w:val="auto"/>
              </w:rPr>
            </w:pPr>
            <w:r>
              <w:rPr>
                <w:rFonts w:ascii="Courier New" w:cs="Courier New" w:eastAsia="Courier New" w:hAnsi="Courier New"/>
                <w:sz w:val="17"/>
                <w:szCs w:val="17"/>
                <w:color w:val="auto"/>
              </w:rPr>
              <w:t>-----------------------------------------</w:t>
            </w:r>
          </w:p>
        </w:tc>
      </w:tr>
      <w:tr>
        <w:trPr>
          <w:trHeight w:val="198"/>
        </w:trPr>
        <w:tc>
          <w:tcPr>
            <w:tcW w:w="2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1997</w:t>
            </w:r>
          </w:p>
        </w:tc>
        <w:tc>
          <w:tcPr>
            <w:tcW w:w="124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92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1996</w:t>
            </w:r>
          </w:p>
        </w:tc>
        <w:tc>
          <w:tcPr>
            <w:tcW w:w="104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c>
          <w:tcPr>
            <w:tcW w:w="10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1997</w:t>
            </w:r>
          </w:p>
        </w:tc>
        <w:tc>
          <w:tcPr>
            <w:tcW w:w="102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1996</w:t>
            </w:r>
          </w:p>
        </w:tc>
        <w:tc>
          <w:tcPr>
            <w:tcW w:w="86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w:t>
            </w:r>
          </w:p>
        </w:tc>
      </w:tr>
      <w:tr>
        <w:trPr>
          <w:trHeight w:val="198"/>
        </w:trPr>
        <w:tc>
          <w:tcPr>
            <w:tcW w:w="2420" w:type="dxa"/>
            <w:vAlign w:val="bottom"/>
          </w:tcPr>
          <w:p>
            <w:pPr>
              <w:spacing w:after="0"/>
              <w:rPr>
                <w:sz w:val="17"/>
                <w:szCs w:val="17"/>
                <w:color w:val="auto"/>
              </w:rPr>
            </w:pPr>
          </w:p>
        </w:tc>
        <w:tc>
          <w:tcPr>
            <w:tcW w:w="11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94"/>
              <w:spacing w:after="0"/>
              <w:rPr>
                <w:sz w:val="20"/>
                <w:szCs w:val="20"/>
                <w:color w:val="auto"/>
              </w:rPr>
            </w:pPr>
            <w:r>
              <w:rPr>
                <w:rFonts w:ascii="Courier New" w:cs="Courier New" w:eastAsia="Courier New" w:hAnsi="Courier New"/>
                <w:sz w:val="17"/>
                <w:szCs w:val="17"/>
                <w:color w:val="auto"/>
              </w:rPr>
              <w:t>-----</w:t>
            </w:r>
          </w:p>
        </w:tc>
      </w:tr>
      <w:tr>
        <w:trPr>
          <w:trHeight w:val="396"/>
        </w:trPr>
        <w:tc>
          <w:tcPr>
            <w:tcW w:w="2420" w:type="dxa"/>
            <w:vAlign w:val="bottom"/>
          </w:tcPr>
          <w:p>
            <w:pPr>
              <w:spacing w:after="0"/>
              <w:rPr>
                <w:sz w:val="20"/>
                <w:szCs w:val="20"/>
                <w:color w:val="auto"/>
              </w:rPr>
            </w:pPr>
            <w:r>
              <w:rPr>
                <w:rFonts w:ascii="Courier New" w:cs="Courier New" w:eastAsia="Courier New" w:hAnsi="Courier New"/>
                <w:sz w:val="17"/>
                <w:szCs w:val="17"/>
                <w:color w:val="auto"/>
              </w:rPr>
              <w:t>Revenues .............</w:t>
            </w:r>
          </w:p>
        </w:tc>
        <w:tc>
          <w:tcPr>
            <w:tcW w:w="36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99,485</w:t>
            </w:r>
          </w:p>
        </w:tc>
        <w:tc>
          <w:tcPr>
            <w:tcW w:w="12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100.0%</w:t>
            </w:r>
          </w:p>
        </w:tc>
        <w:tc>
          <w:tcPr>
            <w:tcW w:w="112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$ 67,864</w:t>
            </w:r>
          </w:p>
        </w:tc>
        <w:tc>
          <w:tcPr>
            <w:tcW w:w="10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100.0%</w:t>
            </w:r>
          </w:p>
        </w:tc>
        <w:tc>
          <w:tcPr>
            <w:tcW w:w="134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$ 324,609</w:t>
            </w:r>
          </w:p>
        </w:tc>
        <w:tc>
          <w:tcPr>
            <w:tcW w:w="102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100.0%</w:t>
            </w:r>
          </w:p>
        </w:tc>
        <w:tc>
          <w:tcPr>
            <w:tcW w:w="134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$ 263,863</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100.0%</w:t>
            </w:r>
          </w:p>
        </w:tc>
      </w:tr>
      <w:tr>
        <w:trPr>
          <w:trHeight w:val="198"/>
        </w:trPr>
        <w:tc>
          <w:tcPr>
            <w:tcW w:w="2420" w:type="dxa"/>
            <w:vAlign w:val="bottom"/>
          </w:tcPr>
          <w:p>
            <w:pPr>
              <w:spacing w:after="0"/>
              <w:rPr>
                <w:sz w:val="20"/>
                <w:szCs w:val="20"/>
                <w:color w:val="auto"/>
              </w:rPr>
            </w:pPr>
            <w:r>
              <w:rPr>
                <w:rFonts w:ascii="Courier New" w:cs="Courier New" w:eastAsia="Courier New" w:hAnsi="Courier New"/>
                <w:sz w:val="17"/>
                <w:szCs w:val="17"/>
                <w:color w:val="auto"/>
              </w:rPr>
              <w:t>Cost of services .....</w:t>
            </w:r>
          </w:p>
        </w:tc>
        <w:tc>
          <w:tcPr>
            <w:tcW w:w="360" w:type="dxa"/>
            <w:vAlign w:val="bottom"/>
          </w:tcPr>
          <w:p>
            <w:pPr>
              <w:spacing w:after="0"/>
              <w:rPr>
                <w:sz w:val="17"/>
                <w:szCs w:val="17"/>
                <w:color w:val="auto"/>
              </w:rPr>
            </w:pPr>
          </w:p>
        </w:tc>
        <w:tc>
          <w:tcPr>
            <w:tcW w:w="7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73,131</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48,524</w:t>
            </w: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234,336</w:t>
            </w: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w w:val="97"/>
              </w:rPr>
              <w:t>191,879</w:t>
            </w:r>
          </w:p>
        </w:tc>
        <w:tc>
          <w:tcPr>
            <w:tcW w:w="860" w:type="dxa"/>
            <w:vAlign w:val="bottom"/>
          </w:tcPr>
          <w:p>
            <w:pPr>
              <w:spacing w:after="0"/>
              <w:rPr>
                <w:sz w:val="17"/>
                <w:szCs w:val="17"/>
                <w:color w:val="auto"/>
              </w:rPr>
            </w:pPr>
          </w:p>
        </w:tc>
      </w:tr>
      <w:tr>
        <w:trPr>
          <w:trHeight w:val="198"/>
        </w:trPr>
        <w:tc>
          <w:tcPr>
            <w:tcW w:w="2420" w:type="dxa"/>
            <w:vAlign w:val="bottom"/>
          </w:tcPr>
          <w:p>
            <w:pPr>
              <w:spacing w:after="0"/>
              <w:rPr>
                <w:sz w:val="17"/>
                <w:szCs w:val="17"/>
                <w:color w:val="auto"/>
              </w:rPr>
            </w:pPr>
          </w:p>
        </w:tc>
        <w:tc>
          <w:tcPr>
            <w:tcW w:w="11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94"/>
              <w:spacing w:after="0"/>
              <w:rPr>
                <w:sz w:val="20"/>
                <w:szCs w:val="20"/>
                <w:color w:val="auto"/>
              </w:rPr>
            </w:pPr>
            <w:r>
              <w:rPr>
                <w:rFonts w:ascii="Courier New" w:cs="Courier New" w:eastAsia="Courier New" w:hAnsi="Courier New"/>
                <w:sz w:val="17"/>
                <w:szCs w:val="17"/>
                <w:color w:val="auto"/>
              </w:rPr>
              <w:t>-----</w:t>
            </w:r>
          </w:p>
        </w:tc>
      </w:tr>
      <w:tr>
        <w:trPr>
          <w:trHeight w:val="198"/>
        </w:trPr>
        <w:tc>
          <w:tcPr>
            <w:tcW w:w="2420" w:type="dxa"/>
            <w:vAlign w:val="bottom"/>
          </w:tcPr>
          <w:p>
            <w:pPr>
              <w:spacing w:after="0"/>
              <w:rPr>
                <w:sz w:val="20"/>
                <w:szCs w:val="20"/>
                <w:color w:val="auto"/>
              </w:rPr>
            </w:pPr>
            <w:r>
              <w:rPr>
                <w:rFonts w:ascii="Courier New" w:cs="Courier New" w:eastAsia="Courier New" w:hAnsi="Courier New"/>
                <w:sz w:val="17"/>
                <w:szCs w:val="17"/>
                <w:color w:val="auto"/>
              </w:rPr>
              <w:t>Gross Profit .........</w:t>
            </w:r>
          </w:p>
        </w:tc>
        <w:tc>
          <w:tcPr>
            <w:tcW w:w="360" w:type="dxa"/>
            <w:vAlign w:val="bottom"/>
          </w:tcPr>
          <w:p>
            <w:pPr>
              <w:spacing w:after="0"/>
              <w:rPr>
                <w:sz w:val="17"/>
                <w:szCs w:val="17"/>
                <w:color w:val="auto"/>
              </w:rPr>
            </w:pPr>
          </w:p>
        </w:tc>
        <w:tc>
          <w:tcPr>
            <w:tcW w:w="7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26,354</w:t>
            </w:r>
          </w:p>
        </w:tc>
        <w:tc>
          <w:tcPr>
            <w:tcW w:w="12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26.5%</w:t>
            </w:r>
          </w:p>
        </w:tc>
        <w:tc>
          <w:tcPr>
            <w:tcW w:w="200" w:type="dxa"/>
            <w:vAlign w:val="bottom"/>
          </w:tcPr>
          <w:p>
            <w:pPr>
              <w:spacing w:after="0"/>
              <w:rPr>
                <w:sz w:val="17"/>
                <w:szCs w:val="17"/>
                <w:color w:val="auto"/>
              </w:rPr>
            </w:pPr>
          </w:p>
        </w:tc>
        <w:tc>
          <w:tcPr>
            <w:tcW w:w="92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19,340</w:t>
            </w:r>
          </w:p>
        </w:tc>
        <w:tc>
          <w:tcPr>
            <w:tcW w:w="10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28.5%</w:t>
            </w:r>
          </w:p>
        </w:tc>
        <w:tc>
          <w:tcPr>
            <w:tcW w:w="300" w:type="dxa"/>
            <w:vAlign w:val="bottom"/>
          </w:tcPr>
          <w:p>
            <w:pPr>
              <w:spacing w:after="0"/>
              <w:rPr>
                <w:sz w:val="17"/>
                <w:szCs w:val="17"/>
                <w:color w:val="auto"/>
              </w:rPr>
            </w:pPr>
          </w:p>
        </w:tc>
        <w:tc>
          <w:tcPr>
            <w:tcW w:w="10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90,273</w:t>
            </w:r>
          </w:p>
        </w:tc>
        <w:tc>
          <w:tcPr>
            <w:tcW w:w="102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27.8%</w:t>
            </w:r>
          </w:p>
        </w:tc>
        <w:tc>
          <w:tcPr>
            <w:tcW w:w="360" w:type="dxa"/>
            <w:vAlign w:val="bottom"/>
          </w:tcPr>
          <w:p>
            <w:pPr>
              <w:spacing w:after="0"/>
              <w:rPr>
                <w:sz w:val="17"/>
                <w:szCs w:val="17"/>
                <w:color w:val="auto"/>
              </w:rPr>
            </w:pP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71,984</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27.3%</w:t>
            </w:r>
          </w:p>
        </w:tc>
      </w:tr>
      <w:tr>
        <w:trPr>
          <w:trHeight w:val="396"/>
        </w:trPr>
        <w:tc>
          <w:tcPr>
            <w:tcW w:w="2420" w:type="dxa"/>
            <w:vAlign w:val="bottom"/>
          </w:tcPr>
          <w:p>
            <w:pPr>
              <w:spacing w:after="0"/>
              <w:rPr>
                <w:sz w:val="20"/>
                <w:szCs w:val="20"/>
                <w:color w:val="auto"/>
              </w:rPr>
            </w:pPr>
            <w:r>
              <w:rPr>
                <w:rFonts w:ascii="Courier New" w:cs="Courier New" w:eastAsia="Courier New" w:hAnsi="Courier New"/>
                <w:sz w:val="17"/>
                <w:szCs w:val="17"/>
                <w:color w:val="auto"/>
              </w:rPr>
              <w:t>SG &amp; A ...............</w:t>
            </w:r>
          </w:p>
        </w:tc>
        <w:tc>
          <w:tcPr>
            <w:tcW w:w="360" w:type="dxa"/>
            <w:vAlign w:val="bottom"/>
          </w:tcPr>
          <w:p>
            <w:pPr>
              <w:spacing w:after="0"/>
              <w:rPr>
                <w:sz w:val="24"/>
                <w:szCs w:val="24"/>
                <w:color w:val="auto"/>
              </w:rPr>
            </w:pPr>
          </w:p>
        </w:tc>
        <w:tc>
          <w:tcPr>
            <w:tcW w:w="7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16,131</w:t>
            </w:r>
          </w:p>
        </w:tc>
        <w:tc>
          <w:tcPr>
            <w:tcW w:w="12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16.2%</w:t>
            </w:r>
          </w:p>
        </w:tc>
        <w:tc>
          <w:tcPr>
            <w:tcW w:w="200" w:type="dxa"/>
            <w:vAlign w:val="bottom"/>
          </w:tcPr>
          <w:p>
            <w:pPr>
              <w:spacing w:after="0"/>
              <w:rPr>
                <w:sz w:val="24"/>
                <w:szCs w:val="24"/>
                <w:color w:val="auto"/>
              </w:rPr>
            </w:pPr>
          </w:p>
        </w:tc>
        <w:tc>
          <w:tcPr>
            <w:tcW w:w="92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11,522</w:t>
            </w:r>
          </w:p>
        </w:tc>
        <w:tc>
          <w:tcPr>
            <w:tcW w:w="10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17.0%</w:t>
            </w:r>
          </w:p>
        </w:tc>
        <w:tc>
          <w:tcPr>
            <w:tcW w:w="300" w:type="dxa"/>
            <w:vAlign w:val="bottom"/>
          </w:tcPr>
          <w:p>
            <w:pPr>
              <w:spacing w:after="0"/>
              <w:rPr>
                <w:sz w:val="24"/>
                <w:szCs w:val="24"/>
                <w:color w:val="auto"/>
              </w:rPr>
            </w:pPr>
          </w:p>
        </w:tc>
        <w:tc>
          <w:tcPr>
            <w:tcW w:w="10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55,966</w:t>
            </w:r>
          </w:p>
        </w:tc>
        <w:tc>
          <w:tcPr>
            <w:tcW w:w="102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17.2%</w:t>
            </w:r>
          </w:p>
        </w:tc>
        <w:tc>
          <w:tcPr>
            <w:tcW w:w="360" w:type="dxa"/>
            <w:vAlign w:val="bottom"/>
          </w:tcPr>
          <w:p>
            <w:pPr>
              <w:spacing w:after="0"/>
              <w:rPr>
                <w:sz w:val="24"/>
                <w:szCs w:val="24"/>
                <w:color w:val="auto"/>
              </w:rPr>
            </w:pP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41,745</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15.8%</w:t>
            </w:r>
          </w:p>
        </w:tc>
      </w:tr>
      <w:tr>
        <w:trPr>
          <w:trHeight w:val="198"/>
        </w:trPr>
        <w:tc>
          <w:tcPr>
            <w:tcW w:w="2420" w:type="dxa"/>
            <w:vAlign w:val="bottom"/>
          </w:tcPr>
          <w:p>
            <w:pPr>
              <w:spacing w:after="0"/>
              <w:rPr>
                <w:sz w:val="20"/>
                <w:szCs w:val="20"/>
                <w:color w:val="auto"/>
              </w:rPr>
            </w:pPr>
            <w:r>
              <w:rPr>
                <w:rFonts w:ascii="Courier New" w:cs="Courier New" w:eastAsia="Courier New" w:hAnsi="Courier New"/>
                <w:sz w:val="17"/>
                <w:szCs w:val="17"/>
                <w:color w:val="auto"/>
              </w:rPr>
              <w:t>Goodwill amortization</w:t>
            </w:r>
          </w:p>
        </w:tc>
        <w:tc>
          <w:tcPr>
            <w:tcW w:w="360" w:type="dxa"/>
            <w:vAlign w:val="bottom"/>
          </w:tcPr>
          <w:p>
            <w:pPr>
              <w:spacing w:after="0"/>
              <w:rPr>
                <w:sz w:val="17"/>
                <w:szCs w:val="17"/>
                <w:color w:val="auto"/>
              </w:rPr>
            </w:pPr>
          </w:p>
        </w:tc>
        <w:tc>
          <w:tcPr>
            <w:tcW w:w="7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970</w:t>
            </w:r>
          </w:p>
        </w:tc>
        <w:tc>
          <w:tcPr>
            <w:tcW w:w="12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1.0%</w:t>
            </w:r>
          </w:p>
        </w:tc>
        <w:tc>
          <w:tcPr>
            <w:tcW w:w="200" w:type="dxa"/>
            <w:vAlign w:val="bottom"/>
          </w:tcPr>
          <w:p>
            <w:pPr>
              <w:spacing w:after="0"/>
              <w:rPr>
                <w:sz w:val="17"/>
                <w:szCs w:val="17"/>
                <w:color w:val="auto"/>
              </w:rPr>
            </w:pPr>
          </w:p>
        </w:tc>
        <w:tc>
          <w:tcPr>
            <w:tcW w:w="92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874</w:t>
            </w:r>
          </w:p>
        </w:tc>
        <w:tc>
          <w:tcPr>
            <w:tcW w:w="10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1.3%</w:t>
            </w:r>
          </w:p>
        </w:tc>
        <w:tc>
          <w:tcPr>
            <w:tcW w:w="300" w:type="dxa"/>
            <w:vAlign w:val="bottom"/>
          </w:tcPr>
          <w:p>
            <w:pPr>
              <w:spacing w:after="0"/>
              <w:rPr>
                <w:sz w:val="17"/>
                <w:szCs w:val="17"/>
                <w:color w:val="auto"/>
              </w:rPr>
            </w:pPr>
          </w:p>
        </w:tc>
        <w:tc>
          <w:tcPr>
            <w:tcW w:w="10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3,593</w:t>
            </w:r>
          </w:p>
        </w:tc>
        <w:tc>
          <w:tcPr>
            <w:tcW w:w="102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1.1%</w:t>
            </w:r>
          </w:p>
        </w:tc>
        <w:tc>
          <w:tcPr>
            <w:tcW w:w="360" w:type="dxa"/>
            <w:vAlign w:val="bottom"/>
          </w:tcPr>
          <w:p>
            <w:pPr>
              <w:spacing w:after="0"/>
              <w:rPr>
                <w:sz w:val="17"/>
                <w:szCs w:val="17"/>
                <w:color w:val="auto"/>
              </w:rPr>
            </w:pP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3,495</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1.3%</w:t>
            </w:r>
          </w:p>
        </w:tc>
      </w:tr>
      <w:tr>
        <w:trPr>
          <w:trHeight w:val="198"/>
        </w:trPr>
        <w:tc>
          <w:tcPr>
            <w:tcW w:w="2420" w:type="dxa"/>
            <w:vAlign w:val="bottom"/>
          </w:tcPr>
          <w:p>
            <w:pPr>
              <w:spacing w:after="0"/>
              <w:rPr>
                <w:sz w:val="17"/>
                <w:szCs w:val="17"/>
                <w:color w:val="auto"/>
              </w:rPr>
            </w:pPr>
          </w:p>
        </w:tc>
        <w:tc>
          <w:tcPr>
            <w:tcW w:w="11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94"/>
              <w:spacing w:after="0"/>
              <w:rPr>
                <w:sz w:val="20"/>
                <w:szCs w:val="20"/>
                <w:color w:val="auto"/>
              </w:rPr>
            </w:pPr>
            <w:r>
              <w:rPr>
                <w:rFonts w:ascii="Courier New" w:cs="Courier New" w:eastAsia="Courier New" w:hAnsi="Courier New"/>
                <w:sz w:val="17"/>
                <w:szCs w:val="17"/>
                <w:color w:val="auto"/>
              </w:rPr>
              <w:t>-----</w:t>
            </w:r>
          </w:p>
        </w:tc>
      </w:tr>
      <w:tr>
        <w:trPr>
          <w:trHeight w:val="396"/>
        </w:trPr>
        <w:tc>
          <w:tcPr>
            <w:tcW w:w="2420" w:type="dxa"/>
            <w:vAlign w:val="bottom"/>
          </w:tcPr>
          <w:p>
            <w:pPr>
              <w:spacing w:after="0"/>
              <w:rPr>
                <w:sz w:val="20"/>
                <w:szCs w:val="20"/>
                <w:color w:val="auto"/>
              </w:rPr>
            </w:pPr>
            <w:r>
              <w:rPr>
                <w:rFonts w:ascii="Courier New" w:cs="Courier New" w:eastAsia="Courier New" w:hAnsi="Courier New"/>
                <w:sz w:val="17"/>
                <w:szCs w:val="17"/>
                <w:color w:val="auto"/>
              </w:rPr>
              <w:t>Income from operations</w:t>
            </w:r>
          </w:p>
        </w:tc>
        <w:tc>
          <w:tcPr>
            <w:tcW w:w="360" w:type="dxa"/>
            <w:vAlign w:val="bottom"/>
          </w:tcPr>
          <w:p>
            <w:pPr>
              <w:spacing w:after="0"/>
              <w:rPr>
                <w:sz w:val="24"/>
                <w:szCs w:val="24"/>
                <w:color w:val="auto"/>
              </w:rPr>
            </w:pPr>
          </w:p>
        </w:tc>
        <w:tc>
          <w:tcPr>
            <w:tcW w:w="7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9,253</w:t>
            </w:r>
          </w:p>
        </w:tc>
        <w:tc>
          <w:tcPr>
            <w:tcW w:w="12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9.3%</w:t>
            </w:r>
          </w:p>
        </w:tc>
        <w:tc>
          <w:tcPr>
            <w:tcW w:w="200" w:type="dxa"/>
            <w:vAlign w:val="bottom"/>
          </w:tcPr>
          <w:p>
            <w:pPr>
              <w:spacing w:after="0"/>
              <w:rPr>
                <w:sz w:val="24"/>
                <w:szCs w:val="24"/>
                <w:color w:val="auto"/>
              </w:rPr>
            </w:pPr>
          </w:p>
        </w:tc>
        <w:tc>
          <w:tcPr>
            <w:tcW w:w="92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6,944</w:t>
            </w:r>
          </w:p>
        </w:tc>
        <w:tc>
          <w:tcPr>
            <w:tcW w:w="10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10.2%</w:t>
            </w:r>
          </w:p>
        </w:tc>
        <w:tc>
          <w:tcPr>
            <w:tcW w:w="300" w:type="dxa"/>
            <w:vAlign w:val="bottom"/>
          </w:tcPr>
          <w:p>
            <w:pPr>
              <w:spacing w:after="0"/>
              <w:rPr>
                <w:sz w:val="24"/>
                <w:szCs w:val="24"/>
                <w:color w:val="auto"/>
              </w:rPr>
            </w:pPr>
          </w:p>
        </w:tc>
        <w:tc>
          <w:tcPr>
            <w:tcW w:w="10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30,714</w:t>
            </w:r>
          </w:p>
        </w:tc>
        <w:tc>
          <w:tcPr>
            <w:tcW w:w="102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9.5%</w:t>
            </w:r>
          </w:p>
        </w:tc>
        <w:tc>
          <w:tcPr>
            <w:tcW w:w="360" w:type="dxa"/>
            <w:vAlign w:val="bottom"/>
          </w:tcPr>
          <w:p>
            <w:pPr>
              <w:spacing w:after="0"/>
              <w:rPr>
                <w:sz w:val="24"/>
                <w:szCs w:val="24"/>
                <w:color w:val="auto"/>
              </w:rPr>
            </w:pP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26,744</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10.1%</w:t>
            </w:r>
          </w:p>
        </w:tc>
      </w:tr>
      <w:tr>
        <w:trPr>
          <w:trHeight w:val="396"/>
        </w:trPr>
        <w:tc>
          <w:tcPr>
            <w:tcW w:w="2420" w:type="dxa"/>
            <w:vAlign w:val="bottom"/>
          </w:tcPr>
          <w:p>
            <w:pPr>
              <w:spacing w:after="0"/>
              <w:rPr>
                <w:sz w:val="20"/>
                <w:szCs w:val="20"/>
                <w:color w:val="auto"/>
              </w:rPr>
            </w:pPr>
            <w:r>
              <w:rPr>
                <w:rFonts w:ascii="Courier New" w:cs="Courier New" w:eastAsia="Courier New" w:hAnsi="Courier New"/>
                <w:sz w:val="17"/>
                <w:szCs w:val="17"/>
                <w:color w:val="auto"/>
              </w:rPr>
              <w:t>Interest expense, net</w:t>
            </w:r>
          </w:p>
        </w:tc>
        <w:tc>
          <w:tcPr>
            <w:tcW w:w="360" w:type="dxa"/>
            <w:vAlign w:val="bottom"/>
          </w:tcPr>
          <w:p>
            <w:pPr>
              <w:spacing w:after="0"/>
              <w:rPr>
                <w:sz w:val="24"/>
                <w:szCs w:val="24"/>
                <w:color w:val="auto"/>
              </w:rPr>
            </w:pPr>
          </w:p>
        </w:tc>
        <w:tc>
          <w:tcPr>
            <w:tcW w:w="7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114</w:t>
            </w:r>
          </w:p>
        </w:tc>
        <w:tc>
          <w:tcPr>
            <w:tcW w:w="12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0.1%</w:t>
            </w:r>
          </w:p>
        </w:tc>
        <w:tc>
          <w:tcPr>
            <w:tcW w:w="200" w:type="dxa"/>
            <w:vAlign w:val="bottom"/>
          </w:tcPr>
          <w:p>
            <w:pPr>
              <w:spacing w:after="0"/>
              <w:rPr>
                <w:sz w:val="24"/>
                <w:szCs w:val="24"/>
                <w:color w:val="auto"/>
              </w:rPr>
            </w:pPr>
          </w:p>
        </w:tc>
        <w:tc>
          <w:tcPr>
            <w:tcW w:w="92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250</w:t>
            </w:r>
          </w:p>
        </w:tc>
        <w:tc>
          <w:tcPr>
            <w:tcW w:w="10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0.4%</w:t>
            </w:r>
          </w:p>
        </w:tc>
        <w:tc>
          <w:tcPr>
            <w:tcW w:w="300" w:type="dxa"/>
            <w:vAlign w:val="bottom"/>
          </w:tcPr>
          <w:p>
            <w:pPr>
              <w:spacing w:after="0"/>
              <w:rPr>
                <w:sz w:val="24"/>
                <w:szCs w:val="24"/>
                <w:color w:val="auto"/>
              </w:rPr>
            </w:pPr>
          </w:p>
        </w:tc>
        <w:tc>
          <w:tcPr>
            <w:tcW w:w="10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685</w:t>
            </w:r>
          </w:p>
        </w:tc>
        <w:tc>
          <w:tcPr>
            <w:tcW w:w="102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0.2%</w:t>
            </w:r>
          </w:p>
        </w:tc>
        <w:tc>
          <w:tcPr>
            <w:tcW w:w="360" w:type="dxa"/>
            <w:vAlign w:val="bottom"/>
          </w:tcPr>
          <w:p>
            <w:pPr>
              <w:spacing w:after="0"/>
              <w:rPr>
                <w:sz w:val="24"/>
                <w:szCs w:val="24"/>
                <w:color w:val="auto"/>
              </w:rPr>
            </w:pP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1,274</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0.5%</w:t>
            </w:r>
          </w:p>
        </w:tc>
      </w:tr>
      <w:tr>
        <w:trPr>
          <w:trHeight w:val="198"/>
        </w:trPr>
        <w:tc>
          <w:tcPr>
            <w:tcW w:w="2420" w:type="dxa"/>
            <w:vAlign w:val="bottom"/>
          </w:tcPr>
          <w:p>
            <w:pPr>
              <w:spacing w:after="0"/>
              <w:rPr>
                <w:sz w:val="20"/>
                <w:szCs w:val="20"/>
                <w:color w:val="auto"/>
              </w:rPr>
            </w:pPr>
            <w:r>
              <w:rPr>
                <w:rFonts w:ascii="Courier New" w:cs="Courier New" w:eastAsia="Courier New" w:hAnsi="Courier New"/>
                <w:sz w:val="17"/>
                <w:szCs w:val="17"/>
                <w:color w:val="auto"/>
              </w:rPr>
              <w:t>Other (income) expense</w:t>
            </w: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(105)</w:t>
            </w:r>
          </w:p>
        </w:tc>
        <w:tc>
          <w:tcPr>
            <w:tcW w:w="12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(0.1%)</w:t>
            </w:r>
          </w:p>
        </w:tc>
        <w:tc>
          <w:tcPr>
            <w:tcW w:w="200" w:type="dxa"/>
            <w:vAlign w:val="bottom"/>
          </w:tcPr>
          <w:p>
            <w:pPr>
              <w:spacing w:after="0"/>
              <w:rPr>
                <w:sz w:val="17"/>
                <w:szCs w:val="17"/>
                <w:color w:val="auto"/>
              </w:rPr>
            </w:pPr>
          </w:p>
        </w:tc>
        <w:tc>
          <w:tcPr>
            <w:tcW w:w="9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(220)</w:t>
            </w:r>
          </w:p>
        </w:tc>
        <w:tc>
          <w:tcPr>
            <w:tcW w:w="10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(0.3%)</w:t>
            </w:r>
          </w:p>
        </w:tc>
        <w:tc>
          <w:tcPr>
            <w:tcW w:w="300" w:type="dxa"/>
            <w:vAlign w:val="bottom"/>
          </w:tcPr>
          <w:p>
            <w:pPr>
              <w:spacing w:after="0"/>
              <w:rPr>
                <w:sz w:val="17"/>
                <w:szCs w:val="17"/>
                <w:color w:val="auto"/>
              </w:rPr>
            </w:pPr>
          </w:p>
        </w:tc>
        <w:tc>
          <w:tcPr>
            <w:tcW w:w="10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(224)</w:t>
            </w:r>
          </w:p>
        </w:tc>
        <w:tc>
          <w:tcPr>
            <w:tcW w:w="10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(0.1%)</w:t>
            </w:r>
          </w:p>
        </w:tc>
        <w:tc>
          <w:tcPr>
            <w:tcW w:w="360" w:type="dxa"/>
            <w:vAlign w:val="bottom"/>
          </w:tcPr>
          <w:p>
            <w:pPr>
              <w:spacing w:after="0"/>
              <w:rPr>
                <w:sz w:val="17"/>
                <w:szCs w:val="17"/>
                <w:color w:val="auto"/>
              </w:rPr>
            </w:pP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(411)</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(0.2%)</w:t>
            </w:r>
          </w:p>
        </w:tc>
      </w:tr>
      <w:tr>
        <w:trPr>
          <w:trHeight w:val="198"/>
        </w:trPr>
        <w:tc>
          <w:tcPr>
            <w:tcW w:w="2420" w:type="dxa"/>
            <w:vAlign w:val="bottom"/>
          </w:tcPr>
          <w:p>
            <w:pPr>
              <w:spacing w:after="0"/>
              <w:rPr>
                <w:sz w:val="17"/>
                <w:szCs w:val="17"/>
                <w:color w:val="auto"/>
              </w:rPr>
            </w:pPr>
          </w:p>
        </w:tc>
        <w:tc>
          <w:tcPr>
            <w:tcW w:w="11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94"/>
              <w:spacing w:after="0"/>
              <w:rPr>
                <w:sz w:val="20"/>
                <w:szCs w:val="20"/>
                <w:color w:val="auto"/>
              </w:rPr>
            </w:pPr>
            <w:r>
              <w:rPr>
                <w:rFonts w:ascii="Courier New" w:cs="Courier New" w:eastAsia="Courier New" w:hAnsi="Courier New"/>
                <w:sz w:val="17"/>
                <w:szCs w:val="17"/>
                <w:color w:val="auto"/>
              </w:rPr>
              <w:t>-----</w:t>
            </w:r>
          </w:p>
        </w:tc>
      </w:tr>
      <w:tr>
        <w:trPr>
          <w:trHeight w:val="198"/>
        </w:trPr>
        <w:tc>
          <w:tcPr>
            <w:tcW w:w="2420" w:type="dxa"/>
            <w:vAlign w:val="bottom"/>
          </w:tcPr>
          <w:p>
            <w:pPr>
              <w:spacing w:after="0"/>
              <w:rPr>
                <w:sz w:val="20"/>
                <w:szCs w:val="20"/>
                <w:color w:val="auto"/>
              </w:rPr>
            </w:pPr>
            <w:r>
              <w:rPr>
                <w:rFonts w:ascii="Courier New" w:cs="Courier New" w:eastAsia="Courier New" w:hAnsi="Courier New"/>
                <w:sz w:val="17"/>
                <w:szCs w:val="17"/>
                <w:color w:val="auto"/>
              </w:rPr>
              <w:t>Income before taxes ..</w:t>
            </w:r>
          </w:p>
        </w:tc>
        <w:tc>
          <w:tcPr>
            <w:tcW w:w="360" w:type="dxa"/>
            <w:vAlign w:val="bottom"/>
          </w:tcPr>
          <w:p>
            <w:pPr>
              <w:spacing w:after="0"/>
              <w:rPr>
                <w:sz w:val="17"/>
                <w:szCs w:val="17"/>
                <w:color w:val="auto"/>
              </w:rPr>
            </w:pPr>
          </w:p>
        </w:tc>
        <w:tc>
          <w:tcPr>
            <w:tcW w:w="7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9,244</w:t>
            </w:r>
          </w:p>
        </w:tc>
        <w:tc>
          <w:tcPr>
            <w:tcW w:w="12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9.3%</w:t>
            </w:r>
          </w:p>
        </w:tc>
        <w:tc>
          <w:tcPr>
            <w:tcW w:w="200" w:type="dxa"/>
            <w:vAlign w:val="bottom"/>
          </w:tcPr>
          <w:p>
            <w:pPr>
              <w:spacing w:after="0"/>
              <w:rPr>
                <w:sz w:val="17"/>
                <w:szCs w:val="17"/>
                <w:color w:val="auto"/>
              </w:rPr>
            </w:pPr>
          </w:p>
        </w:tc>
        <w:tc>
          <w:tcPr>
            <w:tcW w:w="92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6,914</w:t>
            </w:r>
          </w:p>
        </w:tc>
        <w:tc>
          <w:tcPr>
            <w:tcW w:w="10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10.2%</w:t>
            </w:r>
          </w:p>
        </w:tc>
        <w:tc>
          <w:tcPr>
            <w:tcW w:w="300" w:type="dxa"/>
            <w:vAlign w:val="bottom"/>
          </w:tcPr>
          <w:p>
            <w:pPr>
              <w:spacing w:after="0"/>
              <w:rPr>
                <w:sz w:val="17"/>
                <w:szCs w:val="17"/>
                <w:color w:val="auto"/>
              </w:rPr>
            </w:pPr>
          </w:p>
        </w:tc>
        <w:tc>
          <w:tcPr>
            <w:tcW w:w="10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30,253</w:t>
            </w:r>
          </w:p>
        </w:tc>
        <w:tc>
          <w:tcPr>
            <w:tcW w:w="102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9.3%</w:t>
            </w:r>
          </w:p>
        </w:tc>
        <w:tc>
          <w:tcPr>
            <w:tcW w:w="360" w:type="dxa"/>
            <w:vAlign w:val="bottom"/>
          </w:tcPr>
          <w:p>
            <w:pPr>
              <w:spacing w:after="0"/>
              <w:rPr>
                <w:sz w:val="17"/>
                <w:szCs w:val="17"/>
                <w:color w:val="auto"/>
              </w:rPr>
            </w:pP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25,881</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9.8%</w:t>
            </w:r>
          </w:p>
        </w:tc>
      </w:tr>
      <w:tr>
        <w:trPr>
          <w:trHeight w:val="198"/>
        </w:trPr>
        <w:tc>
          <w:tcPr>
            <w:tcW w:w="2420" w:type="dxa"/>
            <w:vAlign w:val="bottom"/>
          </w:tcPr>
          <w:p>
            <w:pPr>
              <w:spacing w:after="0"/>
              <w:rPr>
                <w:sz w:val="20"/>
                <w:szCs w:val="20"/>
                <w:color w:val="auto"/>
              </w:rPr>
            </w:pPr>
            <w:r>
              <w:rPr>
                <w:rFonts w:ascii="Courier New" w:cs="Courier New" w:eastAsia="Courier New" w:hAnsi="Courier New"/>
                <w:sz w:val="17"/>
                <w:szCs w:val="17"/>
                <w:color w:val="auto"/>
              </w:rPr>
              <w:t>Income taxes .........</w:t>
            </w:r>
          </w:p>
        </w:tc>
        <w:tc>
          <w:tcPr>
            <w:tcW w:w="360" w:type="dxa"/>
            <w:vAlign w:val="bottom"/>
          </w:tcPr>
          <w:p>
            <w:pPr>
              <w:spacing w:after="0"/>
              <w:rPr>
                <w:sz w:val="17"/>
                <w:szCs w:val="17"/>
                <w:color w:val="auto"/>
              </w:rPr>
            </w:pPr>
          </w:p>
        </w:tc>
        <w:tc>
          <w:tcPr>
            <w:tcW w:w="7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3,938</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3,201</w:t>
            </w: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12,721</w:t>
            </w: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11,077</w:t>
            </w:r>
          </w:p>
        </w:tc>
        <w:tc>
          <w:tcPr>
            <w:tcW w:w="860" w:type="dxa"/>
            <w:vAlign w:val="bottom"/>
          </w:tcPr>
          <w:p>
            <w:pPr>
              <w:spacing w:after="0"/>
              <w:rPr>
                <w:sz w:val="17"/>
                <w:szCs w:val="17"/>
                <w:color w:val="auto"/>
              </w:rPr>
            </w:pPr>
          </w:p>
        </w:tc>
      </w:tr>
      <w:tr>
        <w:trPr>
          <w:trHeight w:val="198"/>
        </w:trPr>
        <w:tc>
          <w:tcPr>
            <w:tcW w:w="2420" w:type="dxa"/>
            <w:vAlign w:val="bottom"/>
          </w:tcPr>
          <w:p>
            <w:pPr>
              <w:spacing w:after="0"/>
              <w:rPr>
                <w:sz w:val="17"/>
                <w:szCs w:val="17"/>
                <w:color w:val="auto"/>
              </w:rPr>
            </w:pPr>
          </w:p>
        </w:tc>
        <w:tc>
          <w:tcPr>
            <w:tcW w:w="11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94"/>
              <w:spacing w:after="0"/>
              <w:rPr>
                <w:sz w:val="20"/>
                <w:szCs w:val="20"/>
                <w:color w:val="auto"/>
              </w:rPr>
            </w:pPr>
            <w:r>
              <w:rPr>
                <w:rFonts w:ascii="Courier New" w:cs="Courier New" w:eastAsia="Courier New" w:hAnsi="Courier New"/>
                <w:sz w:val="17"/>
                <w:szCs w:val="17"/>
                <w:color w:val="auto"/>
              </w:rPr>
              <w:t>-----</w:t>
            </w:r>
          </w:p>
        </w:tc>
      </w:tr>
      <w:tr>
        <w:trPr>
          <w:trHeight w:val="198"/>
        </w:trPr>
        <w:tc>
          <w:tcPr>
            <w:tcW w:w="2420" w:type="dxa"/>
            <w:vAlign w:val="bottom"/>
          </w:tcPr>
          <w:p>
            <w:pPr>
              <w:spacing w:after="0"/>
              <w:rPr>
                <w:sz w:val="20"/>
                <w:szCs w:val="20"/>
                <w:color w:val="auto"/>
              </w:rPr>
            </w:pPr>
            <w:r>
              <w:rPr>
                <w:rFonts w:ascii="Courier New" w:cs="Courier New" w:eastAsia="Courier New" w:hAnsi="Courier New"/>
                <w:sz w:val="17"/>
                <w:szCs w:val="17"/>
                <w:color w:val="auto"/>
              </w:rPr>
              <w:t>Net income ...........</w:t>
            </w:r>
          </w:p>
        </w:tc>
        <w:tc>
          <w:tcPr>
            <w:tcW w:w="36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5,306</w:t>
            </w:r>
          </w:p>
        </w:tc>
        <w:tc>
          <w:tcPr>
            <w:tcW w:w="12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5.3%</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3,713</w:t>
            </w:r>
          </w:p>
        </w:tc>
        <w:tc>
          <w:tcPr>
            <w:tcW w:w="10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5.5%</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17,532</w:t>
            </w:r>
          </w:p>
        </w:tc>
        <w:tc>
          <w:tcPr>
            <w:tcW w:w="102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5.4%</w:t>
            </w:r>
          </w:p>
        </w:tc>
        <w:tc>
          <w:tcPr>
            <w:tcW w:w="3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14,804</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5.6%</w:t>
            </w:r>
          </w:p>
        </w:tc>
      </w:tr>
      <w:tr>
        <w:trPr>
          <w:trHeight w:val="396"/>
        </w:trPr>
        <w:tc>
          <w:tcPr>
            <w:tcW w:w="2420" w:type="dxa"/>
            <w:vAlign w:val="bottom"/>
          </w:tcPr>
          <w:p>
            <w:pPr>
              <w:spacing w:after="0"/>
              <w:rPr>
                <w:sz w:val="20"/>
                <w:szCs w:val="20"/>
                <w:color w:val="auto"/>
              </w:rPr>
            </w:pPr>
            <w:r>
              <w:rPr>
                <w:rFonts w:ascii="Courier New" w:cs="Courier New" w:eastAsia="Courier New" w:hAnsi="Courier New"/>
                <w:sz w:val="17"/>
                <w:szCs w:val="17"/>
                <w:color w:val="auto"/>
              </w:rPr>
              <w:t>Earnings per share ...</w:t>
            </w:r>
          </w:p>
        </w:tc>
        <w:tc>
          <w:tcPr>
            <w:tcW w:w="36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0.20</w:t>
            </w:r>
          </w:p>
        </w:tc>
        <w:tc>
          <w:tcPr>
            <w:tcW w:w="12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0.16</w:t>
            </w:r>
          </w:p>
        </w:tc>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0.72</w:t>
            </w:r>
          </w:p>
        </w:tc>
        <w:tc>
          <w:tcPr>
            <w:tcW w:w="1020" w:type="dxa"/>
            <w:vAlign w:val="bottom"/>
          </w:tcPr>
          <w:p>
            <w:pPr>
              <w:spacing w:after="0"/>
              <w:rPr>
                <w:sz w:val="24"/>
                <w:szCs w:val="24"/>
                <w:color w:val="auto"/>
              </w:rPr>
            </w:pPr>
          </w:p>
        </w:tc>
        <w:tc>
          <w:tcPr>
            <w:tcW w:w="3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0.65</w:t>
            </w:r>
          </w:p>
        </w:tc>
        <w:tc>
          <w:tcPr>
            <w:tcW w:w="860" w:type="dxa"/>
            <w:vAlign w:val="bottom"/>
          </w:tcPr>
          <w:p>
            <w:pPr>
              <w:spacing w:after="0"/>
              <w:rPr>
                <w:sz w:val="24"/>
                <w:szCs w:val="24"/>
                <w:color w:val="auto"/>
              </w:rPr>
            </w:pPr>
          </w:p>
        </w:tc>
      </w:tr>
      <w:tr>
        <w:trPr>
          <w:trHeight w:val="396"/>
        </w:trPr>
        <w:tc>
          <w:tcPr>
            <w:tcW w:w="2420" w:type="dxa"/>
            <w:vAlign w:val="bottom"/>
          </w:tcPr>
          <w:p>
            <w:pPr>
              <w:spacing w:after="0"/>
              <w:rPr>
                <w:sz w:val="20"/>
                <w:szCs w:val="20"/>
                <w:color w:val="auto"/>
              </w:rPr>
            </w:pPr>
            <w:r>
              <w:rPr>
                <w:rFonts w:ascii="Courier New" w:cs="Courier New" w:eastAsia="Courier New" w:hAnsi="Courier New"/>
                <w:sz w:val="17"/>
                <w:szCs w:val="17"/>
                <w:color w:val="auto"/>
              </w:rPr>
              <w:t>Shares used in</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8"/>
        </w:trPr>
        <w:tc>
          <w:tcPr>
            <w:tcW w:w="2420" w:type="dxa"/>
            <w:vAlign w:val="bottom"/>
          </w:tcPr>
          <w:p>
            <w:pPr>
              <w:spacing w:after="0"/>
              <w:rPr>
                <w:sz w:val="20"/>
                <w:szCs w:val="20"/>
                <w:color w:val="auto"/>
              </w:rPr>
            </w:pPr>
            <w:r>
              <w:rPr>
                <w:rFonts w:ascii="Courier New" w:cs="Courier New" w:eastAsia="Courier New" w:hAnsi="Courier New"/>
                <w:sz w:val="17"/>
                <w:szCs w:val="17"/>
                <w:color w:val="auto"/>
              </w:rPr>
              <w:t>computing net</w:t>
            </w: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2420" w:type="dxa"/>
            <w:vAlign w:val="bottom"/>
          </w:tcPr>
          <w:p>
            <w:pPr>
              <w:spacing w:after="0"/>
              <w:rPr>
                <w:sz w:val="20"/>
                <w:szCs w:val="20"/>
                <w:color w:val="auto"/>
              </w:rPr>
            </w:pPr>
            <w:r>
              <w:rPr>
                <w:rFonts w:ascii="Courier New" w:cs="Courier New" w:eastAsia="Courier New" w:hAnsi="Courier New"/>
                <w:sz w:val="17"/>
                <w:szCs w:val="17"/>
                <w:color w:val="auto"/>
              </w:rPr>
              <w:t>earnings per share ...</w:t>
            </w:r>
          </w:p>
        </w:tc>
        <w:tc>
          <w:tcPr>
            <w:tcW w:w="360" w:type="dxa"/>
            <w:vAlign w:val="bottom"/>
          </w:tcPr>
          <w:p>
            <w:pPr>
              <w:spacing w:after="0"/>
              <w:rPr>
                <w:sz w:val="17"/>
                <w:szCs w:val="17"/>
                <w:color w:val="auto"/>
              </w:rPr>
            </w:pPr>
          </w:p>
        </w:tc>
        <w:tc>
          <w:tcPr>
            <w:tcW w:w="7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26,557</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22,760</w:t>
            </w: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24,502</w:t>
            </w: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22,760</w:t>
            </w:r>
          </w:p>
        </w:tc>
        <w:tc>
          <w:tcPr>
            <w:tcW w:w="860" w:type="dxa"/>
            <w:vAlign w:val="bottom"/>
          </w:tcPr>
          <w:p>
            <w:pPr>
              <w:spacing w:after="0"/>
              <w:rPr>
                <w:sz w:val="17"/>
                <w:szCs w:val="17"/>
                <w:color w:val="auto"/>
              </w:rPr>
            </w:pPr>
          </w:p>
        </w:tc>
      </w:tr>
      <w:tr>
        <w:trPr>
          <w:trHeight w:val="396"/>
        </w:trPr>
        <w:tc>
          <w:tcPr>
            <w:tcW w:w="2420" w:type="dxa"/>
            <w:vAlign w:val="bottom"/>
          </w:tcPr>
          <w:p>
            <w:pPr>
              <w:spacing w:after="0"/>
              <w:rPr>
                <w:sz w:val="20"/>
                <w:szCs w:val="20"/>
                <w:color w:val="auto"/>
              </w:rPr>
            </w:pPr>
            <w:r>
              <w:rPr>
                <w:rFonts w:ascii="Courier New" w:cs="Courier New" w:eastAsia="Courier New" w:hAnsi="Courier New"/>
                <w:sz w:val="17"/>
                <w:szCs w:val="17"/>
                <w:color w:val="auto"/>
              </w:rPr>
              <w:t>EBITDA ...............</w:t>
            </w:r>
          </w:p>
        </w:tc>
        <w:tc>
          <w:tcPr>
            <w:tcW w:w="36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11,075</w:t>
            </w:r>
          </w:p>
        </w:tc>
        <w:tc>
          <w:tcPr>
            <w:tcW w:w="12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11.1%</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8,081</w:t>
            </w:r>
          </w:p>
        </w:tc>
        <w:tc>
          <w:tcPr>
            <w:tcW w:w="10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11.9%</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36,405</w:t>
            </w:r>
          </w:p>
        </w:tc>
        <w:tc>
          <w:tcPr>
            <w:tcW w:w="102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11.2%</w:t>
            </w:r>
          </w:p>
        </w:tc>
        <w:tc>
          <w:tcPr>
            <w:tcW w:w="3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31,172</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11.8%</w:t>
            </w:r>
          </w:p>
        </w:tc>
      </w:tr>
    </w:tbl>
    <w:p>
      <w:pPr>
        <w:spacing w:after="0" w:line="203" w:lineRule="exact"/>
        <w:rPr>
          <w:sz w:val="20"/>
          <w:szCs w:val="20"/>
          <w:color w:val="auto"/>
        </w:rPr>
      </w:pPr>
    </w:p>
    <w:p>
      <w:pPr>
        <w:ind w:left="620" w:right="3580" w:hanging="619"/>
        <w:spacing w:after="0" w:line="246" w:lineRule="auto"/>
        <w:tabs>
          <w:tab w:leader="none" w:pos="600" w:val="left"/>
        </w:tabs>
        <w:rPr>
          <w:sz w:val="20"/>
          <w:szCs w:val="20"/>
          <w:color w:val="auto"/>
        </w:rPr>
      </w:pPr>
      <w:r>
        <w:rPr>
          <w:rFonts w:ascii="Courier New" w:cs="Courier New" w:eastAsia="Courier New" w:hAnsi="Courier New"/>
          <w:sz w:val="17"/>
          <w:szCs w:val="17"/>
          <w:color w:val="auto"/>
        </w:rPr>
        <w:t>Note</w:t>
        <w:tab/>
        <w:t>1: Prior to the Company's initial public offering and its pooling-of-interests acquisitions completed in the third and fourth quarters, the founding and pooled companies were managed as independent companies. In conjunction with the mergers, certain stockholders have agreed to reductions in salaries and benefits in accordance with their employment agreements. The pro forma data present compensation at the level the stockholders agreed to receive subsequent to the mergers.</w:t>
      </w:r>
    </w:p>
    <w:p>
      <w:pPr>
        <w:spacing w:after="0" w:line="202" w:lineRule="exact"/>
        <w:rPr>
          <w:sz w:val="20"/>
          <w:szCs w:val="20"/>
          <w:color w:val="auto"/>
        </w:rPr>
      </w:pPr>
    </w:p>
    <w:p>
      <w:pPr>
        <w:ind w:left="620" w:right="3480" w:hanging="619"/>
        <w:spacing w:after="0" w:line="247" w:lineRule="auto"/>
        <w:tabs>
          <w:tab w:leader="none" w:pos="600" w:val="left"/>
        </w:tabs>
        <w:rPr>
          <w:sz w:val="20"/>
          <w:szCs w:val="20"/>
          <w:color w:val="auto"/>
        </w:rPr>
      </w:pPr>
      <w:r>
        <w:rPr>
          <w:rFonts w:ascii="Courier New" w:cs="Courier New" w:eastAsia="Courier New" w:hAnsi="Courier New"/>
          <w:sz w:val="17"/>
          <w:szCs w:val="17"/>
          <w:color w:val="auto"/>
        </w:rPr>
        <w:t>Note</w:t>
        <w:tab/>
        <w:t>2: Diluted earnings per share and basic earnings per share are the same for the three months and twelve months ended December 31, 1997 and 1996.</w:t>
      </w:r>
    </w:p>
    <w:p>
      <w:pPr>
        <w:spacing w:after="0" w:line="198"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 # #</w:t>
      </w:r>
    </w:p>
    <w:sectPr>
      <w:pgSz w:w="11900" w:h="16838" w:orient="portrait"/>
      <w:cols w:equalWidth="0" w:num="1">
        <w:col w:w="11520"/>
      </w:cols>
      <w:pgMar w:left="240" w:top="511"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1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2019-12-14T14:18:13Z</dcterms:created>
  <dcterms:modified xsi:type="dcterms:W3CDTF">2019-12-14T14:18:13Z</dcterms:modified>
</cp:coreProperties>
</file>